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20"/>
          <w:szCs w:val="120"/>
          <w:b w:val="1"/>
          <w:bCs w:val="1"/>
          <w:color w:val="auto"/>
        </w:rPr>
        <w:t>ANNUAL</w:t>
      </w:r>
    </w:p>
    <w:p>
      <w:pPr>
        <w:spacing w:after="0" w:line="230" w:lineRule="auto"/>
        <w:rPr>
          <w:sz w:val="20"/>
          <w:szCs w:val="20"/>
          <w:color w:val="auto"/>
        </w:rPr>
      </w:pPr>
      <w:r>
        <w:rPr>
          <w:rFonts w:ascii="Arial" w:cs="Arial" w:eastAsia="Arial" w:hAnsi="Arial"/>
          <w:sz w:val="144"/>
          <w:szCs w:val="144"/>
          <w:b w:val="1"/>
          <w:bCs w:val="1"/>
          <w:color w:val="FFFFFF"/>
        </w:rPr>
        <w:t>REPORT</w:t>
      </w:r>
    </w:p>
    <w:p>
      <w:pPr>
        <w:spacing w:after="0" w:line="44" w:lineRule="exact"/>
        <w:rPr>
          <w:sz w:val="24"/>
          <w:szCs w:val="24"/>
          <w:color w:val="auto"/>
        </w:rPr>
      </w:pPr>
    </w:p>
    <w:p>
      <w:pPr>
        <w:spacing w:after="0"/>
        <w:rPr>
          <w:sz w:val="20"/>
          <w:szCs w:val="20"/>
          <w:color w:val="auto"/>
        </w:rPr>
      </w:pPr>
      <w:r>
        <w:rPr>
          <w:rFonts w:ascii="Arial" w:cs="Arial" w:eastAsia="Arial" w:hAnsi="Arial"/>
          <w:sz w:val="130"/>
          <w:szCs w:val="130"/>
          <w:b w:val="1"/>
          <w:bCs w:val="1"/>
          <w:color w:val="FFFFFF"/>
        </w:rPr>
        <w:t>2025</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36"/>
          <w:szCs w:val="36"/>
          <w:b w:val="1"/>
          <w:bCs w:val="1"/>
          <w:color w:val="FFFFFF"/>
        </w:rPr>
        <w:t>SECURITY NATIONAL</w:t>
      </w:r>
    </w:p>
    <w:p>
      <w:pPr>
        <w:spacing w:after="0" w:line="26" w:lineRule="exact"/>
        <w:rPr>
          <w:sz w:val="24"/>
          <w:szCs w:val="24"/>
          <w:color w:val="auto"/>
        </w:rPr>
      </w:pPr>
    </w:p>
    <w:p>
      <w:pPr>
        <w:spacing w:after="0"/>
        <w:rPr>
          <w:sz w:val="20"/>
          <w:szCs w:val="20"/>
          <w:color w:val="auto"/>
        </w:rPr>
      </w:pPr>
      <w:r>
        <w:rPr>
          <w:rFonts w:ascii="Arial" w:cs="Arial" w:eastAsia="Arial" w:hAnsi="Arial"/>
          <w:sz w:val="36"/>
          <w:szCs w:val="36"/>
          <w:b w:val="1"/>
          <w:bCs w:val="1"/>
          <w:color w:val="FFFFFF"/>
        </w:rPr>
        <w:t>FINANCIAL 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48"/>
          <w:szCs w:val="48"/>
          <w:b w:val="1"/>
          <w:bCs w:val="1"/>
          <w:color w:val="000750"/>
        </w:rPr>
        <w:t>CELEBRATING 60 YEARS</w:t>
      </w:r>
    </w:p>
    <w:p>
      <w:pPr>
        <w:sectPr>
          <w:pgSz w:w="12240" w:h="15842" w:orient="portrait"/>
          <w:cols w:equalWidth="0" w:num="1">
            <w:col w:w="10040"/>
          </w:cols>
          <w:pgMar w:left="760" w:top="1440"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ind w:left="4980"/>
        <w:spacing w:after="0"/>
        <w:rPr>
          <w:sz w:val="20"/>
          <w:szCs w:val="20"/>
          <w:color w:val="auto"/>
        </w:rPr>
      </w:pPr>
      <w:r>
        <w:rPr>
          <w:rFonts w:ascii="Arial" w:cs="Arial" w:eastAsia="Arial" w:hAnsi="Arial"/>
          <w:sz w:val="12"/>
          <w:szCs w:val="12"/>
          <w:color w:val="FFFFFF"/>
        </w:rPr>
        <w:t>Photo Credit: 2025 Nasdaq, Inc</w:t>
      </w:r>
    </w:p>
    <w:p>
      <w:pPr>
        <w:sectPr>
          <w:pgSz w:w="12240" w:h="15842" w:orient="portrait"/>
          <w:cols w:equalWidth="0" w:num="1">
            <w:col w:w="10040"/>
          </w:cols>
          <w:pgMar w:left="760" w:top="1440" w:right="1440" w:bottom="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80"/>
          <w:szCs w:val="80"/>
          <w:b w:val="1"/>
          <w:bCs w:val="1"/>
          <w:i w:val="1"/>
          <w:iCs w:val="1"/>
          <w:color w:val="FFFFFF"/>
          <w:highlight w:val="black"/>
        </w:rPr>
        <w:t>Celebrating 60 Years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color w:val="FFFFFF"/>
        </w:rPr>
        <w:t>Who We Are</w:t>
      </w:r>
    </w:p>
    <w:p>
      <w:pPr>
        <w:spacing w:after="0" w:line="198"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color w:val="FFFFFF"/>
        </w:rPr>
        <w:t>Our story began in 1965 with the founding of Security National Life Insurance Company. Starting with just $543,000 in assets and operating out of a small rented house in Salt Lake City, Utah, Security National has grown into a diversified, publicly traded leader across multiple service industries.</w:t>
      </w:r>
    </w:p>
    <w:p>
      <w:pPr>
        <w:spacing w:after="0" w:line="200" w:lineRule="exact"/>
        <w:rPr>
          <w:sz w:val="20"/>
          <w:szCs w:val="20"/>
          <w:color w:val="auto"/>
        </w:rPr>
      </w:pPr>
    </w:p>
    <w:p>
      <w:pPr>
        <w:spacing w:after="0" w:line="330"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FFFFFF"/>
        </w:rPr>
        <w:t>In 2025, we proudly celebrated our 60th anniversary—a milestone that reflects six decades of disciplined growth, strong relationships, and long-term vision. This achievement was commemorated throughout the year across our organization, as we recognized our employees, honored our history, and reaffirmed our commitment to the communities we serve. A highlight of this celebration was the honor of ringing the opening bell at Nasdaq, marking both our legacy and our continued momentum as a company.</w:t>
      </w:r>
    </w:p>
    <w:p>
      <w:pPr>
        <w:spacing w:after="0" w:line="200" w:lineRule="exact"/>
        <w:rPr>
          <w:sz w:val="20"/>
          <w:szCs w:val="20"/>
          <w:color w:val="auto"/>
        </w:rPr>
      </w:pPr>
    </w:p>
    <w:p>
      <w:pPr>
        <w:spacing w:after="0" w:line="331"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color w:val="FFFFFF"/>
        </w:rPr>
        <w:t>Over the past six decades, our growth has been driven by consistent new business development, strategic investment opportunities, and targeted acquisitions. We have expanded our footprint through the acquisition of life insurance companies, funeral homes, and cemeteries, while also building and scaling a strong mortgage operation.</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6"/>
          <w:szCs w:val="36"/>
          <w:color w:val="FFFFFF"/>
        </w:rPr>
        <w:t>Company Profile</w:t>
      </w:r>
    </w:p>
    <w:p>
      <w:pPr>
        <w:sectPr>
          <w:pgSz w:w="12240" w:h="15840" w:orient="portrait"/>
          <w:cols w:equalWidth="0" w:num="1">
            <w:col w:w="9380"/>
          </w:cols>
          <w:pgMar w:left="1420" w:top="1440" w:right="1440" w:bottom="546" w:gutter="0" w:footer="0" w:header="0"/>
        </w:sectPr>
      </w:pP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FFFFFF"/>
        </w:rPr>
        <w:t>Security National operates through three primary business segments: life insurance, funeral service, and mortgage lending. Our organization is intentionally structured so that each segment complements the others, contributing to the overall strength and profitability of the company.</w:t>
      </w:r>
    </w:p>
    <w:p>
      <w:pPr>
        <w:spacing w:after="0" w:line="200" w:lineRule="exact"/>
        <w:rPr>
          <w:sz w:val="20"/>
          <w:szCs w:val="20"/>
          <w:color w:val="auto"/>
        </w:rPr>
      </w:pPr>
    </w:p>
    <w:p>
      <w:pPr>
        <w:spacing w:after="0" w:line="333"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FFFFFF"/>
        </w:rPr>
        <w:t>Our cemetery and mortuary operations maintain a high level of public visibility and community presence, supporting the marketing and sales of our insurance and preneed funeral and cemetery products. In</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FFFFFF"/>
        </w:rPr>
        <w:t>turn, our life insurance operations invest in high-quality mortgage loans, reinforcing the performance of our mortgage segment.</w:t>
      </w:r>
    </w:p>
    <w:p>
      <w:pPr>
        <w:spacing w:after="0" w:line="287" w:lineRule="exact"/>
        <w:rPr>
          <w:sz w:val="20"/>
          <w:szCs w:val="20"/>
          <w:color w:val="auto"/>
        </w:rPr>
      </w:pPr>
    </w:p>
    <w:p>
      <w:pPr>
        <w:jc w:val="both"/>
        <w:ind w:right="20"/>
        <w:spacing w:after="0" w:line="269" w:lineRule="auto"/>
        <w:rPr>
          <w:sz w:val="20"/>
          <w:szCs w:val="20"/>
          <w:color w:val="auto"/>
        </w:rPr>
      </w:pPr>
      <w:r>
        <w:rPr>
          <w:rFonts w:ascii="Arial" w:cs="Arial" w:eastAsia="Arial" w:hAnsi="Arial"/>
          <w:sz w:val="20"/>
          <w:szCs w:val="20"/>
          <w:color w:val="FFFFFF"/>
        </w:rPr>
        <w:t>While each business unit operates as a standalone profit center, this strategic horizontal integration enhances efficiency, stability, and long-term value creation. We continue to pursue growth through disciplined acquisitions, expansion of our funeral service network, and ongoing development of our mortgage platform.</w:t>
      </w:r>
    </w:p>
    <w:p>
      <w:pPr>
        <w:sectPr>
          <w:pgSz w:w="12240" w:h="15840" w:orient="portrait"/>
          <w:cols w:equalWidth="0" w:num="2">
            <w:col w:w="4480" w:space="420"/>
            <w:col w:w="4480"/>
          </w:cols>
          <w:pgMar w:left="1420" w:top="1440" w:right="1440" w:bottom="546" w:gutter="0" w:footer="0" w:header="0"/>
          <w:type w:val="continuous"/>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381635</wp:posOffset>
            </wp:positionV>
            <wp:extent cx="3600450" cy="18929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0" cy="1892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4"/>
          <w:szCs w:val="24"/>
          <w:color w:val="FFFFFF"/>
        </w:rPr>
        <w:t>Scott M. Quist</w:t>
      </w:r>
    </w:p>
    <w:p>
      <w:pPr>
        <w:spacing w:after="0" w:line="58" w:lineRule="exact"/>
        <w:rPr>
          <w:sz w:val="20"/>
          <w:szCs w:val="20"/>
          <w:color w:val="auto"/>
        </w:rPr>
      </w:pPr>
    </w:p>
    <w:p>
      <w:pPr>
        <w:ind w:left="2660"/>
        <w:spacing w:after="0"/>
        <w:rPr>
          <w:sz w:val="20"/>
          <w:szCs w:val="20"/>
          <w:color w:val="auto"/>
        </w:rPr>
      </w:pPr>
      <w:r>
        <w:rPr>
          <w:rFonts w:ascii="Arial" w:cs="Arial" w:eastAsia="Arial" w:hAnsi="Arial"/>
          <w:sz w:val="16"/>
          <w:szCs w:val="16"/>
          <w:color w:val="FFFFFF"/>
        </w:rPr>
        <w:t>Chairman of the Board</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16"/>
          <w:szCs w:val="16"/>
          <w:color w:val="FFFFFF"/>
        </w:rPr>
        <w:t>Chief Executive Officer</w:t>
      </w:r>
    </w:p>
    <w:p>
      <w:pPr>
        <w:spacing w:after="0" w:line="8" w:lineRule="exact"/>
        <w:rPr>
          <w:sz w:val="20"/>
          <w:szCs w:val="20"/>
          <w:color w:val="auto"/>
        </w:rPr>
      </w:pPr>
    </w:p>
    <w:p>
      <w:pPr>
        <w:ind w:left="2660"/>
        <w:spacing w:after="0"/>
        <w:rPr>
          <w:sz w:val="20"/>
          <w:szCs w:val="20"/>
          <w:color w:val="auto"/>
        </w:rPr>
      </w:pPr>
      <w:r>
        <w:rPr>
          <w:rFonts w:ascii="Arial" w:cs="Arial" w:eastAsia="Arial" w:hAnsi="Arial"/>
          <w:sz w:val="16"/>
          <w:szCs w:val="16"/>
          <w:color w:val="FFFFFF"/>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color w:val="000750"/>
        </w:rPr>
        <w:t>My Fellow Shareholders:</w:t>
      </w:r>
    </w:p>
    <w:p>
      <w:pPr>
        <w:spacing w:after="0" w:line="204"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I am pleased to report on the affairs of our Company for the year ended December 31, 2025, and invite you to attend the annual Stockholders Meeting to be held Friday, June 26, 2026, in Salt Lake City, Utah at the Company’s offices.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17"/>
          <w:szCs w:val="17"/>
          <w:color w:val="auto"/>
        </w:rPr>
        <w:t>This past year was significant as it marked our 60th anniversary and, in recognition of that milestone, on September 24, 2025, we had the honor of ringing the Opening Bell of the NASDAQ Stock Exchange. To be so recognized by our public company peers was gratifying. According to public data bases, the average life span of a public company is roughly 15-20 years, thus to be in our 60th year and to be invited to ring the Opening Bell is remarkable. Financially speaking, in 2025, our GAAP Stockholders’ Equity passed the $400 million dollar mark, ending at over $410,000,000. It was just 10 years ago, in 2015, that we first passed the $100 million dollar mark - giving us a 13.96% compounded annual growth rate, or basically a quadrupling of Stockholders’ Equity.</w:t>
      </w:r>
    </w:p>
    <w:p>
      <w:pPr>
        <w:spacing w:after="0" w:line="203"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Looking at our Income Statement, 2025 was a very good year for our Company as we improved net income by nearly 11%, which is on top of the 84% improvement accomplished in 2024. It should be noted that 2025 was an extraordinarily heavy lift for our accounting, actuarial, and management staff as they had to implement both ASU 2018-12 “Long Duration Targeted Improvements” (LDTI) and transition to “Accelerated Filer” status with its attendant additional process-based audit requirements. Our teams deserve a pat on the back, as those events created significant extra work. Our 2024 net income was restated upwards pursuant to LDTI by approximately $2.6 million dollars (after tax). I refer you to the notes in the financial statements for a greater explanation of LDTI and its effects. I will remark that we do not get to choose the accounting standards by which we are measured. Our task is to accurately apply the adopted standards in our financial statements. Whether the new standards are an improvement over prior standards, I will let the readers judge for themselves. I will say that implementation does create a lot more work.</w:t>
      </w:r>
    </w:p>
    <w:p>
      <w:pPr>
        <w:spacing w:after="0" w:line="196"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Leading the way in improved income is our Mortgage Segment with a 23% improvement YOY, and a whopping 74% improvement in Q4 alone. While this Segment still produced a loss, the income improvement is very significant, with a basically $1,000,000 operating income improvement for each of the last 4 months as measured against the prior year. On top of that, we attracted over 20 million-dollar-volume loan officers to join us, a great testament to the culture and capabilities we have and are developing. We have been and continue to be a primarily purchase-based mortgage company, believing that strategy to be the most durable over time. Purchase mortgage transactions are generally higher “touch” and very time sensitive, and we are necessarily geared to those characteristics, basically resulting in higher costs than would otherwise be expected. However, the refinance market, which is neither high touch nor particularly time sensitive, but is very cost sensitive, has expanded to be some 30% of the market, and we have had to adjust, within the regulatory frameworks, to accommodate those market realities. Much thanks is owed to our corporate and regional managers who have had the task of adapting to this new and very challenging environment.</w:t>
      </w:r>
    </w:p>
    <w:p>
      <w:pPr>
        <w:spacing w:after="0" w:line="20" w:lineRule="exact"/>
        <w:rPr>
          <w:sz w:val="20"/>
          <w:szCs w:val="20"/>
          <w:color w:val="auto"/>
        </w:rPr>
      </w:pPr>
      <w:r>
        <w:rPr>
          <w:sz w:val="20"/>
          <w:szCs w:val="20"/>
          <w:color w:val="auto"/>
        </w:rPr>
        <w:br w:type="column"/>
      </w:r>
    </w:p>
    <w:p>
      <w:pPr>
        <w:jc w:val="both"/>
        <w:spacing w:after="0" w:line="239" w:lineRule="auto"/>
        <w:rPr>
          <w:sz w:val="20"/>
          <w:szCs w:val="20"/>
          <w:color w:val="auto"/>
        </w:rPr>
      </w:pPr>
      <w:r>
        <w:rPr>
          <w:rFonts w:ascii="Arial" w:cs="Arial" w:eastAsia="Arial" w:hAnsi="Arial"/>
          <w:sz w:val="17"/>
          <w:szCs w:val="17"/>
          <w:color w:val="auto"/>
        </w:rPr>
        <w:t>Our Funeral Home and Cemetery Segment turned in a basically flat YOY financial performance, which I thought was actually quite credible. The cremation market in the United States continues to expand and is now estimated at 63% of the total US market, and is estimated at above 60% in our Utah market. Cremation services, being neither better nor worse than other types of disposition, are generally at a lower price point than traditional services and thus can present a financial headwind. We strongly believe that whatever method of disposition is chosen by a family, be it traditional burial, cremation with a service, or otherwise, that is the correct choice for that family, and it is our task to meet the family’s expectations. However, we also believe that the family should make its choice on such a significant matter based on personal beliefs and preferences, not costs. To that end, we work very hard to help families pre-plan those costs so they are not burdensome at the time of death, which is the basic purpose of our preplanning sales activities. Over the past year, we have executed a comprehensive reorganization of our sales force, increasing its size by 28% while undertaking the rigorous and complex transition of 53% of our sales counselors. Throughout this process, we have elevated standards of training and professionalism across the organization. These strategic investments are now beginning to be reflected in our financial performance. It is instructive to note that our Utah-based Cemetery and Mortuary group has received the “Best in State” award for the last 8 consecutive years, a very significant recognition of the quality services we provide. It is one thing to achieve “Best in State”, but it is quite another to remain “Best in State”.</w:t>
      </w:r>
    </w:p>
    <w:p>
      <w:pPr>
        <w:spacing w:after="0" w:line="206"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Our Insurance Segment has shouldered the bulk of the work surrounding the implementation of LDTI. As an example of the work involved in the implementation of LDTI, pre-LDTI insurance policies basically had an individual reserve which was established upon the issuance of the policy, but under LDTI policies must be organized into “cohorts”, with reserves being calculated based upon the applicable cohort and those reserves then essentially being recalculated and adjusted monthly based upon interest rate movements. A different method of amortizing Deferred Acquisition Costs also had to be adopted, and the new concept of a Deferred Profit Liability had to be implemented, among other changes. At the same time these significant accounting changes were being implemented we reorganized two of our three sales channels, first attracting topflight executive talent and then beginning the implementation of new premium rates and sales processes and providing new sales support. This had the predictable consequence of creating turmoil amongst some of our existing sales personnel, which in our view is absolutely essential if we are to grow. At the same time, we expanded our lending and real estate activities, growing our commercial lending group and expanding our builder relationships considerably to include additional significant residential real estate investments. Against those management time demanding tasks, we grew Q4 Insurance Segment earnings by 31%, and YOY results by 7.6%, which in my view was an outstanding performance.</w:t>
      </w:r>
    </w:p>
    <w:p>
      <w:pPr>
        <w:spacing w:after="0" w:line="199" w:lineRule="exact"/>
        <w:rPr>
          <w:sz w:val="20"/>
          <w:szCs w:val="20"/>
          <w:color w:val="auto"/>
        </w:rPr>
      </w:pPr>
    </w:p>
    <w:p>
      <w:pPr>
        <w:jc w:val="both"/>
        <w:spacing w:after="0" w:line="223" w:lineRule="auto"/>
        <w:rPr>
          <w:sz w:val="20"/>
          <w:szCs w:val="20"/>
          <w:color w:val="auto"/>
        </w:rPr>
      </w:pPr>
      <w:r>
        <w:rPr>
          <w:rFonts w:ascii="Arial" w:cs="Arial" w:eastAsia="Arial" w:hAnsi="Arial"/>
          <w:sz w:val="17"/>
          <w:szCs w:val="17"/>
          <w:color w:val="auto"/>
        </w:rPr>
        <w:t>Lastly, as an important “third-party” recognition, we again received the “Top Workplace Award” for 2025, which marks the 10th consecutive year we have received the award. Similar to the Best in State award achieved by our Cemetery and Mortuary segment, it is one thing to receive the award for a single year, quite another to receive consecutive annual awards. It is axiomatic to quality customer service to have employees who are and feel appreciated. The award’s reception highlights our ongoing commitment to our employees which in turn reflects our ongoing commitment to our businesses and customers.</w:t>
      </w:r>
    </w:p>
    <w:p>
      <w:pPr>
        <w:spacing w:after="0" w:line="186"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I thank you for your continued support, and I hope to see you at our Annual Meeting.</w:t>
      </w:r>
    </w:p>
    <w:p>
      <w:pPr>
        <w:spacing w:after="0" w:line="351" w:lineRule="exact"/>
        <w:rPr>
          <w:sz w:val="20"/>
          <w:szCs w:val="20"/>
          <w:color w:val="auto"/>
        </w:rPr>
      </w:pPr>
    </w:p>
    <w:p>
      <w:pPr>
        <w:spacing w:after="0"/>
        <w:rPr>
          <w:sz w:val="20"/>
          <w:szCs w:val="20"/>
          <w:color w:val="auto"/>
        </w:rPr>
      </w:pPr>
      <w:r>
        <w:rPr>
          <w:rFonts w:ascii="Arial" w:cs="Arial" w:eastAsia="Arial" w:hAnsi="Arial"/>
          <w:sz w:val="17"/>
          <w:szCs w:val="17"/>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1425575" cy="541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5575" cy="54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Scott M. Quist</w:t>
      </w:r>
    </w:p>
    <w:p>
      <w:pPr>
        <w:spacing w:after="0" w:line="221" w:lineRule="auto"/>
        <w:rPr>
          <w:sz w:val="20"/>
          <w:szCs w:val="20"/>
          <w:color w:val="auto"/>
        </w:rPr>
      </w:pPr>
      <w:r>
        <w:rPr>
          <w:rFonts w:ascii="Arial" w:cs="Arial" w:eastAsia="Arial" w:hAnsi="Arial"/>
          <w:sz w:val="17"/>
          <w:szCs w:val="17"/>
          <w:color w:val="auto"/>
        </w:rPr>
        <w:t>Chairman, President, and Chief Executive Officer</w:t>
      </w:r>
    </w:p>
    <w:p>
      <w:pPr>
        <w:sectPr>
          <w:pgSz w:w="12240" w:h="15840" w:orient="portrait"/>
          <w:cols w:equalWidth="0" w:num="2">
            <w:col w:w="5260" w:space="280"/>
            <w:col w:w="5260"/>
          </w:cols>
          <w:pgMar w:left="740" w:top="619" w:right="700" w:bottom="10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8"/>
          <w:szCs w:val="28"/>
          <w:color w:val="000750"/>
        </w:rPr>
        <w:t>SNFC Board of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852170</wp:posOffset>
            </wp:positionV>
            <wp:extent cx="6195695" cy="940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95695" cy="940435"/>
                    </a:xfrm>
                    <a:prstGeom prst="rect">
                      <a:avLst/>
                    </a:prstGeom>
                    <a:noFill/>
                  </pic:spPr>
                </pic:pic>
              </a:graphicData>
            </a:graphic>
          </wp:anchor>
        </w:drawing>
        <w:drawing>
          <wp:anchor simplePos="0" relativeHeight="251657728" behindDoc="1" locked="0" layoutInCell="0" allowOverlap="1">
            <wp:simplePos x="0" y="0"/>
            <wp:positionH relativeFrom="column">
              <wp:posOffset>2995930</wp:posOffset>
            </wp:positionH>
            <wp:positionV relativeFrom="paragraph">
              <wp:posOffset>-77470</wp:posOffset>
            </wp:positionV>
            <wp:extent cx="431927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19270" cy="25400"/>
                    </a:xfrm>
                    <a:prstGeom prst="rect">
                      <a:avLst/>
                    </a:prstGeom>
                    <a:noFill/>
                  </pic:spPr>
                </pic:pic>
              </a:graphicData>
            </a:graphic>
          </wp:anchor>
        </w:drawing>
      </w:r>
    </w:p>
    <w:p>
      <w:pPr>
        <w:sectPr>
          <w:pgSz w:w="12240" w:h="15840" w:orient="portrait"/>
          <w:cols w:equalWidth="0" w:num="1">
            <w:col w:w="10620"/>
          </w:cols>
          <w:pgMar w:left="720" w:top="621" w:right="900" w:bottom="8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590" w:type="dxa"/>
        <w:tblCellMar>
          <w:top w:w="0" w:type="dxa"/>
          <w:left w:w="0" w:type="dxa"/>
          <w:bottom w:w="0" w:type="dxa"/>
          <w:right w:w="0" w:type="dxa"/>
        </w:tblCellMar>
      </w:tblPr>
      <w:tr>
        <w:trPr>
          <w:trHeight w:val="259"/>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000750"/>
              </w:rPr>
              <w:t>Scott M. Quist</w:t>
            </w:r>
          </w:p>
        </w:tc>
        <w:tc>
          <w:tcPr>
            <w:tcW w:w="96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000750"/>
              </w:rPr>
              <w:t>H. Craig Moody</w:t>
            </w:r>
          </w:p>
        </w:tc>
        <w:tc>
          <w:tcPr>
            <w:tcW w:w="266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000750"/>
              </w:rPr>
              <w:t>Robert G. Hunter M.D.</w:t>
            </w:r>
          </w:p>
        </w:tc>
        <w:tc>
          <w:tcPr>
            <w:tcW w:w="960" w:type="dxa"/>
            <w:vAlign w:val="bottom"/>
          </w:tcPr>
          <w:p>
            <w:pPr>
              <w:spacing w:after="0"/>
              <w:rPr>
                <w:sz w:val="22"/>
                <w:szCs w:val="22"/>
                <w:color w:val="auto"/>
              </w:rPr>
            </w:pP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000750"/>
              </w:rPr>
              <w:t>Gilbert A. Fuller</w:t>
            </w:r>
          </w:p>
        </w:tc>
      </w:tr>
      <w:tr>
        <w:trPr>
          <w:trHeight w:val="147"/>
        </w:trPr>
        <w:tc>
          <w:tcPr>
            <w:tcW w:w="1740" w:type="dxa"/>
            <w:vAlign w:val="bottom"/>
          </w:tcPr>
          <w:p>
            <w:pPr>
              <w:jc w:val="center"/>
              <w:spacing w:after="0"/>
              <w:rPr>
                <w:sz w:val="20"/>
                <w:szCs w:val="20"/>
                <w:color w:val="auto"/>
              </w:rPr>
            </w:pPr>
            <w:r>
              <w:rPr>
                <w:rFonts w:ascii="Arial" w:cs="Arial" w:eastAsia="Arial" w:hAnsi="Arial"/>
                <w:sz w:val="10"/>
                <w:szCs w:val="10"/>
                <w:color w:val="auto"/>
              </w:rPr>
              <w:t>Chairman of the Board</w:t>
            </w:r>
          </w:p>
        </w:tc>
        <w:tc>
          <w:tcPr>
            <w:tcW w:w="96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0"/>
                <w:szCs w:val="10"/>
                <w:color w:val="auto"/>
              </w:rPr>
              <w:t>President, Moody &amp; Associates</w:t>
            </w:r>
          </w:p>
        </w:tc>
        <w:tc>
          <w:tcPr>
            <w:tcW w:w="960" w:type="dxa"/>
            <w:vAlign w:val="bottom"/>
          </w:tcPr>
          <w:p>
            <w:pPr>
              <w:spacing w:after="0"/>
              <w:rPr>
                <w:sz w:val="12"/>
                <w:szCs w:val="12"/>
                <w:color w:val="auto"/>
              </w:rPr>
            </w:pPr>
          </w:p>
        </w:tc>
        <w:tc>
          <w:tcPr>
            <w:tcW w:w="1700" w:type="dxa"/>
            <w:vAlign w:val="bottom"/>
          </w:tcPr>
          <w:p>
            <w:pPr>
              <w:jc w:val="center"/>
              <w:ind w:right="10"/>
              <w:spacing w:after="0"/>
              <w:rPr>
                <w:sz w:val="20"/>
                <w:szCs w:val="20"/>
                <w:color w:val="auto"/>
              </w:rPr>
            </w:pPr>
            <w:r>
              <w:rPr>
                <w:rFonts w:ascii="Arial" w:cs="Arial" w:eastAsia="Arial" w:hAnsi="Arial"/>
                <w:sz w:val="10"/>
                <w:szCs w:val="10"/>
                <w:color w:val="auto"/>
              </w:rPr>
              <w:t>Past Medical Staff President</w:t>
            </w:r>
          </w:p>
        </w:tc>
        <w:tc>
          <w:tcPr>
            <w:tcW w:w="960" w:type="dxa"/>
            <w:vAlign w:val="bottom"/>
          </w:tcPr>
          <w:p>
            <w:pPr>
              <w:spacing w:after="0"/>
              <w:rPr>
                <w:sz w:val="12"/>
                <w:szCs w:val="12"/>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0"/>
                <w:szCs w:val="10"/>
                <w:color w:val="auto"/>
              </w:rPr>
              <w:t>Former Executive Vice President,</w:t>
            </w:r>
          </w:p>
        </w:tc>
      </w:tr>
      <w:tr>
        <w:trPr>
          <w:trHeight w:val="120"/>
        </w:trPr>
        <w:tc>
          <w:tcPr>
            <w:tcW w:w="1740" w:type="dxa"/>
            <w:vAlign w:val="bottom"/>
          </w:tcPr>
          <w:p>
            <w:pPr>
              <w:jc w:val="center"/>
              <w:spacing w:after="0"/>
              <w:rPr>
                <w:sz w:val="20"/>
                <w:szCs w:val="20"/>
                <w:color w:val="auto"/>
              </w:rPr>
            </w:pPr>
            <w:r>
              <w:rPr>
                <w:rFonts w:ascii="Arial" w:cs="Arial" w:eastAsia="Arial" w:hAnsi="Arial"/>
                <w:sz w:val="10"/>
                <w:szCs w:val="10"/>
                <w:color w:val="auto"/>
              </w:rPr>
              <w:t>President</w:t>
            </w:r>
          </w:p>
        </w:tc>
        <w:tc>
          <w:tcPr>
            <w:tcW w:w="96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color w:val="auto"/>
              </w:rPr>
              <w:t>Director</w:t>
            </w:r>
          </w:p>
        </w:tc>
        <w:tc>
          <w:tcPr>
            <w:tcW w:w="960" w:type="dxa"/>
            <w:vAlign w:val="bottom"/>
          </w:tcPr>
          <w:p>
            <w:pPr>
              <w:spacing w:after="0"/>
              <w:rPr>
                <w:sz w:val="10"/>
                <w:szCs w:val="10"/>
                <w:color w:val="auto"/>
              </w:rPr>
            </w:pPr>
          </w:p>
        </w:tc>
        <w:tc>
          <w:tcPr>
            <w:tcW w:w="1700" w:type="dxa"/>
            <w:vAlign w:val="bottom"/>
          </w:tcPr>
          <w:p>
            <w:pPr>
              <w:jc w:val="center"/>
              <w:ind w:right="10"/>
              <w:spacing w:after="0"/>
              <w:rPr>
                <w:sz w:val="20"/>
                <w:szCs w:val="20"/>
                <w:color w:val="auto"/>
              </w:rPr>
            </w:pPr>
            <w:r>
              <w:rPr>
                <w:rFonts w:ascii="Arial" w:cs="Arial" w:eastAsia="Arial" w:hAnsi="Arial"/>
                <w:sz w:val="10"/>
                <w:szCs w:val="10"/>
                <w:color w:val="auto"/>
              </w:rPr>
              <w:t>Department Head-Otolaryngology,</w:t>
            </w:r>
          </w:p>
        </w:tc>
        <w:tc>
          <w:tcPr>
            <w:tcW w:w="2700" w:type="dxa"/>
            <w:vAlign w:val="bottom"/>
            <w:gridSpan w:val="3"/>
          </w:tcPr>
          <w:p>
            <w:pPr>
              <w:jc w:val="center"/>
              <w:ind w:left="810"/>
              <w:spacing w:after="0"/>
              <w:rPr>
                <w:sz w:val="20"/>
                <w:szCs w:val="20"/>
                <w:color w:val="auto"/>
              </w:rPr>
            </w:pPr>
            <w:r>
              <w:rPr>
                <w:rFonts w:ascii="Arial" w:cs="Arial" w:eastAsia="Arial" w:hAnsi="Arial"/>
                <w:sz w:val="10"/>
                <w:szCs w:val="10"/>
                <w:color w:val="auto"/>
              </w:rPr>
              <w:t>Chief Financial Officer and Secretary,</w:t>
            </w:r>
          </w:p>
        </w:tc>
      </w:tr>
      <w:tr>
        <w:trPr>
          <w:trHeight w:val="120"/>
        </w:trPr>
        <w:tc>
          <w:tcPr>
            <w:tcW w:w="1740" w:type="dxa"/>
            <w:vAlign w:val="bottom"/>
          </w:tcPr>
          <w:p>
            <w:pPr>
              <w:jc w:val="center"/>
              <w:spacing w:after="0"/>
              <w:rPr>
                <w:sz w:val="20"/>
                <w:szCs w:val="20"/>
                <w:color w:val="auto"/>
              </w:rPr>
            </w:pPr>
            <w:r>
              <w:rPr>
                <w:rFonts w:ascii="Arial" w:cs="Arial" w:eastAsia="Arial" w:hAnsi="Arial"/>
                <w:sz w:val="10"/>
                <w:szCs w:val="10"/>
                <w:color w:val="auto"/>
              </w:rPr>
              <w:t>Chief Executive Officer</w:t>
            </w:r>
          </w:p>
        </w:tc>
        <w:tc>
          <w:tcPr>
            <w:tcW w:w="96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color w:val="auto"/>
              </w:rPr>
              <w:t>Executive Committee</w:t>
            </w:r>
          </w:p>
        </w:tc>
        <w:tc>
          <w:tcPr>
            <w:tcW w:w="960" w:type="dxa"/>
            <w:vAlign w:val="bottom"/>
          </w:tcPr>
          <w:p>
            <w:pPr>
              <w:spacing w:after="0"/>
              <w:rPr>
                <w:sz w:val="10"/>
                <w:szCs w:val="10"/>
                <w:color w:val="auto"/>
              </w:rPr>
            </w:pPr>
          </w:p>
        </w:tc>
        <w:tc>
          <w:tcPr>
            <w:tcW w:w="1700" w:type="dxa"/>
            <w:vAlign w:val="bottom"/>
          </w:tcPr>
          <w:p>
            <w:pPr>
              <w:jc w:val="center"/>
              <w:ind w:right="30"/>
              <w:spacing w:after="0"/>
              <w:rPr>
                <w:sz w:val="20"/>
                <w:szCs w:val="20"/>
                <w:color w:val="auto"/>
              </w:rPr>
            </w:pPr>
            <w:r>
              <w:rPr>
                <w:rFonts w:ascii="Arial" w:cs="Arial" w:eastAsia="Arial" w:hAnsi="Arial"/>
                <w:sz w:val="10"/>
                <w:szCs w:val="10"/>
                <w:color w:val="auto"/>
              </w:rPr>
              <w:t>Head and Neck Surgery</w:t>
            </w:r>
          </w:p>
        </w:tc>
        <w:tc>
          <w:tcPr>
            <w:tcW w:w="960" w:type="dxa"/>
            <w:vAlign w:val="bottom"/>
          </w:tcPr>
          <w:p>
            <w:pPr>
              <w:spacing w:after="0"/>
              <w:rPr>
                <w:sz w:val="10"/>
                <w:szCs w:val="10"/>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0"/>
                <w:szCs w:val="10"/>
                <w:color w:val="auto"/>
              </w:rPr>
              <w:t>USANA Health Sciences, Inc.</w:t>
            </w:r>
          </w:p>
        </w:tc>
      </w:tr>
      <w:tr>
        <w:trPr>
          <w:trHeight w:val="120"/>
        </w:trPr>
        <w:tc>
          <w:tcPr>
            <w:tcW w:w="1740" w:type="dxa"/>
            <w:vAlign w:val="bottom"/>
          </w:tcPr>
          <w:p>
            <w:pPr>
              <w:jc w:val="center"/>
              <w:spacing w:after="0"/>
              <w:rPr>
                <w:sz w:val="20"/>
                <w:szCs w:val="20"/>
                <w:color w:val="auto"/>
              </w:rPr>
            </w:pPr>
            <w:r>
              <w:rPr>
                <w:rFonts w:ascii="Arial" w:cs="Arial" w:eastAsia="Arial" w:hAnsi="Arial"/>
                <w:sz w:val="10"/>
                <w:szCs w:val="10"/>
                <w:color w:val="auto"/>
              </w:rPr>
              <w:t>Director</w:t>
            </w:r>
          </w:p>
        </w:tc>
        <w:tc>
          <w:tcPr>
            <w:tcW w:w="960" w:type="dxa"/>
            <w:vAlign w:val="bottom"/>
          </w:tcPr>
          <w:p>
            <w:pPr>
              <w:spacing w:after="0"/>
              <w:rPr>
                <w:sz w:val="10"/>
                <w:szCs w:val="10"/>
                <w:color w:val="auto"/>
              </w:rPr>
            </w:pPr>
          </w:p>
        </w:tc>
        <w:tc>
          <w:tcPr>
            <w:tcW w:w="1720" w:type="dxa"/>
            <w:vAlign w:val="bottom"/>
          </w:tcPr>
          <w:p>
            <w:pPr>
              <w:jc w:val="center"/>
              <w:ind w:right="5"/>
              <w:spacing w:after="0"/>
              <w:rPr>
                <w:sz w:val="20"/>
                <w:szCs w:val="20"/>
                <w:color w:val="auto"/>
              </w:rPr>
            </w:pPr>
            <w:r>
              <w:rPr>
                <w:rFonts w:ascii="Arial" w:cs="Arial" w:eastAsia="Arial" w:hAnsi="Arial"/>
                <w:sz w:val="10"/>
                <w:szCs w:val="10"/>
                <w:color w:val="auto"/>
              </w:rPr>
              <w:t>Audit Committee</w:t>
            </w:r>
          </w:p>
        </w:tc>
        <w:tc>
          <w:tcPr>
            <w:tcW w:w="960" w:type="dxa"/>
            <w:vAlign w:val="bottom"/>
          </w:tcPr>
          <w:p>
            <w:pPr>
              <w:spacing w:after="0"/>
              <w:rPr>
                <w:sz w:val="10"/>
                <w:szCs w:val="10"/>
                <w:color w:val="auto"/>
              </w:rPr>
            </w:pPr>
          </w:p>
        </w:tc>
        <w:tc>
          <w:tcPr>
            <w:tcW w:w="1700" w:type="dxa"/>
            <w:vAlign w:val="bottom"/>
          </w:tcPr>
          <w:p>
            <w:pPr>
              <w:jc w:val="center"/>
              <w:ind w:right="10"/>
              <w:spacing w:after="0"/>
              <w:rPr>
                <w:sz w:val="20"/>
                <w:szCs w:val="20"/>
                <w:color w:val="auto"/>
              </w:rPr>
            </w:pPr>
            <w:r>
              <w:rPr>
                <w:rFonts w:ascii="Arial" w:cs="Arial" w:eastAsia="Arial" w:hAnsi="Arial"/>
                <w:sz w:val="10"/>
                <w:szCs w:val="10"/>
                <w:color w:val="auto"/>
              </w:rPr>
              <w:t>Intermountain Medical Center</w:t>
            </w:r>
          </w:p>
        </w:tc>
        <w:tc>
          <w:tcPr>
            <w:tcW w:w="960" w:type="dxa"/>
            <w:vAlign w:val="bottom"/>
          </w:tcPr>
          <w:p>
            <w:pPr>
              <w:spacing w:after="0"/>
              <w:rPr>
                <w:sz w:val="10"/>
                <w:szCs w:val="1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0"/>
                <w:szCs w:val="10"/>
                <w:color w:val="auto"/>
              </w:rPr>
              <w:t>Director</w:t>
            </w:r>
          </w:p>
        </w:tc>
      </w:tr>
      <w:tr>
        <w:trPr>
          <w:trHeight w:val="120"/>
        </w:trPr>
        <w:tc>
          <w:tcPr>
            <w:tcW w:w="1740" w:type="dxa"/>
            <w:vAlign w:val="bottom"/>
          </w:tcPr>
          <w:p>
            <w:pPr>
              <w:jc w:val="center"/>
              <w:spacing w:after="0"/>
              <w:rPr>
                <w:sz w:val="20"/>
                <w:szCs w:val="20"/>
                <w:color w:val="auto"/>
              </w:rPr>
            </w:pPr>
            <w:r>
              <w:rPr>
                <w:rFonts w:ascii="Arial" w:cs="Arial" w:eastAsia="Arial" w:hAnsi="Arial"/>
                <w:sz w:val="10"/>
                <w:szCs w:val="10"/>
                <w:color w:val="auto"/>
              </w:rPr>
              <w:t>Executive Committee</w:t>
            </w:r>
          </w:p>
        </w:tc>
        <w:tc>
          <w:tcPr>
            <w:tcW w:w="960" w:type="dxa"/>
            <w:vAlign w:val="bottom"/>
          </w:tcPr>
          <w:p>
            <w:pPr>
              <w:spacing w:after="0"/>
              <w:rPr>
                <w:sz w:val="10"/>
                <w:szCs w:val="10"/>
                <w:color w:val="auto"/>
              </w:rPr>
            </w:pPr>
          </w:p>
        </w:tc>
        <w:tc>
          <w:tcPr>
            <w:tcW w:w="1720" w:type="dxa"/>
            <w:vAlign w:val="bottom"/>
          </w:tcPr>
          <w:p>
            <w:pPr>
              <w:jc w:val="center"/>
              <w:ind w:right="5"/>
              <w:spacing w:after="0"/>
              <w:rPr>
                <w:sz w:val="20"/>
                <w:szCs w:val="20"/>
                <w:color w:val="auto"/>
              </w:rPr>
            </w:pPr>
            <w:r>
              <w:rPr>
                <w:rFonts w:ascii="Arial" w:cs="Arial" w:eastAsia="Arial" w:hAnsi="Arial"/>
                <w:sz w:val="10"/>
                <w:szCs w:val="10"/>
                <w:color w:val="auto"/>
              </w:rPr>
              <w:t>Compensation Committee</w:t>
            </w:r>
          </w:p>
        </w:tc>
        <w:tc>
          <w:tcPr>
            <w:tcW w:w="960" w:type="dxa"/>
            <w:vAlign w:val="bottom"/>
          </w:tcPr>
          <w:p>
            <w:pPr>
              <w:spacing w:after="0"/>
              <w:rPr>
                <w:sz w:val="10"/>
                <w:szCs w:val="10"/>
                <w:color w:val="auto"/>
              </w:rPr>
            </w:pPr>
          </w:p>
        </w:tc>
        <w:tc>
          <w:tcPr>
            <w:tcW w:w="1700" w:type="dxa"/>
            <w:vAlign w:val="bottom"/>
          </w:tcPr>
          <w:p>
            <w:pPr>
              <w:jc w:val="center"/>
              <w:ind w:right="30"/>
              <w:spacing w:after="0"/>
              <w:rPr>
                <w:sz w:val="20"/>
                <w:szCs w:val="20"/>
                <w:color w:val="auto"/>
              </w:rPr>
            </w:pPr>
            <w:r>
              <w:rPr>
                <w:rFonts w:ascii="Arial" w:cs="Arial" w:eastAsia="Arial" w:hAnsi="Arial"/>
                <w:sz w:val="10"/>
                <w:szCs w:val="10"/>
                <w:color w:val="auto"/>
              </w:rPr>
              <w:t>Director</w:t>
            </w:r>
          </w:p>
        </w:tc>
        <w:tc>
          <w:tcPr>
            <w:tcW w:w="960" w:type="dxa"/>
            <w:vAlign w:val="bottom"/>
          </w:tcPr>
          <w:p>
            <w:pPr>
              <w:spacing w:after="0"/>
              <w:rPr>
                <w:sz w:val="10"/>
                <w:szCs w:val="10"/>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0"/>
                <w:szCs w:val="10"/>
                <w:color w:val="auto"/>
              </w:rPr>
              <w:t>Executive Committee</w:t>
            </w:r>
          </w:p>
        </w:tc>
      </w:tr>
      <w:tr>
        <w:trPr>
          <w:trHeight w:val="120"/>
        </w:trPr>
        <w:tc>
          <w:tcPr>
            <w:tcW w:w="1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color w:val="auto"/>
              </w:rPr>
              <w:t>Nominating and Corporate</w:t>
            </w:r>
          </w:p>
        </w:tc>
        <w:tc>
          <w:tcPr>
            <w:tcW w:w="960" w:type="dxa"/>
            <w:vAlign w:val="bottom"/>
          </w:tcPr>
          <w:p>
            <w:pPr>
              <w:spacing w:after="0"/>
              <w:rPr>
                <w:sz w:val="10"/>
                <w:szCs w:val="10"/>
                <w:color w:val="auto"/>
              </w:rPr>
            </w:pPr>
          </w:p>
        </w:tc>
        <w:tc>
          <w:tcPr>
            <w:tcW w:w="1700" w:type="dxa"/>
            <w:vAlign w:val="bottom"/>
          </w:tcPr>
          <w:p>
            <w:pPr>
              <w:jc w:val="center"/>
              <w:ind w:right="10"/>
              <w:spacing w:after="0"/>
              <w:rPr>
                <w:sz w:val="20"/>
                <w:szCs w:val="20"/>
                <w:color w:val="auto"/>
              </w:rPr>
            </w:pPr>
            <w:r>
              <w:rPr>
                <w:rFonts w:ascii="Arial" w:cs="Arial" w:eastAsia="Arial" w:hAnsi="Arial"/>
                <w:sz w:val="10"/>
                <w:szCs w:val="10"/>
                <w:color w:val="auto"/>
              </w:rPr>
              <w:t>Compensation Committee</w:t>
            </w:r>
          </w:p>
        </w:tc>
        <w:tc>
          <w:tcPr>
            <w:tcW w:w="960" w:type="dxa"/>
            <w:vAlign w:val="bottom"/>
          </w:tcPr>
          <w:p>
            <w:pPr>
              <w:spacing w:after="0"/>
              <w:rPr>
                <w:sz w:val="10"/>
                <w:szCs w:val="10"/>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0"/>
                <w:szCs w:val="10"/>
                <w:color w:val="auto"/>
              </w:rPr>
              <w:t>Audit Committee</w:t>
            </w:r>
          </w:p>
        </w:tc>
      </w:tr>
      <w:tr>
        <w:trPr>
          <w:trHeight w:val="120"/>
        </w:trPr>
        <w:tc>
          <w:tcPr>
            <w:tcW w:w="1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20" w:type="dxa"/>
            <w:vAlign w:val="bottom"/>
          </w:tcPr>
          <w:p>
            <w:pPr>
              <w:jc w:val="center"/>
              <w:ind w:right="5"/>
              <w:spacing w:after="0"/>
              <w:rPr>
                <w:sz w:val="20"/>
                <w:szCs w:val="20"/>
                <w:color w:val="auto"/>
              </w:rPr>
            </w:pPr>
            <w:r>
              <w:rPr>
                <w:rFonts w:ascii="Arial" w:cs="Arial" w:eastAsia="Arial" w:hAnsi="Arial"/>
                <w:sz w:val="10"/>
                <w:szCs w:val="10"/>
                <w:color w:val="auto"/>
              </w:rPr>
              <w:t>Governance Committee</w:t>
            </w:r>
          </w:p>
        </w:tc>
        <w:tc>
          <w:tcPr>
            <w:tcW w:w="960" w:type="dxa"/>
            <w:vAlign w:val="bottom"/>
          </w:tcPr>
          <w:p>
            <w:pPr>
              <w:spacing w:after="0"/>
              <w:rPr>
                <w:sz w:val="10"/>
                <w:szCs w:val="10"/>
                <w:color w:val="auto"/>
              </w:rPr>
            </w:pPr>
          </w:p>
        </w:tc>
        <w:tc>
          <w:tcPr>
            <w:tcW w:w="1700" w:type="dxa"/>
            <w:vAlign w:val="bottom"/>
          </w:tcPr>
          <w:p>
            <w:pPr>
              <w:jc w:val="center"/>
              <w:ind w:right="30"/>
              <w:spacing w:after="0"/>
              <w:rPr>
                <w:sz w:val="20"/>
                <w:szCs w:val="20"/>
                <w:color w:val="auto"/>
              </w:rPr>
            </w:pPr>
            <w:r>
              <w:rPr>
                <w:rFonts w:ascii="Arial" w:cs="Arial" w:eastAsia="Arial" w:hAnsi="Arial"/>
                <w:sz w:val="10"/>
                <w:szCs w:val="10"/>
                <w:color w:val="auto"/>
              </w:rPr>
              <w:t>Nominating and Corporate</w:t>
            </w:r>
          </w:p>
        </w:tc>
        <w:tc>
          <w:tcPr>
            <w:tcW w:w="960" w:type="dxa"/>
            <w:vAlign w:val="bottom"/>
          </w:tcPr>
          <w:p>
            <w:pPr>
              <w:spacing w:after="0"/>
              <w:rPr>
                <w:sz w:val="10"/>
                <w:szCs w:val="10"/>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0"/>
                <w:szCs w:val="10"/>
                <w:color w:val="auto"/>
              </w:rPr>
              <w:t>Compensation Committee</w:t>
            </w:r>
          </w:p>
        </w:tc>
      </w:tr>
      <w:tr>
        <w:trPr>
          <w:trHeight w:val="120"/>
        </w:trPr>
        <w:tc>
          <w:tcPr>
            <w:tcW w:w="1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00" w:type="dxa"/>
            <w:vAlign w:val="bottom"/>
          </w:tcPr>
          <w:p>
            <w:pPr>
              <w:jc w:val="center"/>
              <w:ind w:right="10"/>
              <w:spacing w:after="0"/>
              <w:rPr>
                <w:sz w:val="20"/>
                <w:szCs w:val="20"/>
                <w:color w:val="auto"/>
              </w:rPr>
            </w:pPr>
            <w:r>
              <w:rPr>
                <w:rFonts w:ascii="Arial" w:cs="Arial" w:eastAsia="Arial" w:hAnsi="Arial"/>
                <w:sz w:val="10"/>
                <w:szCs w:val="10"/>
                <w:color w:val="auto"/>
              </w:rPr>
              <w:t>Governance Committee</w:t>
            </w:r>
          </w:p>
        </w:tc>
        <w:tc>
          <w:tcPr>
            <w:tcW w:w="960" w:type="dxa"/>
            <w:vAlign w:val="bottom"/>
          </w:tcPr>
          <w:p>
            <w:pPr>
              <w:spacing w:after="0"/>
              <w:rPr>
                <w:sz w:val="10"/>
                <w:szCs w:val="10"/>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0"/>
                <w:szCs w:val="10"/>
                <w:color w:val="auto"/>
              </w:rPr>
              <w:t>Nominating and Corporate</w:t>
            </w:r>
          </w:p>
        </w:tc>
      </w:tr>
      <w:tr>
        <w:trPr>
          <w:trHeight w:val="120"/>
        </w:trPr>
        <w:tc>
          <w:tcPr>
            <w:tcW w:w="1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740" w:type="dxa"/>
            <w:vAlign w:val="bottom"/>
            <w:gridSpan w:val="2"/>
          </w:tcPr>
          <w:p>
            <w:pPr>
              <w:jc w:val="center"/>
              <w:ind w:right="80"/>
              <w:spacing w:after="0"/>
              <w:rPr>
                <w:sz w:val="20"/>
                <w:szCs w:val="20"/>
                <w:color w:val="auto"/>
              </w:rPr>
            </w:pPr>
            <w:r>
              <w:rPr>
                <w:rFonts w:ascii="Arial" w:cs="Arial" w:eastAsia="Arial" w:hAnsi="Arial"/>
                <w:sz w:val="10"/>
                <w:szCs w:val="10"/>
                <w:color w:val="auto"/>
              </w:rPr>
              <w:t>Governance Committee</w:t>
            </w:r>
          </w:p>
        </w:tc>
      </w:tr>
      <w:tr>
        <w:trPr>
          <w:trHeight w:val="466"/>
        </w:trPr>
        <w:tc>
          <w:tcPr>
            <w:tcW w:w="1740" w:type="dxa"/>
            <w:vAlign w:val="bottom"/>
            <w:tcBorders>
              <w:bottom w:val="single" w:sz="8" w:color="CCCCCC"/>
            </w:tcBorders>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Borders>
              <w:bottom w:val="single" w:sz="8" w:color="CCCCCC"/>
            </w:tcBorders>
          </w:tcPr>
          <w:p>
            <w:pPr>
              <w:spacing w:after="0"/>
              <w:rPr>
                <w:sz w:val="24"/>
                <w:szCs w:val="24"/>
                <w:color w:val="auto"/>
              </w:rPr>
            </w:pPr>
          </w:p>
        </w:tc>
        <w:tc>
          <w:tcPr>
            <w:tcW w:w="960" w:type="dxa"/>
            <w:vAlign w:val="bottom"/>
          </w:tcPr>
          <w:p>
            <w:pPr>
              <w:spacing w:after="0"/>
              <w:rPr>
                <w:sz w:val="24"/>
                <w:szCs w:val="24"/>
                <w:color w:val="auto"/>
              </w:rPr>
            </w:pPr>
          </w:p>
        </w:tc>
        <w:tc>
          <w:tcPr>
            <w:tcW w:w="1700" w:type="dxa"/>
            <w:vAlign w:val="bottom"/>
            <w:tcBorders>
              <w:bottom w:val="single" w:sz="8" w:color="CCCCCC"/>
            </w:tcBorders>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Borders>
              <w:bottom w:val="single" w:sz="8" w:color="CCCCCC"/>
            </w:tcBorders>
          </w:tcPr>
          <w:p>
            <w:pPr>
              <w:spacing w:after="0"/>
              <w:rPr>
                <w:sz w:val="24"/>
                <w:szCs w:val="24"/>
                <w:color w:val="auto"/>
              </w:rPr>
            </w:pPr>
          </w:p>
        </w:tc>
        <w:tc>
          <w:tcPr>
            <w:tcW w:w="20" w:type="dxa"/>
            <w:vAlign w:val="bottom"/>
          </w:tcPr>
          <w:p>
            <w:pPr>
              <w:spacing w:after="0"/>
              <w:rPr>
                <w:sz w:val="24"/>
                <w:szCs w:val="24"/>
                <w:color w:val="auto"/>
              </w:rPr>
            </w:pPr>
          </w:p>
        </w:tc>
      </w:tr>
      <w:tr>
        <w:trPr>
          <w:trHeight w:val="1420"/>
        </w:trPr>
        <w:tc>
          <w:tcPr>
            <w:tcW w:w="1740" w:type="dxa"/>
            <w:vAlign w:val="bottom"/>
            <w:tcBorders>
              <w:left w:val="single" w:sz="8" w:color="CCCCCC"/>
              <w:bottom w:val="single" w:sz="8" w:color="CCCCCC"/>
              <w:right w:val="single" w:sz="8" w:color="CCCCCC"/>
            </w:tcBorders>
          </w:tcPr>
          <w:p>
            <w:pPr>
              <w:spacing w:after="0"/>
              <w:rPr>
                <w:sz w:val="24"/>
                <w:szCs w:val="24"/>
                <w:color w:val="auto"/>
              </w:rPr>
            </w:pPr>
          </w:p>
        </w:tc>
        <w:tc>
          <w:tcPr>
            <w:tcW w:w="960" w:type="dxa"/>
            <w:vAlign w:val="bottom"/>
            <w:tcBorders>
              <w:right w:val="single" w:sz="8" w:color="CCCCCC"/>
            </w:tcBorders>
          </w:tcPr>
          <w:p>
            <w:pPr>
              <w:spacing w:after="0"/>
              <w:rPr>
                <w:sz w:val="24"/>
                <w:szCs w:val="24"/>
                <w:color w:val="auto"/>
              </w:rPr>
            </w:pPr>
          </w:p>
        </w:tc>
        <w:tc>
          <w:tcPr>
            <w:tcW w:w="1720" w:type="dxa"/>
            <w:vAlign w:val="bottom"/>
            <w:tcBorders>
              <w:bottom w:val="single" w:sz="8" w:color="CCCCCC"/>
              <w:right w:val="single" w:sz="8" w:color="CCCCCC"/>
            </w:tcBorders>
          </w:tcPr>
          <w:p>
            <w:pPr>
              <w:spacing w:after="0"/>
              <w:rPr>
                <w:sz w:val="24"/>
                <w:szCs w:val="24"/>
                <w:color w:val="auto"/>
              </w:rPr>
            </w:pPr>
          </w:p>
        </w:tc>
        <w:tc>
          <w:tcPr>
            <w:tcW w:w="960" w:type="dxa"/>
            <w:vAlign w:val="bottom"/>
            <w:tcBorders>
              <w:right w:val="single" w:sz="8" w:color="CCCCCC"/>
            </w:tcBorders>
          </w:tcPr>
          <w:p>
            <w:pPr>
              <w:spacing w:after="0"/>
              <w:rPr>
                <w:sz w:val="24"/>
                <w:szCs w:val="24"/>
                <w:color w:val="auto"/>
              </w:rPr>
            </w:pPr>
          </w:p>
        </w:tc>
        <w:tc>
          <w:tcPr>
            <w:tcW w:w="1700" w:type="dxa"/>
            <w:vAlign w:val="bottom"/>
            <w:tcBorders>
              <w:bottom w:val="single" w:sz="8" w:color="CCCCCC"/>
              <w:right w:val="single" w:sz="8" w:color="CCCCCC"/>
            </w:tcBorders>
          </w:tcPr>
          <w:p>
            <w:pPr>
              <w:spacing w:after="0"/>
              <w:rPr>
                <w:sz w:val="24"/>
                <w:szCs w:val="24"/>
                <w:color w:val="auto"/>
              </w:rPr>
            </w:pPr>
          </w:p>
        </w:tc>
        <w:tc>
          <w:tcPr>
            <w:tcW w:w="960" w:type="dxa"/>
            <w:vAlign w:val="bottom"/>
            <w:tcBorders>
              <w:right w:val="single" w:sz="8" w:color="CCCCCC"/>
            </w:tcBorders>
          </w:tcPr>
          <w:p>
            <w:pPr>
              <w:spacing w:after="0"/>
              <w:rPr>
                <w:sz w:val="24"/>
                <w:szCs w:val="24"/>
                <w:color w:val="auto"/>
              </w:rPr>
            </w:pPr>
          </w:p>
        </w:tc>
        <w:tc>
          <w:tcPr>
            <w:tcW w:w="1720" w:type="dxa"/>
            <w:vAlign w:val="bottom"/>
            <w:tcBorders>
              <w:bottom w:val="single" w:sz="8" w:color="CCCCCC"/>
              <w:right w:val="single" w:sz="8" w:color="CCCCCC"/>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-939800</wp:posOffset>
            </wp:positionV>
            <wp:extent cx="6195695" cy="941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95695" cy="941705"/>
                    </a:xfrm>
                    <a:prstGeom prst="rect">
                      <a:avLst/>
                    </a:prstGeom>
                    <a:noFill/>
                  </pic:spPr>
                </pic:pic>
              </a:graphicData>
            </a:graphic>
          </wp:anchor>
        </w:drawing>
      </w:r>
    </w:p>
    <w:p>
      <w:pPr>
        <w:spacing w:after="0" w:line="51" w:lineRule="exact"/>
        <w:rPr>
          <w:sz w:val="20"/>
          <w:szCs w:val="20"/>
          <w:color w:val="auto"/>
        </w:rPr>
      </w:pPr>
    </w:p>
    <w:tbl>
      <w:tblPr>
        <w:tblLayout w:type="fixed"/>
        <w:tblInd w:w="590" w:type="dxa"/>
        <w:tblCellMar>
          <w:top w:w="0" w:type="dxa"/>
          <w:left w:w="0" w:type="dxa"/>
          <w:bottom w:w="0" w:type="dxa"/>
          <w:right w:w="0" w:type="dxa"/>
        </w:tblCellMar>
      </w:tblPr>
      <w:tr>
        <w:trPr>
          <w:trHeight w:val="256"/>
        </w:trPr>
        <w:tc>
          <w:tcPr>
            <w:tcW w:w="270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color w:val="000750"/>
              </w:rPr>
              <w:t>John L. Cook</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000750"/>
              </w:rPr>
              <w:t>S. Andrew Quist</w:t>
            </w:r>
          </w:p>
        </w:tc>
        <w:tc>
          <w:tcPr>
            <w:tcW w:w="940" w:type="dxa"/>
            <w:vAlign w:val="bottom"/>
          </w:tcPr>
          <w:p>
            <w:pPr>
              <w:spacing w:after="0"/>
              <w:rPr>
                <w:sz w:val="22"/>
                <w:szCs w:val="22"/>
                <w:color w:val="auto"/>
              </w:rPr>
            </w:pPr>
          </w:p>
        </w:tc>
        <w:tc>
          <w:tcPr>
            <w:tcW w:w="21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000750"/>
              </w:rPr>
              <w:t>Jason G. Overbaugh</w:t>
            </w:r>
          </w:p>
        </w:tc>
        <w:tc>
          <w:tcPr>
            <w:tcW w:w="500" w:type="dxa"/>
            <w:vAlign w:val="bottom"/>
          </w:tcPr>
          <w:p>
            <w:pPr>
              <w:spacing w:after="0"/>
              <w:rPr>
                <w:sz w:val="22"/>
                <w:szCs w:val="22"/>
                <w:color w:val="auto"/>
              </w:rPr>
            </w:pPr>
          </w:p>
        </w:tc>
        <w:tc>
          <w:tcPr>
            <w:tcW w:w="2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000750"/>
              </w:rPr>
              <w:t>Alexandra Mysoor</w:t>
            </w:r>
          </w:p>
        </w:tc>
        <w:tc>
          <w:tcPr>
            <w:tcW w:w="0" w:type="dxa"/>
            <w:vAlign w:val="bottom"/>
          </w:tcPr>
          <w:p>
            <w:pPr>
              <w:spacing w:after="0"/>
              <w:rPr>
                <w:sz w:val="1"/>
                <w:szCs w:val="1"/>
                <w:color w:val="auto"/>
              </w:rPr>
            </w:pPr>
          </w:p>
        </w:tc>
      </w:tr>
      <w:tr>
        <w:trPr>
          <w:trHeight w:val="139"/>
        </w:trPr>
        <w:tc>
          <w:tcPr>
            <w:tcW w:w="2700" w:type="dxa"/>
            <w:vAlign w:val="bottom"/>
            <w:gridSpan w:val="2"/>
            <w:vMerge w:val="restart"/>
          </w:tcPr>
          <w:p>
            <w:pPr>
              <w:jc w:val="center"/>
              <w:ind w:right="960"/>
              <w:spacing w:after="0"/>
              <w:rPr>
                <w:sz w:val="20"/>
                <w:szCs w:val="20"/>
                <w:color w:val="auto"/>
              </w:rPr>
            </w:pPr>
            <w:r>
              <w:rPr>
                <w:rFonts w:ascii="Arial" w:cs="Arial" w:eastAsia="Arial" w:hAnsi="Arial"/>
                <w:sz w:val="10"/>
                <w:szCs w:val="10"/>
                <w:color w:val="auto"/>
              </w:rPr>
              <w:t>Co-Owner &amp; Operator</w:t>
            </w:r>
          </w:p>
        </w:tc>
        <w:tc>
          <w:tcPr>
            <w:tcW w:w="1720" w:type="dxa"/>
            <w:vAlign w:val="bottom"/>
            <w:vMerge w:val="restart"/>
          </w:tcPr>
          <w:p>
            <w:pPr>
              <w:jc w:val="center"/>
              <w:ind w:right="20"/>
              <w:spacing w:after="0"/>
              <w:rPr>
                <w:sz w:val="20"/>
                <w:szCs w:val="20"/>
                <w:color w:val="auto"/>
              </w:rPr>
            </w:pPr>
            <w:r>
              <w:rPr>
                <w:rFonts w:ascii="Arial" w:cs="Arial" w:eastAsia="Arial" w:hAnsi="Arial"/>
                <w:sz w:val="10"/>
                <w:szCs w:val="10"/>
                <w:color w:val="auto"/>
              </w:rPr>
              <w:t>Director</w:t>
            </w:r>
          </w:p>
        </w:tc>
        <w:tc>
          <w:tcPr>
            <w:tcW w:w="940" w:type="dxa"/>
            <w:vAlign w:val="bottom"/>
          </w:tcPr>
          <w:p>
            <w:pPr>
              <w:spacing w:after="0"/>
              <w:rPr>
                <w:sz w:val="12"/>
                <w:szCs w:val="12"/>
                <w:color w:val="auto"/>
              </w:rPr>
            </w:pPr>
          </w:p>
        </w:tc>
        <w:tc>
          <w:tcPr>
            <w:tcW w:w="2160" w:type="dxa"/>
            <w:vAlign w:val="bottom"/>
            <w:gridSpan w:val="2"/>
          </w:tcPr>
          <w:p>
            <w:pPr>
              <w:jc w:val="center"/>
              <w:ind w:right="460"/>
              <w:spacing w:after="0"/>
              <w:rPr>
                <w:sz w:val="20"/>
                <w:szCs w:val="20"/>
                <w:color w:val="auto"/>
              </w:rPr>
            </w:pPr>
            <w:r>
              <w:rPr>
                <w:rFonts w:ascii="Arial" w:cs="Arial" w:eastAsia="Arial" w:hAnsi="Arial"/>
                <w:sz w:val="10"/>
                <w:szCs w:val="10"/>
                <w:color w:val="auto"/>
              </w:rPr>
              <w:t>Director</w:t>
            </w:r>
          </w:p>
        </w:tc>
        <w:tc>
          <w:tcPr>
            <w:tcW w:w="2520" w:type="dxa"/>
            <w:vAlign w:val="bottom"/>
            <w:gridSpan w:val="3"/>
          </w:tcPr>
          <w:p>
            <w:pPr>
              <w:jc w:val="center"/>
              <w:ind w:left="150"/>
              <w:spacing w:after="0"/>
              <w:rPr>
                <w:sz w:val="20"/>
                <w:szCs w:val="20"/>
                <w:color w:val="auto"/>
              </w:rPr>
            </w:pPr>
            <w:r>
              <w:rPr>
                <w:rFonts w:ascii="Arial" w:cs="Arial" w:eastAsia="Arial" w:hAnsi="Arial"/>
                <w:sz w:val="10"/>
                <w:szCs w:val="10"/>
                <w:color w:val="auto"/>
              </w:rPr>
              <w:t>Founder and Chairwoman of Mysoor Industries</w:t>
            </w:r>
          </w:p>
        </w:tc>
        <w:tc>
          <w:tcPr>
            <w:tcW w:w="0" w:type="dxa"/>
            <w:vAlign w:val="bottom"/>
          </w:tcPr>
          <w:p>
            <w:pPr>
              <w:spacing w:after="0"/>
              <w:rPr>
                <w:sz w:val="1"/>
                <w:szCs w:val="1"/>
                <w:color w:val="auto"/>
              </w:rPr>
            </w:pPr>
          </w:p>
        </w:tc>
      </w:tr>
      <w:tr>
        <w:trPr>
          <w:trHeight w:val="28"/>
        </w:trPr>
        <w:tc>
          <w:tcPr>
            <w:tcW w:w="2700" w:type="dxa"/>
            <w:vAlign w:val="bottom"/>
            <w:gridSpan w:val="2"/>
            <w:vMerge w:val="continue"/>
          </w:tcPr>
          <w:p>
            <w:pPr>
              <w:spacing w:after="0"/>
              <w:rPr>
                <w:sz w:val="2"/>
                <w:szCs w:val="2"/>
                <w:color w:val="auto"/>
              </w:rPr>
            </w:pPr>
          </w:p>
        </w:tc>
        <w:tc>
          <w:tcPr>
            <w:tcW w:w="17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2160" w:type="dxa"/>
            <w:vAlign w:val="bottom"/>
            <w:gridSpan w:val="2"/>
            <w:vMerge w:val="restart"/>
          </w:tcPr>
          <w:p>
            <w:pPr>
              <w:jc w:val="center"/>
              <w:ind w:right="460"/>
              <w:spacing w:after="0"/>
              <w:rPr>
                <w:sz w:val="20"/>
                <w:szCs w:val="20"/>
                <w:color w:val="auto"/>
              </w:rPr>
            </w:pPr>
            <w:r>
              <w:rPr>
                <w:rFonts w:ascii="Arial" w:cs="Arial" w:eastAsia="Arial" w:hAnsi="Arial"/>
                <w:sz w:val="10"/>
                <w:szCs w:val="10"/>
                <w:color w:val="auto"/>
              </w:rPr>
              <w:t>Vice President</w:t>
            </w:r>
          </w:p>
        </w:tc>
        <w:tc>
          <w:tcPr>
            <w:tcW w:w="2520" w:type="dxa"/>
            <w:vAlign w:val="bottom"/>
            <w:gridSpan w:val="3"/>
            <w:vMerge w:val="restart"/>
          </w:tcPr>
          <w:p>
            <w:pPr>
              <w:jc w:val="center"/>
              <w:ind w:left="150"/>
              <w:spacing w:after="0"/>
              <w:rPr>
                <w:sz w:val="20"/>
                <w:szCs w:val="20"/>
                <w:color w:val="auto"/>
              </w:rPr>
            </w:pPr>
            <w:r>
              <w:rPr>
                <w:rFonts w:ascii="Arial" w:cs="Arial" w:eastAsia="Arial" w:hAnsi="Arial"/>
                <w:sz w:val="10"/>
                <w:szCs w:val="10"/>
                <w:color w:val="auto"/>
              </w:rPr>
              <w:t>Founder and Chief Executive Officer of Alix</w:t>
            </w:r>
          </w:p>
        </w:tc>
        <w:tc>
          <w:tcPr>
            <w:tcW w:w="0" w:type="dxa"/>
            <w:vAlign w:val="bottom"/>
          </w:tcPr>
          <w:p>
            <w:pPr>
              <w:spacing w:after="0" w:line="20" w:lineRule="exact"/>
              <w:rPr>
                <w:sz w:val="1"/>
                <w:szCs w:val="1"/>
                <w:color w:val="auto"/>
              </w:rPr>
            </w:pPr>
          </w:p>
        </w:tc>
      </w:tr>
      <w:tr>
        <w:trPr>
          <w:trHeight w:val="92"/>
        </w:trPr>
        <w:tc>
          <w:tcPr>
            <w:tcW w:w="2700" w:type="dxa"/>
            <w:vAlign w:val="bottom"/>
            <w:gridSpan w:val="2"/>
            <w:vMerge w:val="restart"/>
          </w:tcPr>
          <w:p>
            <w:pPr>
              <w:jc w:val="center"/>
              <w:ind w:right="960"/>
              <w:spacing w:after="0"/>
              <w:rPr>
                <w:sz w:val="20"/>
                <w:szCs w:val="20"/>
                <w:color w:val="auto"/>
              </w:rPr>
            </w:pPr>
            <w:r>
              <w:rPr>
                <w:rFonts w:ascii="Arial" w:cs="Arial" w:eastAsia="Arial" w:hAnsi="Arial"/>
                <w:sz w:val="10"/>
                <w:szCs w:val="10"/>
                <w:color w:val="auto"/>
              </w:rPr>
              <w:t>Cook Brothers Painting, Inc.</w:t>
            </w:r>
          </w:p>
        </w:tc>
        <w:tc>
          <w:tcPr>
            <w:tcW w:w="1720" w:type="dxa"/>
            <w:vAlign w:val="bottom"/>
            <w:vMerge w:val="restart"/>
          </w:tcPr>
          <w:p>
            <w:pPr>
              <w:jc w:val="center"/>
              <w:spacing w:after="0"/>
              <w:rPr>
                <w:sz w:val="20"/>
                <w:szCs w:val="20"/>
                <w:color w:val="auto"/>
              </w:rPr>
            </w:pPr>
            <w:r>
              <w:rPr>
                <w:rFonts w:ascii="Arial" w:cs="Arial" w:eastAsia="Arial" w:hAnsi="Arial"/>
                <w:sz w:val="10"/>
                <w:szCs w:val="10"/>
                <w:color w:val="auto"/>
              </w:rPr>
              <w:t>President of Mortgage Operations</w:t>
            </w:r>
          </w:p>
        </w:tc>
        <w:tc>
          <w:tcPr>
            <w:tcW w:w="940" w:type="dxa"/>
            <w:vAlign w:val="bottom"/>
          </w:tcPr>
          <w:p>
            <w:pPr>
              <w:spacing w:after="0"/>
              <w:rPr>
                <w:sz w:val="7"/>
                <w:szCs w:val="7"/>
                <w:color w:val="auto"/>
              </w:rPr>
            </w:pPr>
          </w:p>
        </w:tc>
        <w:tc>
          <w:tcPr>
            <w:tcW w:w="2160" w:type="dxa"/>
            <w:vAlign w:val="bottom"/>
            <w:gridSpan w:val="2"/>
            <w:vMerge w:val="continue"/>
          </w:tcPr>
          <w:p>
            <w:pPr>
              <w:spacing w:after="0"/>
              <w:rPr>
                <w:sz w:val="7"/>
                <w:szCs w:val="7"/>
                <w:color w:val="auto"/>
              </w:rPr>
            </w:pPr>
          </w:p>
        </w:tc>
        <w:tc>
          <w:tcPr>
            <w:tcW w:w="25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700" w:type="dxa"/>
            <w:vAlign w:val="bottom"/>
            <w:gridSpan w:val="2"/>
            <w:vMerge w:val="continue"/>
          </w:tcPr>
          <w:p>
            <w:pPr>
              <w:spacing w:after="0"/>
              <w:rPr>
                <w:sz w:val="2"/>
                <w:szCs w:val="2"/>
                <w:color w:val="auto"/>
              </w:rPr>
            </w:pPr>
          </w:p>
        </w:tc>
        <w:tc>
          <w:tcPr>
            <w:tcW w:w="1720" w:type="dxa"/>
            <w:vAlign w:val="bottom"/>
            <w:vMerge w:val="continue"/>
          </w:tcPr>
          <w:p>
            <w:pPr>
              <w:spacing w:after="0"/>
              <w:rPr>
                <w:sz w:val="2"/>
                <w:szCs w:val="2"/>
                <w:color w:val="auto"/>
              </w:rPr>
            </w:pPr>
          </w:p>
        </w:tc>
        <w:tc>
          <w:tcPr>
            <w:tcW w:w="3100" w:type="dxa"/>
            <w:vAlign w:val="bottom"/>
            <w:gridSpan w:val="3"/>
            <w:vMerge w:val="restart"/>
          </w:tcPr>
          <w:p>
            <w:pPr>
              <w:jc w:val="center"/>
              <w:ind w:left="430"/>
              <w:spacing w:after="0"/>
              <w:rPr>
                <w:sz w:val="20"/>
                <w:szCs w:val="20"/>
                <w:color w:val="auto"/>
              </w:rPr>
            </w:pPr>
            <w:r>
              <w:rPr>
                <w:rFonts w:ascii="Arial" w:cs="Arial" w:eastAsia="Arial" w:hAnsi="Arial"/>
                <w:sz w:val="10"/>
                <w:szCs w:val="10"/>
                <w:color w:val="auto"/>
              </w:rPr>
              <w:t>National Marketing Director of Life Insurance</w:t>
            </w:r>
          </w:p>
        </w:tc>
        <w:tc>
          <w:tcPr>
            <w:tcW w:w="500" w:type="dxa"/>
            <w:vAlign w:val="bottom"/>
          </w:tcPr>
          <w:p>
            <w:pPr>
              <w:spacing w:after="0"/>
              <w:rPr>
                <w:sz w:val="2"/>
                <w:szCs w:val="2"/>
                <w:color w:val="auto"/>
              </w:rPr>
            </w:pPr>
          </w:p>
        </w:tc>
        <w:tc>
          <w:tcPr>
            <w:tcW w:w="2020" w:type="dxa"/>
            <w:vAlign w:val="bottom"/>
            <w:gridSpan w:val="2"/>
            <w:vMerge w:val="restart"/>
          </w:tcPr>
          <w:p>
            <w:pPr>
              <w:jc w:val="center"/>
              <w:ind w:right="300"/>
              <w:spacing w:after="0"/>
              <w:rPr>
                <w:sz w:val="20"/>
                <w:szCs w:val="20"/>
                <w:color w:val="auto"/>
              </w:rPr>
            </w:pPr>
            <w:r>
              <w:rPr>
                <w:rFonts w:ascii="Arial" w:cs="Arial" w:eastAsia="Arial" w:hAnsi="Arial"/>
                <w:sz w:val="10"/>
                <w:szCs w:val="10"/>
                <w:color w:val="auto"/>
              </w:rPr>
              <w:t>Director</w:t>
            </w:r>
          </w:p>
        </w:tc>
        <w:tc>
          <w:tcPr>
            <w:tcW w:w="0" w:type="dxa"/>
            <w:vAlign w:val="bottom"/>
          </w:tcPr>
          <w:p>
            <w:pPr>
              <w:spacing w:after="0" w:line="20" w:lineRule="exact"/>
              <w:rPr>
                <w:sz w:val="1"/>
                <w:szCs w:val="1"/>
                <w:color w:val="auto"/>
              </w:rPr>
            </w:pPr>
          </w:p>
        </w:tc>
      </w:tr>
      <w:tr>
        <w:trPr>
          <w:trHeight w:val="92"/>
        </w:trPr>
        <w:tc>
          <w:tcPr>
            <w:tcW w:w="2700" w:type="dxa"/>
            <w:vAlign w:val="bottom"/>
            <w:gridSpan w:val="2"/>
            <w:vMerge w:val="restart"/>
          </w:tcPr>
          <w:p>
            <w:pPr>
              <w:jc w:val="center"/>
              <w:ind w:right="960"/>
              <w:spacing w:after="0"/>
              <w:rPr>
                <w:sz w:val="20"/>
                <w:szCs w:val="20"/>
                <w:color w:val="auto"/>
              </w:rPr>
            </w:pPr>
            <w:r>
              <w:rPr>
                <w:rFonts w:ascii="Arial" w:cs="Arial" w:eastAsia="Arial" w:hAnsi="Arial"/>
                <w:sz w:val="10"/>
                <w:szCs w:val="10"/>
                <w:color w:val="auto"/>
              </w:rPr>
              <w:t>Director</w:t>
            </w:r>
          </w:p>
        </w:tc>
        <w:tc>
          <w:tcPr>
            <w:tcW w:w="1720" w:type="dxa"/>
            <w:vAlign w:val="bottom"/>
            <w:vMerge w:val="restart"/>
          </w:tcPr>
          <w:p>
            <w:pPr>
              <w:jc w:val="center"/>
              <w:spacing w:after="0"/>
              <w:rPr>
                <w:sz w:val="20"/>
                <w:szCs w:val="20"/>
                <w:color w:val="auto"/>
              </w:rPr>
            </w:pPr>
            <w:r>
              <w:rPr>
                <w:rFonts w:ascii="Arial" w:cs="Arial" w:eastAsia="Arial" w:hAnsi="Arial"/>
                <w:sz w:val="10"/>
                <w:szCs w:val="10"/>
                <w:color w:val="auto"/>
              </w:rPr>
              <w:t>Executive Committee</w:t>
            </w:r>
          </w:p>
        </w:tc>
        <w:tc>
          <w:tcPr>
            <w:tcW w:w="31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700" w:type="dxa"/>
            <w:vAlign w:val="bottom"/>
            <w:gridSpan w:val="2"/>
            <w:vMerge w:val="continue"/>
          </w:tcPr>
          <w:p>
            <w:pPr>
              <w:spacing w:after="0"/>
              <w:rPr>
                <w:sz w:val="2"/>
                <w:szCs w:val="2"/>
                <w:color w:val="auto"/>
              </w:rPr>
            </w:pPr>
          </w:p>
        </w:tc>
        <w:tc>
          <w:tcPr>
            <w:tcW w:w="1720" w:type="dxa"/>
            <w:vAlign w:val="bottom"/>
            <w:vMerge w:val="continue"/>
          </w:tcPr>
          <w:p>
            <w:pPr>
              <w:spacing w:after="0"/>
              <w:rPr>
                <w:sz w:val="2"/>
                <w:szCs w:val="2"/>
                <w:color w:val="auto"/>
              </w:rPr>
            </w:pPr>
          </w:p>
        </w:tc>
        <w:tc>
          <w:tcPr>
            <w:tcW w:w="3100" w:type="dxa"/>
            <w:vAlign w:val="bottom"/>
            <w:gridSpan w:val="3"/>
            <w:vMerge w:val="restart"/>
          </w:tcPr>
          <w:p>
            <w:pPr>
              <w:jc w:val="center"/>
              <w:ind w:left="430"/>
              <w:spacing w:after="0"/>
              <w:rPr>
                <w:sz w:val="20"/>
                <w:szCs w:val="20"/>
                <w:color w:val="auto"/>
              </w:rPr>
            </w:pPr>
            <w:r>
              <w:rPr>
                <w:rFonts w:ascii="Arial" w:cs="Arial" w:eastAsia="Arial" w:hAnsi="Arial"/>
                <w:sz w:val="10"/>
                <w:szCs w:val="10"/>
                <w:color w:val="auto"/>
              </w:rPr>
              <w:t>President of Real Estate Services Division</w:t>
            </w:r>
          </w:p>
        </w:tc>
        <w:tc>
          <w:tcPr>
            <w:tcW w:w="500" w:type="dxa"/>
            <w:vAlign w:val="bottom"/>
          </w:tcPr>
          <w:p>
            <w:pPr>
              <w:spacing w:after="0"/>
              <w:rPr>
                <w:sz w:val="2"/>
                <w:szCs w:val="2"/>
                <w:color w:val="auto"/>
              </w:rPr>
            </w:pPr>
          </w:p>
        </w:tc>
        <w:tc>
          <w:tcPr>
            <w:tcW w:w="2020" w:type="dxa"/>
            <w:vAlign w:val="bottom"/>
            <w:gridSpan w:val="2"/>
            <w:vMerge w:val="restart"/>
          </w:tcPr>
          <w:p>
            <w:pPr>
              <w:jc w:val="center"/>
              <w:ind w:right="300"/>
              <w:spacing w:after="0"/>
              <w:rPr>
                <w:sz w:val="20"/>
                <w:szCs w:val="20"/>
                <w:color w:val="auto"/>
              </w:rPr>
            </w:pPr>
            <w:r>
              <w:rPr>
                <w:rFonts w:ascii="Arial" w:cs="Arial" w:eastAsia="Arial" w:hAnsi="Arial"/>
                <w:sz w:val="10"/>
                <w:szCs w:val="10"/>
                <w:color w:val="auto"/>
              </w:rPr>
              <w:t>Audit Committee</w:t>
            </w:r>
          </w:p>
        </w:tc>
        <w:tc>
          <w:tcPr>
            <w:tcW w:w="0" w:type="dxa"/>
            <w:vAlign w:val="bottom"/>
          </w:tcPr>
          <w:p>
            <w:pPr>
              <w:spacing w:after="0" w:line="20" w:lineRule="exact"/>
              <w:rPr>
                <w:sz w:val="1"/>
                <w:szCs w:val="1"/>
                <w:color w:val="auto"/>
              </w:rPr>
            </w:pPr>
          </w:p>
        </w:tc>
      </w:tr>
      <w:tr>
        <w:trPr>
          <w:trHeight w:val="92"/>
        </w:trPr>
        <w:tc>
          <w:tcPr>
            <w:tcW w:w="2700" w:type="dxa"/>
            <w:vAlign w:val="bottom"/>
            <w:gridSpan w:val="2"/>
            <w:vMerge w:val="restart"/>
          </w:tcPr>
          <w:p>
            <w:pPr>
              <w:jc w:val="center"/>
              <w:ind w:right="960"/>
              <w:spacing w:after="0"/>
              <w:rPr>
                <w:sz w:val="20"/>
                <w:szCs w:val="20"/>
                <w:color w:val="auto"/>
              </w:rPr>
            </w:pPr>
            <w:r>
              <w:rPr>
                <w:rFonts w:ascii="Arial" w:cs="Arial" w:eastAsia="Arial" w:hAnsi="Arial"/>
                <w:sz w:val="10"/>
                <w:szCs w:val="10"/>
                <w:color w:val="auto"/>
              </w:rPr>
              <w:t>Audit Committee</w:t>
            </w:r>
          </w:p>
        </w:tc>
        <w:tc>
          <w:tcPr>
            <w:tcW w:w="1720" w:type="dxa"/>
            <w:vAlign w:val="bottom"/>
          </w:tcPr>
          <w:p>
            <w:pPr>
              <w:spacing w:after="0"/>
              <w:rPr>
                <w:sz w:val="7"/>
                <w:szCs w:val="7"/>
                <w:color w:val="auto"/>
              </w:rPr>
            </w:pPr>
          </w:p>
        </w:tc>
        <w:tc>
          <w:tcPr>
            <w:tcW w:w="310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700" w:type="dxa"/>
            <w:vAlign w:val="bottom"/>
            <w:gridSpan w:val="2"/>
            <w:vMerge w:val="continue"/>
          </w:tcPr>
          <w:p>
            <w:pPr>
              <w:spacing w:after="0"/>
              <w:rPr>
                <w:sz w:val="2"/>
                <w:szCs w:val="2"/>
                <w:color w:val="auto"/>
              </w:rPr>
            </w:pPr>
          </w:p>
        </w:tc>
        <w:tc>
          <w:tcPr>
            <w:tcW w:w="1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20" w:type="dxa"/>
            <w:vAlign w:val="bottom"/>
            <w:gridSpan w:val="2"/>
            <w:vMerge w:val="restart"/>
          </w:tcPr>
          <w:p>
            <w:pPr>
              <w:jc w:val="center"/>
              <w:ind w:right="320"/>
              <w:spacing w:after="0"/>
              <w:rPr>
                <w:sz w:val="20"/>
                <w:szCs w:val="20"/>
                <w:color w:val="auto"/>
              </w:rPr>
            </w:pPr>
            <w:r>
              <w:rPr>
                <w:rFonts w:ascii="Arial" w:cs="Arial" w:eastAsia="Arial" w:hAnsi="Arial"/>
                <w:sz w:val="10"/>
                <w:szCs w:val="10"/>
                <w:color w:val="auto"/>
              </w:rPr>
              <w:t>Compensation Committee</w:t>
            </w:r>
          </w:p>
        </w:tc>
        <w:tc>
          <w:tcPr>
            <w:tcW w:w="0" w:type="dxa"/>
            <w:vAlign w:val="bottom"/>
          </w:tcPr>
          <w:p>
            <w:pPr>
              <w:spacing w:after="0" w:line="20" w:lineRule="exact"/>
              <w:rPr>
                <w:sz w:val="1"/>
                <w:szCs w:val="1"/>
                <w:color w:val="auto"/>
              </w:rPr>
            </w:pPr>
          </w:p>
        </w:tc>
      </w:tr>
      <w:tr>
        <w:trPr>
          <w:trHeight w:val="92"/>
        </w:trPr>
        <w:tc>
          <w:tcPr>
            <w:tcW w:w="2700" w:type="dxa"/>
            <w:vAlign w:val="bottom"/>
            <w:gridSpan w:val="2"/>
            <w:vMerge w:val="restart"/>
          </w:tcPr>
          <w:p>
            <w:pPr>
              <w:jc w:val="center"/>
              <w:ind w:right="960"/>
              <w:spacing w:after="0"/>
              <w:rPr>
                <w:sz w:val="20"/>
                <w:szCs w:val="20"/>
                <w:color w:val="auto"/>
              </w:rPr>
            </w:pPr>
            <w:r>
              <w:rPr>
                <w:rFonts w:ascii="Arial" w:cs="Arial" w:eastAsia="Arial" w:hAnsi="Arial"/>
                <w:sz w:val="10"/>
                <w:szCs w:val="10"/>
                <w:color w:val="auto"/>
              </w:rPr>
              <w:t>Compensation Committee</w:t>
            </w:r>
          </w:p>
        </w:tc>
        <w:tc>
          <w:tcPr>
            <w:tcW w:w="1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700" w:type="dxa"/>
            <w:vAlign w:val="bottom"/>
            <w:gridSpan w:val="2"/>
            <w:vMerge w:val="continue"/>
          </w:tcPr>
          <w:p>
            <w:pPr>
              <w:spacing w:after="0"/>
              <w:rPr>
                <w:sz w:val="2"/>
                <w:szCs w:val="2"/>
                <w:color w:val="auto"/>
              </w:rPr>
            </w:pPr>
          </w:p>
        </w:tc>
        <w:tc>
          <w:tcPr>
            <w:tcW w:w="1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20" w:type="dxa"/>
            <w:vAlign w:val="bottom"/>
            <w:gridSpan w:val="2"/>
            <w:vMerge w:val="restart"/>
          </w:tcPr>
          <w:p>
            <w:pPr>
              <w:jc w:val="center"/>
              <w:ind w:right="300"/>
              <w:spacing w:after="0"/>
              <w:rPr>
                <w:sz w:val="20"/>
                <w:szCs w:val="20"/>
                <w:color w:val="auto"/>
              </w:rPr>
            </w:pPr>
            <w:r>
              <w:rPr>
                <w:rFonts w:ascii="Arial" w:cs="Arial" w:eastAsia="Arial" w:hAnsi="Arial"/>
                <w:sz w:val="10"/>
                <w:szCs w:val="10"/>
                <w:color w:val="auto"/>
              </w:rPr>
              <w:t>Nominating and Corporate</w:t>
            </w:r>
          </w:p>
        </w:tc>
        <w:tc>
          <w:tcPr>
            <w:tcW w:w="0" w:type="dxa"/>
            <w:vAlign w:val="bottom"/>
          </w:tcPr>
          <w:p>
            <w:pPr>
              <w:spacing w:after="0" w:line="20" w:lineRule="exact"/>
              <w:rPr>
                <w:sz w:val="1"/>
                <w:szCs w:val="1"/>
                <w:color w:val="auto"/>
              </w:rPr>
            </w:pPr>
          </w:p>
        </w:tc>
      </w:tr>
      <w:tr>
        <w:trPr>
          <w:trHeight w:val="92"/>
        </w:trPr>
        <w:tc>
          <w:tcPr>
            <w:tcW w:w="2700" w:type="dxa"/>
            <w:vAlign w:val="bottom"/>
            <w:gridSpan w:val="2"/>
            <w:vMerge w:val="restart"/>
          </w:tcPr>
          <w:p>
            <w:pPr>
              <w:jc w:val="center"/>
              <w:ind w:right="960"/>
              <w:spacing w:after="0"/>
              <w:rPr>
                <w:sz w:val="20"/>
                <w:szCs w:val="20"/>
                <w:color w:val="auto"/>
              </w:rPr>
            </w:pPr>
            <w:r>
              <w:rPr>
                <w:rFonts w:ascii="Arial" w:cs="Arial" w:eastAsia="Arial" w:hAnsi="Arial"/>
                <w:sz w:val="10"/>
                <w:szCs w:val="10"/>
                <w:color w:val="auto"/>
              </w:rPr>
              <w:t>Nominating and Corporate</w:t>
            </w:r>
          </w:p>
        </w:tc>
        <w:tc>
          <w:tcPr>
            <w:tcW w:w="1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700" w:type="dxa"/>
            <w:vAlign w:val="bottom"/>
            <w:gridSpan w:val="2"/>
            <w:vMerge w:val="continue"/>
          </w:tcPr>
          <w:p>
            <w:pPr>
              <w:spacing w:after="0"/>
              <w:rPr>
                <w:sz w:val="2"/>
                <w:szCs w:val="2"/>
                <w:color w:val="auto"/>
              </w:rPr>
            </w:pPr>
          </w:p>
        </w:tc>
        <w:tc>
          <w:tcPr>
            <w:tcW w:w="1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20" w:type="dxa"/>
            <w:vAlign w:val="bottom"/>
            <w:gridSpan w:val="2"/>
            <w:vMerge w:val="restart"/>
          </w:tcPr>
          <w:p>
            <w:pPr>
              <w:jc w:val="center"/>
              <w:ind w:right="320"/>
              <w:spacing w:after="0"/>
              <w:rPr>
                <w:sz w:val="20"/>
                <w:szCs w:val="20"/>
                <w:color w:val="auto"/>
              </w:rPr>
            </w:pPr>
            <w:r>
              <w:rPr>
                <w:rFonts w:ascii="Arial" w:cs="Arial" w:eastAsia="Arial" w:hAnsi="Arial"/>
                <w:sz w:val="10"/>
                <w:szCs w:val="10"/>
                <w:color w:val="auto"/>
              </w:rPr>
              <w:t>Governance Committee</w:t>
            </w:r>
          </w:p>
        </w:tc>
        <w:tc>
          <w:tcPr>
            <w:tcW w:w="0" w:type="dxa"/>
            <w:vAlign w:val="bottom"/>
          </w:tcPr>
          <w:p>
            <w:pPr>
              <w:spacing w:after="0" w:line="20" w:lineRule="exact"/>
              <w:rPr>
                <w:sz w:val="1"/>
                <w:szCs w:val="1"/>
                <w:color w:val="auto"/>
              </w:rPr>
            </w:pPr>
          </w:p>
        </w:tc>
      </w:tr>
      <w:tr>
        <w:trPr>
          <w:trHeight w:val="92"/>
        </w:trPr>
        <w:tc>
          <w:tcPr>
            <w:tcW w:w="2700" w:type="dxa"/>
            <w:vAlign w:val="bottom"/>
            <w:gridSpan w:val="2"/>
            <w:vMerge w:val="restart"/>
          </w:tcPr>
          <w:p>
            <w:pPr>
              <w:jc w:val="center"/>
              <w:ind w:right="960"/>
              <w:spacing w:after="0"/>
              <w:rPr>
                <w:sz w:val="20"/>
                <w:szCs w:val="20"/>
                <w:color w:val="auto"/>
              </w:rPr>
            </w:pPr>
            <w:r>
              <w:rPr>
                <w:rFonts w:ascii="Arial" w:cs="Arial" w:eastAsia="Arial" w:hAnsi="Arial"/>
                <w:sz w:val="10"/>
                <w:szCs w:val="10"/>
                <w:color w:val="auto"/>
              </w:rPr>
              <w:t>Governance Committee</w:t>
            </w:r>
          </w:p>
        </w:tc>
        <w:tc>
          <w:tcPr>
            <w:tcW w:w="1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700" w:type="dxa"/>
            <w:vAlign w:val="bottom"/>
            <w:gridSpan w:val="2"/>
            <w:vMerge w:val="continue"/>
          </w:tcPr>
          <w:p>
            <w:pPr>
              <w:spacing w:after="0"/>
              <w:rPr>
                <w:sz w:val="2"/>
                <w:szCs w:val="2"/>
                <w:color w:val="auto"/>
              </w:rPr>
            </w:pPr>
          </w:p>
        </w:tc>
        <w:tc>
          <w:tcPr>
            <w:tcW w:w="17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88"/>
        </w:trPr>
        <w:tc>
          <w:tcPr>
            <w:tcW w:w="1740" w:type="dxa"/>
            <w:vAlign w:val="bottom"/>
            <w:tcBorders>
              <w:bottom w:val="single" w:sz="8" w:color="CCCCCC"/>
            </w:tcBorders>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Borders>
              <w:bottom w:val="single" w:sz="8" w:color="CCCCCC"/>
            </w:tcBorders>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Borders>
              <w:bottom w:val="single" w:sz="8" w:color="CCCCCC"/>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20" w:type="dxa"/>
            <w:vAlign w:val="bottom"/>
            <w:tcBorders>
              <w:bottom w:val="single" w:sz="8" w:color="CCCCCC"/>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0"/>
        </w:trPr>
        <w:tc>
          <w:tcPr>
            <w:tcW w:w="1740" w:type="dxa"/>
            <w:vAlign w:val="bottom"/>
            <w:tcBorders>
              <w:left w:val="single" w:sz="8" w:color="CCCCCC"/>
              <w:bottom w:val="single" w:sz="8" w:color="CCCCCC"/>
              <w:right w:val="single" w:sz="8" w:color="CCCCCC"/>
            </w:tcBorders>
          </w:tcPr>
          <w:p>
            <w:pPr>
              <w:spacing w:after="0"/>
              <w:rPr>
                <w:sz w:val="24"/>
                <w:szCs w:val="24"/>
                <w:color w:val="auto"/>
              </w:rPr>
            </w:pPr>
          </w:p>
        </w:tc>
        <w:tc>
          <w:tcPr>
            <w:tcW w:w="960" w:type="dxa"/>
            <w:vAlign w:val="bottom"/>
            <w:tcBorders>
              <w:right w:val="single" w:sz="8" w:color="CCCCCC"/>
            </w:tcBorders>
          </w:tcPr>
          <w:p>
            <w:pPr>
              <w:spacing w:after="0"/>
              <w:rPr>
                <w:sz w:val="24"/>
                <w:szCs w:val="24"/>
                <w:color w:val="auto"/>
              </w:rPr>
            </w:pPr>
          </w:p>
        </w:tc>
        <w:tc>
          <w:tcPr>
            <w:tcW w:w="1720" w:type="dxa"/>
            <w:vAlign w:val="bottom"/>
            <w:tcBorders>
              <w:bottom w:val="single" w:sz="8" w:color="CCCCCC"/>
              <w:right w:val="single" w:sz="8" w:color="CCCCCC"/>
            </w:tcBorders>
          </w:tcPr>
          <w:p>
            <w:pPr>
              <w:spacing w:after="0"/>
              <w:rPr>
                <w:sz w:val="24"/>
                <w:szCs w:val="24"/>
                <w:color w:val="auto"/>
              </w:rPr>
            </w:pPr>
          </w:p>
        </w:tc>
        <w:tc>
          <w:tcPr>
            <w:tcW w:w="940" w:type="dxa"/>
            <w:vAlign w:val="bottom"/>
            <w:tcBorders>
              <w:right w:val="single" w:sz="8" w:color="CCCCCC"/>
            </w:tcBorders>
          </w:tcPr>
          <w:p>
            <w:pPr>
              <w:spacing w:after="0"/>
              <w:rPr>
                <w:sz w:val="24"/>
                <w:szCs w:val="24"/>
                <w:color w:val="auto"/>
              </w:rPr>
            </w:pPr>
          </w:p>
        </w:tc>
        <w:tc>
          <w:tcPr>
            <w:tcW w:w="1720" w:type="dxa"/>
            <w:vAlign w:val="bottom"/>
            <w:tcBorders>
              <w:bottom w:val="single" w:sz="8" w:color="CCCCCC"/>
              <w:right w:val="single" w:sz="8" w:color="CCCCCC"/>
            </w:tcBorders>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Borders>
              <w:right w:val="single" w:sz="8" w:color="CCCCCC"/>
            </w:tcBorders>
          </w:tcPr>
          <w:p>
            <w:pPr>
              <w:spacing w:after="0"/>
              <w:rPr>
                <w:sz w:val="24"/>
                <w:szCs w:val="24"/>
                <w:color w:val="auto"/>
              </w:rPr>
            </w:pPr>
          </w:p>
        </w:tc>
        <w:tc>
          <w:tcPr>
            <w:tcW w:w="1720" w:type="dxa"/>
            <w:vAlign w:val="bottom"/>
            <w:tcBorders>
              <w:bottom w:val="single" w:sz="8" w:color="CCCCCC"/>
              <w:right w:val="single" w:sz="8" w:color="CCCCCC"/>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-939800</wp:posOffset>
            </wp:positionV>
            <wp:extent cx="6187440" cy="9410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7440" cy="941070"/>
                    </a:xfrm>
                    <a:prstGeom prst="rect">
                      <a:avLst/>
                    </a:prstGeom>
                    <a:noFill/>
                  </pic:spPr>
                </pic:pic>
              </a:graphicData>
            </a:graphic>
          </wp:anchor>
        </w:drawing>
      </w:r>
    </w:p>
    <w:p>
      <w:pPr>
        <w:spacing w:after="0" w:line="54" w:lineRule="exact"/>
        <w:rPr>
          <w:sz w:val="20"/>
          <w:szCs w:val="20"/>
          <w:color w:val="auto"/>
        </w:rPr>
      </w:pPr>
    </w:p>
    <w:tbl>
      <w:tblPr>
        <w:tblLayout w:type="fixed"/>
        <w:tblInd w:w="590" w:type="dxa"/>
        <w:tblCellMar>
          <w:top w:w="0" w:type="dxa"/>
          <w:left w:w="0" w:type="dxa"/>
          <w:bottom w:w="0" w:type="dxa"/>
          <w:right w:w="0" w:type="dxa"/>
        </w:tblCellMar>
      </w:tblPr>
      <w:tr>
        <w:trPr>
          <w:trHeight w:val="256"/>
        </w:trPr>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000750"/>
              </w:rPr>
              <w:t>Adam G. Quist</w:t>
            </w:r>
          </w:p>
        </w:tc>
        <w:tc>
          <w:tcPr>
            <w:tcW w:w="960" w:type="dxa"/>
            <w:vAlign w:val="bottom"/>
          </w:tcPr>
          <w:p>
            <w:pPr>
              <w:spacing w:after="0"/>
              <w:rPr>
                <w:sz w:val="22"/>
                <w:szCs w:val="22"/>
                <w:color w:val="auto"/>
              </w:rPr>
            </w:pPr>
          </w:p>
        </w:tc>
        <w:tc>
          <w:tcPr>
            <w:tcW w:w="26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000750"/>
              </w:rPr>
              <w:t>Jeffrey R. Stephens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000750"/>
              </w:rPr>
              <w:t>Garrett S. Sill</w:t>
            </w:r>
          </w:p>
        </w:tc>
        <w:tc>
          <w:tcPr>
            <w:tcW w:w="94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000750"/>
              </w:rPr>
              <w:t>Diana C. Olson</w:t>
            </w:r>
          </w:p>
        </w:tc>
      </w:tr>
      <w:tr>
        <w:trPr>
          <w:trHeight w:val="141"/>
        </w:trPr>
        <w:tc>
          <w:tcPr>
            <w:tcW w:w="1740" w:type="dxa"/>
            <w:vAlign w:val="bottom"/>
          </w:tcPr>
          <w:p>
            <w:pPr>
              <w:jc w:val="center"/>
              <w:spacing w:after="0"/>
              <w:rPr>
                <w:sz w:val="20"/>
                <w:szCs w:val="20"/>
                <w:color w:val="auto"/>
              </w:rPr>
            </w:pPr>
            <w:r>
              <w:rPr>
                <w:rFonts w:ascii="Arial" w:cs="Arial" w:eastAsia="Arial" w:hAnsi="Arial"/>
                <w:sz w:val="10"/>
                <w:szCs w:val="10"/>
                <w:color w:val="auto"/>
              </w:rPr>
              <w:t>Director</w:t>
            </w:r>
          </w:p>
        </w:tc>
        <w:tc>
          <w:tcPr>
            <w:tcW w:w="960" w:type="dxa"/>
            <w:vAlign w:val="bottom"/>
          </w:tcPr>
          <w:p>
            <w:pPr>
              <w:spacing w:after="0"/>
              <w:rPr>
                <w:sz w:val="12"/>
                <w:szCs w:val="12"/>
                <w:color w:val="auto"/>
              </w:rPr>
            </w:pPr>
          </w:p>
        </w:tc>
        <w:tc>
          <w:tcPr>
            <w:tcW w:w="2660" w:type="dxa"/>
            <w:vAlign w:val="bottom"/>
            <w:gridSpan w:val="2"/>
          </w:tcPr>
          <w:p>
            <w:pPr>
              <w:jc w:val="center"/>
              <w:ind w:right="980"/>
              <w:spacing w:after="0"/>
              <w:rPr>
                <w:sz w:val="20"/>
                <w:szCs w:val="20"/>
                <w:color w:val="auto"/>
              </w:rPr>
            </w:pPr>
            <w:r>
              <w:rPr>
                <w:rFonts w:ascii="Arial" w:cs="Arial" w:eastAsia="Arial" w:hAnsi="Arial"/>
                <w:sz w:val="10"/>
                <w:szCs w:val="10"/>
                <w:color w:val="auto"/>
              </w:rPr>
              <w:t>Secretary</w:t>
            </w:r>
          </w:p>
        </w:tc>
        <w:tc>
          <w:tcPr>
            <w:tcW w:w="1720" w:type="dxa"/>
            <w:vAlign w:val="bottom"/>
          </w:tcPr>
          <w:p>
            <w:pPr>
              <w:jc w:val="center"/>
              <w:spacing w:after="0"/>
              <w:rPr>
                <w:sz w:val="20"/>
                <w:szCs w:val="20"/>
                <w:color w:val="auto"/>
              </w:rPr>
            </w:pPr>
            <w:r>
              <w:rPr>
                <w:rFonts w:ascii="Arial" w:cs="Arial" w:eastAsia="Arial" w:hAnsi="Arial"/>
                <w:sz w:val="10"/>
                <w:szCs w:val="10"/>
                <w:color w:val="auto"/>
              </w:rPr>
              <w:t>Chief Financial Officer</w:t>
            </w:r>
          </w:p>
        </w:tc>
        <w:tc>
          <w:tcPr>
            <w:tcW w:w="940" w:type="dxa"/>
            <w:vAlign w:val="bottom"/>
          </w:tcPr>
          <w:p>
            <w:pPr>
              <w:spacing w:after="0"/>
              <w:rPr>
                <w:sz w:val="12"/>
                <w:szCs w:val="12"/>
                <w:color w:val="auto"/>
              </w:rPr>
            </w:pPr>
          </w:p>
        </w:tc>
        <w:tc>
          <w:tcPr>
            <w:tcW w:w="1720" w:type="dxa"/>
            <w:vAlign w:val="bottom"/>
          </w:tcPr>
          <w:p>
            <w:pPr>
              <w:jc w:val="center"/>
              <w:spacing w:after="0"/>
              <w:rPr>
                <w:sz w:val="20"/>
                <w:szCs w:val="20"/>
                <w:color w:val="auto"/>
              </w:rPr>
            </w:pPr>
            <w:r>
              <w:rPr>
                <w:rFonts w:ascii="Arial" w:cs="Arial" w:eastAsia="Arial" w:hAnsi="Arial"/>
                <w:sz w:val="10"/>
                <w:szCs w:val="10"/>
                <w:color w:val="auto"/>
              </w:rPr>
              <w:t>Vice President</w:t>
            </w:r>
          </w:p>
        </w:tc>
      </w:tr>
      <w:tr>
        <w:trPr>
          <w:trHeight w:val="120"/>
        </w:trPr>
        <w:tc>
          <w:tcPr>
            <w:tcW w:w="1740" w:type="dxa"/>
            <w:vAlign w:val="bottom"/>
          </w:tcPr>
          <w:p>
            <w:pPr>
              <w:jc w:val="center"/>
              <w:spacing w:after="0"/>
              <w:rPr>
                <w:sz w:val="20"/>
                <w:szCs w:val="20"/>
                <w:color w:val="auto"/>
              </w:rPr>
            </w:pPr>
            <w:r>
              <w:rPr>
                <w:rFonts w:ascii="Arial" w:cs="Arial" w:eastAsia="Arial" w:hAnsi="Arial"/>
                <w:sz w:val="10"/>
                <w:szCs w:val="10"/>
                <w:color w:val="auto"/>
              </w:rPr>
              <w:t>President of Memorial Services</w:t>
            </w:r>
          </w:p>
        </w:tc>
        <w:tc>
          <w:tcPr>
            <w:tcW w:w="960" w:type="dxa"/>
            <w:vAlign w:val="bottom"/>
          </w:tcPr>
          <w:p>
            <w:pPr>
              <w:spacing w:after="0"/>
              <w:rPr>
                <w:sz w:val="10"/>
                <w:szCs w:val="10"/>
                <w:color w:val="auto"/>
              </w:rPr>
            </w:pPr>
          </w:p>
        </w:tc>
        <w:tc>
          <w:tcPr>
            <w:tcW w:w="2660" w:type="dxa"/>
            <w:vAlign w:val="bottom"/>
            <w:gridSpan w:val="2"/>
          </w:tcPr>
          <w:p>
            <w:pPr>
              <w:jc w:val="center"/>
              <w:ind w:right="980"/>
              <w:spacing w:after="0"/>
              <w:rPr>
                <w:sz w:val="20"/>
                <w:szCs w:val="20"/>
                <w:color w:val="auto"/>
              </w:rPr>
            </w:pPr>
            <w:r>
              <w:rPr>
                <w:rFonts w:ascii="Arial" w:cs="Arial" w:eastAsia="Arial" w:hAnsi="Arial"/>
                <w:sz w:val="10"/>
                <w:szCs w:val="10"/>
                <w:color w:val="auto"/>
              </w:rPr>
              <w:t>Senior General Counsel</w:t>
            </w:r>
          </w:p>
        </w:tc>
        <w:tc>
          <w:tcPr>
            <w:tcW w:w="1720" w:type="dxa"/>
            <w:vAlign w:val="bottom"/>
          </w:tcPr>
          <w:p>
            <w:pPr>
              <w:jc w:val="center"/>
              <w:spacing w:after="0"/>
              <w:rPr>
                <w:sz w:val="20"/>
                <w:szCs w:val="20"/>
                <w:color w:val="auto"/>
              </w:rPr>
            </w:pPr>
            <w:r>
              <w:rPr>
                <w:rFonts w:ascii="Arial" w:cs="Arial" w:eastAsia="Arial" w:hAnsi="Arial"/>
                <w:sz w:val="10"/>
                <w:szCs w:val="10"/>
                <w:color w:val="auto"/>
              </w:rPr>
              <w:t>Treasurer</w:t>
            </w:r>
          </w:p>
        </w:tc>
        <w:tc>
          <w:tcPr>
            <w:tcW w:w="940" w:type="dxa"/>
            <w:vAlign w:val="bottom"/>
          </w:tcPr>
          <w:p>
            <w:pPr>
              <w:spacing w:after="0"/>
              <w:rPr>
                <w:sz w:val="10"/>
                <w:szCs w:val="10"/>
                <w:color w:val="auto"/>
              </w:rPr>
            </w:pPr>
          </w:p>
        </w:tc>
        <w:tc>
          <w:tcPr>
            <w:tcW w:w="1720" w:type="dxa"/>
            <w:vAlign w:val="bottom"/>
          </w:tcPr>
          <w:p>
            <w:pPr>
              <w:jc w:val="center"/>
              <w:spacing w:after="0"/>
              <w:rPr>
                <w:sz w:val="20"/>
                <w:szCs w:val="20"/>
                <w:color w:val="auto"/>
              </w:rPr>
            </w:pPr>
            <w:r>
              <w:rPr>
                <w:rFonts w:ascii="Arial" w:cs="Arial" w:eastAsia="Arial" w:hAnsi="Arial"/>
                <w:sz w:val="10"/>
                <w:szCs w:val="10"/>
                <w:color w:val="auto"/>
              </w:rPr>
              <w:t>Finance</w:t>
            </w:r>
          </w:p>
        </w:tc>
      </w:tr>
      <w:tr>
        <w:trPr>
          <w:trHeight w:val="120"/>
        </w:trPr>
        <w:tc>
          <w:tcPr>
            <w:tcW w:w="1740" w:type="dxa"/>
            <w:vAlign w:val="bottom"/>
          </w:tcPr>
          <w:p>
            <w:pPr>
              <w:jc w:val="center"/>
              <w:spacing w:after="0"/>
              <w:rPr>
                <w:sz w:val="20"/>
                <w:szCs w:val="20"/>
                <w:color w:val="auto"/>
              </w:rPr>
            </w:pPr>
            <w:r>
              <w:rPr>
                <w:rFonts w:ascii="Arial" w:cs="Arial" w:eastAsia="Arial" w:hAnsi="Arial"/>
                <w:sz w:val="10"/>
                <w:szCs w:val="10"/>
                <w:color w:val="auto"/>
              </w:rPr>
              <w:t>President of Life Insurance</w:t>
            </w:r>
          </w:p>
        </w:tc>
        <w:tc>
          <w:tcPr>
            <w:tcW w:w="9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120"/>
        </w:trPr>
        <w:tc>
          <w:tcPr>
            <w:tcW w:w="1740" w:type="dxa"/>
            <w:vAlign w:val="bottom"/>
          </w:tcPr>
          <w:p>
            <w:pPr>
              <w:jc w:val="center"/>
              <w:spacing w:after="0"/>
              <w:rPr>
                <w:sz w:val="20"/>
                <w:szCs w:val="20"/>
                <w:color w:val="auto"/>
              </w:rPr>
            </w:pPr>
            <w:r>
              <w:rPr>
                <w:rFonts w:ascii="Arial" w:cs="Arial" w:eastAsia="Arial" w:hAnsi="Arial"/>
                <w:sz w:val="10"/>
                <w:szCs w:val="10"/>
                <w:color w:val="auto"/>
              </w:rPr>
              <w:t>Assistant Secretary</w:t>
            </w:r>
          </w:p>
        </w:tc>
        <w:tc>
          <w:tcPr>
            <w:tcW w:w="9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720" w:type="dxa"/>
            <w:vAlign w:val="bottom"/>
          </w:tcPr>
          <w:p>
            <w:pPr>
              <w:spacing w:after="0"/>
              <w:rPr>
                <w:sz w:val="10"/>
                <w:szCs w:val="10"/>
                <w:color w:val="auto"/>
              </w:rPr>
            </w:pPr>
          </w:p>
        </w:tc>
      </w:tr>
      <w:tr>
        <w:trPr>
          <w:trHeight w:val="1071"/>
        </w:trPr>
        <w:tc>
          <w:tcPr>
            <w:tcW w:w="1740" w:type="dxa"/>
            <w:vAlign w:val="bottom"/>
            <w:tcBorders>
              <w:bottom w:val="single" w:sz="8" w:color="CCCCCC"/>
            </w:tcBorders>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Borders>
              <w:bottom w:val="single" w:sz="8" w:color="CCCCCC"/>
            </w:tcBorders>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Borders>
              <w:bottom w:val="single" w:sz="8" w:color="CCCCCC"/>
            </w:tcBorders>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Borders>
              <w:bottom w:val="single" w:sz="8" w:color="CCCCCC"/>
            </w:tcBorders>
          </w:tcPr>
          <w:p>
            <w:pPr>
              <w:spacing w:after="0"/>
              <w:rPr>
                <w:sz w:val="24"/>
                <w:szCs w:val="24"/>
                <w:color w:val="auto"/>
              </w:rPr>
            </w:pPr>
          </w:p>
        </w:tc>
      </w:tr>
      <w:tr>
        <w:trPr>
          <w:trHeight w:val="1420"/>
        </w:trPr>
        <w:tc>
          <w:tcPr>
            <w:tcW w:w="1740" w:type="dxa"/>
            <w:vAlign w:val="bottom"/>
            <w:tcBorders>
              <w:left w:val="single" w:sz="8" w:color="CCCCCC"/>
              <w:bottom w:val="single" w:sz="8" w:color="CCCCCC"/>
              <w:right w:val="single" w:sz="8" w:color="CCCCCC"/>
            </w:tcBorders>
          </w:tcPr>
          <w:p>
            <w:pPr>
              <w:spacing w:after="0"/>
              <w:rPr>
                <w:sz w:val="24"/>
                <w:szCs w:val="24"/>
                <w:color w:val="auto"/>
              </w:rPr>
            </w:pPr>
          </w:p>
        </w:tc>
        <w:tc>
          <w:tcPr>
            <w:tcW w:w="960" w:type="dxa"/>
            <w:vAlign w:val="bottom"/>
            <w:tcBorders>
              <w:right w:val="single" w:sz="8" w:color="CCCCCC"/>
            </w:tcBorders>
          </w:tcPr>
          <w:p>
            <w:pPr>
              <w:spacing w:after="0"/>
              <w:rPr>
                <w:sz w:val="24"/>
                <w:szCs w:val="24"/>
                <w:color w:val="auto"/>
              </w:rPr>
            </w:pPr>
          </w:p>
        </w:tc>
        <w:tc>
          <w:tcPr>
            <w:tcW w:w="1720" w:type="dxa"/>
            <w:vAlign w:val="bottom"/>
            <w:tcBorders>
              <w:bottom w:val="single" w:sz="8" w:color="CCCCCC"/>
              <w:right w:val="single" w:sz="8" w:color="CCCCCC"/>
            </w:tcBorders>
          </w:tcPr>
          <w:p>
            <w:pPr>
              <w:spacing w:after="0"/>
              <w:rPr>
                <w:sz w:val="24"/>
                <w:szCs w:val="24"/>
                <w:color w:val="auto"/>
              </w:rPr>
            </w:pPr>
          </w:p>
        </w:tc>
        <w:tc>
          <w:tcPr>
            <w:tcW w:w="940" w:type="dxa"/>
            <w:vAlign w:val="bottom"/>
            <w:tcBorders>
              <w:right w:val="single" w:sz="8" w:color="CCCCCC"/>
            </w:tcBorders>
          </w:tcPr>
          <w:p>
            <w:pPr>
              <w:spacing w:after="0"/>
              <w:rPr>
                <w:sz w:val="24"/>
                <w:szCs w:val="24"/>
                <w:color w:val="auto"/>
              </w:rPr>
            </w:pPr>
          </w:p>
        </w:tc>
        <w:tc>
          <w:tcPr>
            <w:tcW w:w="1720" w:type="dxa"/>
            <w:vAlign w:val="bottom"/>
            <w:tcBorders>
              <w:bottom w:val="single" w:sz="8" w:color="CCCCCC"/>
              <w:right w:val="single" w:sz="8" w:color="CCCCCC"/>
            </w:tcBorders>
          </w:tcPr>
          <w:p>
            <w:pPr>
              <w:spacing w:after="0"/>
              <w:rPr>
                <w:sz w:val="24"/>
                <w:szCs w:val="24"/>
                <w:color w:val="auto"/>
              </w:rPr>
            </w:pPr>
          </w:p>
        </w:tc>
        <w:tc>
          <w:tcPr>
            <w:tcW w:w="940" w:type="dxa"/>
            <w:vAlign w:val="bottom"/>
            <w:tcBorders>
              <w:right w:val="single" w:sz="8" w:color="CCCCCC"/>
            </w:tcBorders>
          </w:tcPr>
          <w:p>
            <w:pPr>
              <w:spacing w:after="0"/>
              <w:rPr>
                <w:sz w:val="24"/>
                <w:szCs w:val="24"/>
                <w:color w:val="auto"/>
              </w:rPr>
            </w:pPr>
          </w:p>
        </w:tc>
        <w:tc>
          <w:tcPr>
            <w:tcW w:w="1720" w:type="dxa"/>
            <w:vAlign w:val="bottom"/>
            <w:tcBorders>
              <w:bottom w:val="single" w:sz="8" w:color="CCCCCC"/>
              <w:right w:val="single" w:sz="8" w:color="CCCC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-940435</wp:posOffset>
            </wp:positionV>
            <wp:extent cx="6174105" cy="941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4105" cy="941705"/>
                    </a:xfrm>
                    <a:prstGeom prst="rect">
                      <a:avLst/>
                    </a:prstGeom>
                    <a:noFill/>
                  </pic:spPr>
                </pic:pic>
              </a:graphicData>
            </a:graphic>
          </wp:anchor>
        </w:drawing>
      </w:r>
    </w:p>
    <w:p>
      <w:pPr>
        <w:spacing w:after="0" w:line="54" w:lineRule="exact"/>
        <w:rPr>
          <w:sz w:val="20"/>
          <w:szCs w:val="20"/>
          <w:color w:val="auto"/>
        </w:rPr>
      </w:pPr>
    </w:p>
    <w:tbl>
      <w:tblPr>
        <w:tblLayout w:type="fixed"/>
        <w:tblInd w:w="660" w:type="dxa"/>
        <w:tblCellMar>
          <w:top w:w="0" w:type="dxa"/>
          <w:left w:w="0" w:type="dxa"/>
          <w:bottom w:w="0" w:type="dxa"/>
          <w:right w:w="0" w:type="dxa"/>
        </w:tblCellMar>
      </w:tblPr>
      <w:tr>
        <w:trPr>
          <w:trHeight w:val="259"/>
        </w:trPr>
        <w:tc>
          <w:tcPr>
            <w:tcW w:w="2200" w:type="dxa"/>
            <w:vAlign w:val="bottom"/>
          </w:tcPr>
          <w:p>
            <w:pPr>
              <w:jc w:val="center"/>
              <w:ind w:right="597"/>
              <w:spacing w:after="0"/>
              <w:rPr>
                <w:sz w:val="20"/>
                <w:szCs w:val="20"/>
                <w:color w:val="auto"/>
              </w:rPr>
            </w:pPr>
            <w:r>
              <w:rPr>
                <w:rFonts w:ascii="Times New Roman" w:cs="Times New Roman" w:eastAsia="Times New Roman" w:hAnsi="Times New Roman"/>
                <w:sz w:val="18"/>
                <w:szCs w:val="18"/>
                <w:color w:val="000750"/>
              </w:rPr>
              <w:t>Thayne D. Atkinson</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000750"/>
              </w:rPr>
              <w:t>Richard R. Dahl</w:t>
            </w:r>
          </w:p>
        </w:tc>
        <w:tc>
          <w:tcPr>
            <w:tcW w:w="2640" w:type="dxa"/>
            <w:vAlign w:val="bottom"/>
          </w:tcPr>
          <w:p>
            <w:pPr>
              <w:jc w:val="center"/>
              <w:spacing w:after="0"/>
              <w:rPr>
                <w:sz w:val="20"/>
                <w:szCs w:val="20"/>
                <w:color w:val="auto"/>
              </w:rPr>
            </w:pPr>
            <w:r>
              <w:rPr>
                <w:rFonts w:ascii="Times New Roman" w:cs="Times New Roman" w:eastAsia="Times New Roman" w:hAnsi="Times New Roman"/>
                <w:sz w:val="18"/>
                <w:szCs w:val="18"/>
                <w:color w:val="000750"/>
              </w:rPr>
              <w:t>Jeffrey P. Adams</w:t>
            </w:r>
          </w:p>
        </w:tc>
        <w:tc>
          <w:tcPr>
            <w:tcW w:w="212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000750"/>
              </w:rPr>
              <w:t>Matthew G. Bagley</w:t>
            </w:r>
          </w:p>
        </w:tc>
      </w:tr>
      <w:tr>
        <w:trPr>
          <w:trHeight w:val="137"/>
        </w:trPr>
        <w:tc>
          <w:tcPr>
            <w:tcW w:w="2200" w:type="dxa"/>
            <w:vAlign w:val="bottom"/>
          </w:tcPr>
          <w:p>
            <w:pPr>
              <w:jc w:val="center"/>
              <w:ind w:right="597"/>
              <w:spacing w:after="0"/>
              <w:rPr>
                <w:sz w:val="20"/>
                <w:szCs w:val="20"/>
                <w:color w:val="auto"/>
              </w:rPr>
            </w:pPr>
            <w:r>
              <w:rPr>
                <w:rFonts w:ascii="Arial" w:cs="Arial" w:eastAsia="Arial" w:hAnsi="Arial"/>
                <w:sz w:val="10"/>
                <w:szCs w:val="10"/>
                <w:color w:val="auto"/>
              </w:rPr>
              <w:t>Vice President</w:t>
            </w:r>
          </w:p>
        </w:tc>
        <w:tc>
          <w:tcPr>
            <w:tcW w:w="2580" w:type="dxa"/>
            <w:vAlign w:val="bottom"/>
          </w:tcPr>
          <w:p>
            <w:pPr>
              <w:jc w:val="center"/>
              <w:spacing w:after="0"/>
              <w:rPr>
                <w:sz w:val="20"/>
                <w:szCs w:val="20"/>
                <w:color w:val="auto"/>
              </w:rPr>
            </w:pPr>
            <w:r>
              <w:rPr>
                <w:rFonts w:ascii="Arial" w:cs="Arial" w:eastAsia="Arial" w:hAnsi="Arial"/>
                <w:sz w:val="10"/>
                <w:szCs w:val="10"/>
                <w:color w:val="auto"/>
              </w:rPr>
              <w:t>Vice President</w:t>
            </w:r>
          </w:p>
        </w:tc>
        <w:tc>
          <w:tcPr>
            <w:tcW w:w="2640" w:type="dxa"/>
            <w:vAlign w:val="bottom"/>
          </w:tcPr>
          <w:p>
            <w:pPr>
              <w:jc w:val="center"/>
              <w:spacing w:after="0"/>
              <w:rPr>
                <w:sz w:val="20"/>
                <w:szCs w:val="20"/>
                <w:color w:val="auto"/>
              </w:rPr>
            </w:pPr>
            <w:r>
              <w:rPr>
                <w:rFonts w:ascii="Arial" w:cs="Arial" w:eastAsia="Arial" w:hAnsi="Arial"/>
                <w:sz w:val="10"/>
                <w:szCs w:val="10"/>
                <w:color w:val="auto"/>
              </w:rPr>
              <w:t>Controller</w:t>
            </w:r>
          </w:p>
        </w:tc>
        <w:tc>
          <w:tcPr>
            <w:tcW w:w="2120" w:type="dxa"/>
            <w:vAlign w:val="bottom"/>
          </w:tcPr>
          <w:p>
            <w:pPr>
              <w:jc w:val="center"/>
              <w:ind w:left="570"/>
              <w:spacing w:after="0"/>
              <w:rPr>
                <w:sz w:val="20"/>
                <w:szCs w:val="20"/>
                <w:color w:val="auto"/>
              </w:rPr>
            </w:pPr>
            <w:r>
              <w:rPr>
                <w:rFonts w:ascii="Arial" w:cs="Arial" w:eastAsia="Arial" w:hAnsi="Arial"/>
                <w:sz w:val="10"/>
                <w:szCs w:val="10"/>
                <w:color w:val="auto"/>
              </w:rPr>
              <w:t>General Counsel</w:t>
            </w:r>
          </w:p>
        </w:tc>
      </w:tr>
      <w:tr>
        <w:trPr>
          <w:trHeight w:val="120"/>
        </w:trPr>
        <w:tc>
          <w:tcPr>
            <w:tcW w:w="2200" w:type="dxa"/>
            <w:vAlign w:val="bottom"/>
          </w:tcPr>
          <w:p>
            <w:pPr>
              <w:jc w:val="center"/>
              <w:ind w:right="577"/>
              <w:spacing w:after="0"/>
              <w:rPr>
                <w:sz w:val="20"/>
                <w:szCs w:val="20"/>
                <w:color w:val="auto"/>
              </w:rPr>
            </w:pPr>
            <w:r>
              <w:rPr>
                <w:rFonts w:ascii="Arial" w:cs="Arial" w:eastAsia="Arial" w:hAnsi="Arial"/>
                <w:sz w:val="10"/>
                <w:szCs w:val="10"/>
                <w:color w:val="auto"/>
              </w:rPr>
              <w:t>Chief Information Officer</w:t>
            </w:r>
          </w:p>
        </w:tc>
        <w:tc>
          <w:tcPr>
            <w:tcW w:w="2580" w:type="dxa"/>
            <w:vAlign w:val="bottom"/>
          </w:tcPr>
          <w:p>
            <w:pPr>
              <w:jc w:val="center"/>
              <w:spacing w:after="0"/>
              <w:rPr>
                <w:sz w:val="20"/>
                <w:szCs w:val="20"/>
                <w:color w:val="auto"/>
              </w:rPr>
            </w:pPr>
            <w:r>
              <w:rPr>
                <w:rFonts w:ascii="Arial" w:cs="Arial" w:eastAsia="Arial" w:hAnsi="Arial"/>
                <w:sz w:val="10"/>
                <w:szCs w:val="10"/>
                <w:color w:val="auto"/>
                <w:w w:val="95"/>
              </w:rPr>
              <w:t>Tax</w:t>
            </w:r>
          </w:p>
        </w:tc>
        <w:tc>
          <w:tcPr>
            <w:tcW w:w="2640" w:type="dxa"/>
            <w:vAlign w:val="bottom"/>
          </w:tcPr>
          <w:p>
            <w:pPr>
              <w:spacing w:after="0"/>
              <w:rPr>
                <w:sz w:val="10"/>
                <w:szCs w:val="10"/>
                <w:color w:val="auto"/>
              </w:rPr>
            </w:pPr>
          </w:p>
        </w:tc>
        <w:tc>
          <w:tcPr>
            <w:tcW w:w="2120" w:type="dxa"/>
            <w:vAlign w:val="bottom"/>
          </w:tcPr>
          <w:p>
            <w:pPr>
              <w:spacing w:after="0"/>
              <w:rPr>
                <w:sz w:val="10"/>
                <w:szCs w:val="10"/>
                <w:color w:val="auto"/>
              </w:rPr>
            </w:pPr>
          </w:p>
        </w:tc>
      </w:tr>
    </w:tbl>
    <w:p>
      <w:pPr>
        <w:sectPr>
          <w:pgSz w:w="12240" w:h="15840" w:orient="portrait"/>
          <w:cols w:equalWidth="0" w:num="1">
            <w:col w:w="10620"/>
          </w:cols>
          <w:pgMar w:left="720" w:top="621" w:right="900" w:bottom="831" w:gutter="0" w:footer="0" w:header="0"/>
          <w:type w:val="continuous"/>
        </w:sectPr>
      </w:pPr>
    </w:p>
    <w:bookmarkStart w:id="4" w:name="page5"/>
    <w:bookmarkEnd w:id="4"/>
    <w:p>
      <w:pPr>
        <w:ind w:left="220"/>
        <w:spacing w:after="0"/>
        <w:tabs>
          <w:tab w:leader="none" w:pos="1900" w:val="left"/>
          <w:tab w:leader="none" w:pos="3100" w:val="left"/>
        </w:tabs>
        <w:rPr>
          <w:sz w:val="20"/>
          <w:szCs w:val="20"/>
          <w:color w:val="auto"/>
        </w:rPr>
      </w:pPr>
      <w:r>
        <w:rPr>
          <w:rFonts w:ascii="Times New Roman" w:cs="Times New Roman" w:eastAsia="Times New Roman" w:hAnsi="Times New Roman"/>
          <w:sz w:val="50"/>
          <w:szCs w:val="50"/>
          <w:i w:val="1"/>
          <w:iCs w:val="1"/>
          <w:color w:val="000750"/>
          <w:highlight w:val="black"/>
        </w:rPr>
        <w:drawing>
          <wp:anchor simplePos="0" relativeHeight="251657728" behindDoc="1" locked="0" layoutInCell="0" allowOverlap="1">
            <wp:simplePos x="0" y="0"/>
            <wp:positionH relativeFrom="page">
              <wp:posOffset>0</wp:posOffset>
            </wp:positionH>
            <wp:positionV relativeFrom="page">
              <wp:posOffset>0</wp:posOffset>
            </wp:positionV>
            <wp:extent cx="7772400" cy="11296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72400" cy="1129665"/>
                    </a:xfrm>
                    <a:prstGeom prst="rect">
                      <a:avLst/>
                    </a:prstGeom>
                    <a:noFill/>
                  </pic:spPr>
                </pic:pic>
              </a:graphicData>
            </a:graphic>
          </wp:anchor>
        </w:drawing>
        <w:t>1965</w:t>
        <w:tab/>
        <w:t>•</w:t>
      </w:r>
      <w:r>
        <w:rPr>
          <w:sz w:val="20"/>
          <w:szCs w:val="20"/>
          <w:color w:val="auto"/>
        </w:rPr>
        <w:tab/>
      </w:r>
      <w:r>
        <w:rPr>
          <w:rFonts w:ascii="Times New Roman" w:cs="Times New Roman" w:eastAsia="Times New Roman" w:hAnsi="Times New Roman"/>
          <w:sz w:val="78"/>
          <w:szCs w:val="78"/>
          <w:b w:val="1"/>
          <w:bCs w:val="1"/>
          <w:i w:val="1"/>
          <w:iCs w:val="1"/>
          <w:color w:val="000750"/>
          <w:highlight w:val="black"/>
        </w:rPr>
        <w:t>Celebrating 60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928370</wp:posOffset>
            </wp:positionV>
            <wp:extent cx="1077595" cy="1077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77595" cy="1077595"/>
                    </a:xfrm>
                    <a:prstGeom prst="rect">
                      <a:avLst/>
                    </a:prstGeom>
                    <a:noFill/>
                  </pic:spPr>
                </pic:pic>
              </a:graphicData>
            </a:graphic>
          </wp:anchor>
        </w:drawing>
        <w:drawing>
          <wp:anchor simplePos="0" relativeHeight="251657728" behindDoc="1" locked="0" layoutInCell="0" allowOverlap="1">
            <wp:simplePos x="0" y="0"/>
            <wp:positionH relativeFrom="column">
              <wp:posOffset>5946775</wp:posOffset>
            </wp:positionH>
            <wp:positionV relativeFrom="paragraph">
              <wp:posOffset>1643380</wp:posOffset>
            </wp:positionV>
            <wp:extent cx="25400" cy="114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400" cy="114300"/>
                    </a:xfrm>
                    <a:prstGeom prst="rect">
                      <a:avLst/>
                    </a:prstGeom>
                    <a:noFill/>
                  </pic:spPr>
                </pic:pic>
              </a:graphicData>
            </a:graphic>
          </wp:anchor>
        </w:drawing>
        <w:drawing>
          <wp:anchor simplePos="0" relativeHeight="251657728" behindDoc="1" locked="0" layoutInCell="0" allowOverlap="1">
            <wp:simplePos x="0" y="0"/>
            <wp:positionH relativeFrom="column">
              <wp:posOffset>2556510</wp:posOffset>
            </wp:positionH>
            <wp:positionV relativeFrom="paragraph">
              <wp:posOffset>1519555</wp:posOffset>
            </wp:positionV>
            <wp:extent cx="1398905" cy="940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98905" cy="940435"/>
                    </a:xfrm>
                    <a:prstGeom prst="rect">
                      <a:avLst/>
                    </a:prstGeom>
                    <a:noFill/>
                  </pic:spPr>
                </pic:pic>
              </a:graphicData>
            </a:graphic>
          </wp:anchor>
        </w:drawing>
        <w:drawing>
          <wp:anchor simplePos="0" relativeHeight="251657728" behindDoc="1" locked="0" layoutInCell="0" allowOverlap="1">
            <wp:simplePos x="0" y="0"/>
            <wp:positionH relativeFrom="column">
              <wp:posOffset>5181600</wp:posOffset>
            </wp:positionH>
            <wp:positionV relativeFrom="paragraph">
              <wp:posOffset>581025</wp:posOffset>
            </wp:positionV>
            <wp:extent cx="1398905" cy="940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8905" cy="940435"/>
                    </a:xfrm>
                    <a:prstGeom prst="rect">
                      <a:avLst/>
                    </a:prstGeom>
                    <a:noFill/>
                  </pic:spPr>
                </pic:pic>
              </a:graphicData>
            </a:graphic>
          </wp:anchor>
        </w:drawing>
      </w:r>
    </w:p>
    <w:p>
      <w:pPr>
        <w:sectPr>
          <w:pgSz w:w="12240" w:h="15840" w:orient="portrait"/>
          <w:cols w:equalWidth="0" w:num="1">
            <w:col w:w="10800"/>
          </w:cols>
          <w:pgMar w:left="920" w:top="161" w:right="520" w:bottom="21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740" w:right="1120" w:hanging="519"/>
        <w:spacing w:after="0" w:line="236" w:lineRule="auto"/>
        <w:rPr>
          <w:sz w:val="20"/>
          <w:szCs w:val="20"/>
          <w:color w:val="auto"/>
        </w:rPr>
      </w:pPr>
      <w:r>
        <w:rPr>
          <w:rFonts w:ascii="Arial" w:cs="Arial" w:eastAsia="Arial" w:hAnsi="Arial"/>
          <w:sz w:val="16"/>
          <w:szCs w:val="16"/>
          <w:color w:val="auto"/>
        </w:rPr>
        <w:t>1979 - The organization of Security National Financial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-1032510</wp:posOffset>
            </wp:positionV>
            <wp:extent cx="25400" cy="23679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400" cy="2367915"/>
                    </a:xfrm>
                    <a:prstGeom prst="rect">
                      <a:avLst/>
                    </a:prstGeom>
                    <a:noFill/>
                  </pic:spPr>
                </pic:pic>
              </a:graphicData>
            </a:graphic>
          </wp:anchor>
        </w:drawing>
        <w:drawing>
          <wp:anchor simplePos="0" relativeHeight="251657728" behindDoc="1" locked="0" layoutInCell="0" allowOverlap="1">
            <wp:simplePos x="0" y="0"/>
            <wp:positionH relativeFrom="column">
              <wp:posOffset>3238500</wp:posOffset>
            </wp:positionH>
            <wp:positionV relativeFrom="paragraph">
              <wp:posOffset>-506095</wp:posOffset>
            </wp:positionV>
            <wp:extent cx="25400" cy="18421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400" cy="1842135"/>
                    </a:xfrm>
                    <a:prstGeom prst="rect">
                      <a:avLst/>
                    </a:prstGeom>
                    <a:noFill/>
                  </pic:spPr>
                </pic:pic>
              </a:graphicData>
            </a:graphic>
          </wp:anchor>
        </w:drawing>
      </w:r>
    </w:p>
    <w:p>
      <w:pPr>
        <w:spacing w:after="0" w:line="2" w:lineRule="exact"/>
        <w:rPr>
          <w:sz w:val="20"/>
          <w:szCs w:val="20"/>
          <w:color w:val="auto"/>
        </w:rPr>
      </w:pPr>
    </w:p>
    <w:p>
      <w:pPr>
        <w:ind w:left="1740" w:right="1020" w:hanging="519"/>
        <w:spacing w:after="0" w:line="236" w:lineRule="auto"/>
        <w:rPr>
          <w:sz w:val="20"/>
          <w:szCs w:val="20"/>
          <w:color w:val="auto"/>
        </w:rPr>
      </w:pPr>
      <w:r>
        <w:rPr>
          <w:rFonts w:ascii="Arial" w:cs="Arial" w:eastAsia="Arial" w:hAnsi="Arial"/>
          <w:sz w:val="16"/>
          <w:szCs w:val="16"/>
          <w:color w:val="auto"/>
        </w:rPr>
        <w:t>1973 - The acquisition of National Capital Life and Memorial Estates Companies</w:t>
      </w:r>
    </w:p>
    <w:p>
      <w:pPr>
        <w:spacing w:after="0" w:line="9"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1972 - The acquisition of Columbia Life</w:t>
      </w:r>
    </w:p>
    <w:p>
      <w:pPr>
        <w:spacing w:after="0" w:line="18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64"/>
          <w:szCs w:val="64"/>
          <w:color w:val="000750"/>
        </w:rPr>
        <w:t>1970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-139700</wp:posOffset>
            </wp:positionV>
            <wp:extent cx="7237095" cy="3813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095" cy="3813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1999 - The acquisition of Menlo Life policy block</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1998 - The acquisition of Southern Security Life (FL)</w:t>
      </w:r>
    </w:p>
    <w:p>
      <w:pPr>
        <w:spacing w:after="0" w:line="21" w:lineRule="exact"/>
        <w:rPr>
          <w:sz w:val="20"/>
          <w:szCs w:val="20"/>
          <w:color w:val="auto"/>
        </w:rPr>
      </w:pPr>
    </w:p>
    <w:p>
      <w:pPr>
        <w:ind w:left="540" w:right="140" w:hanging="539"/>
        <w:spacing w:after="0" w:line="236" w:lineRule="auto"/>
        <w:rPr>
          <w:sz w:val="20"/>
          <w:szCs w:val="20"/>
          <w:color w:val="auto"/>
        </w:rPr>
      </w:pPr>
      <w:r>
        <w:rPr>
          <w:rFonts w:ascii="Arial" w:cs="Arial" w:eastAsia="Arial" w:hAnsi="Arial"/>
          <w:sz w:val="16"/>
          <w:szCs w:val="16"/>
          <w:color w:val="auto"/>
        </w:rPr>
        <w:t>1997 - The acquisition of Crystal Rose Funeral Home and the formation of Adobe Funeral Home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1996 - The dedication of Singing Hills Memorial Park</w:t>
      </w:r>
    </w:p>
    <w:p>
      <w:pPr>
        <w:spacing w:after="0" w:line="21" w:lineRule="exact"/>
        <w:rPr>
          <w:sz w:val="20"/>
          <w:szCs w:val="20"/>
          <w:color w:val="auto"/>
        </w:rPr>
      </w:pPr>
    </w:p>
    <w:p>
      <w:pPr>
        <w:ind w:left="540" w:right="60" w:hanging="539"/>
        <w:spacing w:after="0" w:line="242" w:lineRule="auto"/>
        <w:rPr>
          <w:sz w:val="20"/>
          <w:szCs w:val="20"/>
          <w:color w:val="auto"/>
        </w:rPr>
      </w:pPr>
      <w:r>
        <w:rPr>
          <w:rFonts w:ascii="Arial" w:cs="Arial" w:eastAsia="Arial" w:hAnsi="Arial"/>
          <w:sz w:val="16"/>
          <w:szCs w:val="16"/>
          <w:color w:val="auto"/>
        </w:rPr>
        <w:t>1995 - The acquisition of Greer Wilson Funeral Home, Tolleson Funeral Home and Civil Service Employees Life</w:t>
      </w:r>
    </w:p>
    <w:p>
      <w:pPr>
        <w:spacing w:after="0" w:line="19" w:lineRule="exact"/>
        <w:rPr>
          <w:sz w:val="20"/>
          <w:szCs w:val="20"/>
          <w:color w:val="auto"/>
        </w:rPr>
      </w:pPr>
    </w:p>
    <w:p>
      <w:pPr>
        <w:ind w:left="540" w:right="160" w:hanging="539"/>
        <w:spacing w:after="0" w:line="236" w:lineRule="auto"/>
        <w:rPr>
          <w:sz w:val="20"/>
          <w:szCs w:val="20"/>
          <w:color w:val="auto"/>
        </w:rPr>
      </w:pPr>
      <w:r>
        <w:rPr>
          <w:rFonts w:ascii="Arial" w:cs="Arial" w:eastAsia="Arial" w:hAnsi="Arial"/>
          <w:sz w:val="16"/>
          <w:szCs w:val="16"/>
          <w:color w:val="auto"/>
        </w:rPr>
        <w:t>1994 - The acquisition of Camelback Sunset Funeral Home and Capital Investors Life</w:t>
      </w:r>
    </w:p>
    <w:p>
      <w:pPr>
        <w:spacing w:after="0" w:line="22" w:lineRule="exact"/>
        <w:rPr>
          <w:sz w:val="20"/>
          <w:szCs w:val="20"/>
          <w:color w:val="auto"/>
        </w:rPr>
      </w:pPr>
    </w:p>
    <w:p>
      <w:pPr>
        <w:ind w:left="540" w:right="240" w:hanging="539"/>
        <w:spacing w:after="0" w:line="236" w:lineRule="auto"/>
        <w:rPr>
          <w:sz w:val="20"/>
          <w:szCs w:val="20"/>
          <w:color w:val="auto"/>
        </w:rPr>
      </w:pPr>
      <w:r>
        <w:rPr>
          <w:rFonts w:ascii="Arial" w:cs="Arial" w:eastAsia="Arial" w:hAnsi="Arial"/>
          <w:sz w:val="16"/>
          <w:szCs w:val="16"/>
          <w:color w:val="auto"/>
        </w:rPr>
        <w:t>1993 - The formation of SecurityNational Mortgage Company</w:t>
      </w:r>
    </w:p>
    <w:p>
      <w:pPr>
        <w:spacing w:after="0" w:line="22" w:lineRule="exact"/>
        <w:rPr>
          <w:sz w:val="20"/>
          <w:szCs w:val="20"/>
          <w:color w:val="auto"/>
        </w:rPr>
      </w:pPr>
    </w:p>
    <w:p>
      <w:pPr>
        <w:ind w:left="540" w:right="600" w:hanging="539"/>
        <w:spacing w:after="0" w:line="236" w:lineRule="auto"/>
        <w:rPr>
          <w:sz w:val="20"/>
          <w:szCs w:val="20"/>
          <w:color w:val="auto"/>
        </w:rPr>
      </w:pPr>
      <w:r>
        <w:rPr>
          <w:rFonts w:ascii="Arial" w:cs="Arial" w:eastAsia="Arial" w:hAnsi="Arial"/>
          <w:sz w:val="16"/>
          <w:szCs w:val="16"/>
          <w:color w:val="auto"/>
        </w:rPr>
        <w:t>1991 - The sale of Investors Equity Life and the acquisition of Deseret Memorial Group</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64"/>
          <w:szCs w:val="64"/>
          <w:color w:val="000750"/>
        </w:rPr>
        <w:t>1990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2162175</wp:posOffset>
            </wp:positionH>
            <wp:positionV relativeFrom="paragraph">
              <wp:posOffset>768350</wp:posOffset>
            </wp:positionV>
            <wp:extent cx="25400" cy="2202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400" cy="2202180"/>
                    </a:xfrm>
                    <a:prstGeom prst="rect">
                      <a:avLst/>
                    </a:prstGeom>
                    <a:noFill/>
                  </pic:spPr>
                </pic:pic>
              </a:graphicData>
            </a:graphic>
          </wp:anchor>
        </w:drawing>
        <w:drawing>
          <wp:anchor simplePos="0" relativeHeight="251657728" behindDoc="1" locked="0" layoutInCell="0" allowOverlap="1">
            <wp:simplePos x="0" y="0"/>
            <wp:positionH relativeFrom="column">
              <wp:posOffset>1793875</wp:posOffset>
            </wp:positionH>
            <wp:positionV relativeFrom="paragraph">
              <wp:posOffset>-346710</wp:posOffset>
            </wp:positionV>
            <wp:extent cx="25400" cy="688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400" cy="688975"/>
                    </a:xfrm>
                    <a:prstGeom prst="rect">
                      <a:avLst/>
                    </a:prstGeom>
                    <a:noFill/>
                  </pic:spPr>
                </pic:pic>
              </a:graphicData>
            </a:graphic>
          </wp:anchor>
        </w:drawing>
        <w:drawing>
          <wp:anchor simplePos="0" relativeHeight="251657728" behindDoc="1" locked="0" layoutInCell="0" allowOverlap="1">
            <wp:simplePos x="0" y="0"/>
            <wp:positionH relativeFrom="column">
              <wp:posOffset>1011555</wp:posOffset>
            </wp:positionH>
            <wp:positionV relativeFrom="paragraph">
              <wp:posOffset>-184150</wp:posOffset>
            </wp:positionV>
            <wp:extent cx="303530" cy="5276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3530" cy="527685"/>
                    </a:xfrm>
                    <a:prstGeom prst="rect">
                      <a:avLst/>
                    </a:prstGeom>
                    <a:noFill/>
                  </pic:spPr>
                </pic:pic>
              </a:graphicData>
            </a:graphic>
          </wp:anchor>
        </w:drawing>
        <w:drawing>
          <wp:anchor simplePos="0" relativeHeight="251657728" behindDoc="1" locked="0" layoutInCell="0" allowOverlap="1">
            <wp:simplePos x="0" y="0"/>
            <wp:positionH relativeFrom="column">
              <wp:posOffset>-505460</wp:posOffset>
            </wp:positionH>
            <wp:positionV relativeFrom="paragraph">
              <wp:posOffset>767080</wp:posOffset>
            </wp:positionV>
            <wp:extent cx="25400" cy="466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400" cy="4660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5820" w:space="720"/>
            <w:col w:w="4260"/>
          </w:cols>
          <w:pgMar w:left="920" w:top="161" w:right="520" w:bottom="215"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911"/>
        </w:trPr>
        <w:tc>
          <w:tcPr>
            <w:tcW w:w="2560" w:type="dxa"/>
            <w:vAlign w:val="bottom"/>
            <w:gridSpan w:val="2"/>
          </w:tcPr>
          <w:p>
            <w:pPr>
              <w:spacing w:after="0"/>
              <w:rPr>
                <w:sz w:val="20"/>
                <w:szCs w:val="20"/>
                <w:color w:val="auto"/>
              </w:rPr>
            </w:pPr>
            <w:r>
              <w:rPr>
                <w:rFonts w:ascii="Times New Roman" w:cs="Times New Roman" w:eastAsia="Times New Roman" w:hAnsi="Times New Roman"/>
                <w:sz w:val="64"/>
                <w:szCs w:val="64"/>
                <w:color w:val="000750"/>
              </w:rPr>
              <w:t>1965</w:t>
            </w: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80" w:type="dxa"/>
            <w:vAlign w:val="bottom"/>
            <w:gridSpan w:val="2"/>
          </w:tcPr>
          <w:p>
            <w:pPr>
              <w:ind w:left="920"/>
              <w:spacing w:after="0"/>
              <w:rPr>
                <w:sz w:val="20"/>
                <w:szCs w:val="20"/>
                <w:color w:val="auto"/>
              </w:rPr>
            </w:pPr>
            <w:r>
              <w:rPr>
                <w:rFonts w:ascii="Times New Roman" w:cs="Times New Roman" w:eastAsia="Times New Roman" w:hAnsi="Times New Roman"/>
                <w:sz w:val="64"/>
                <w:szCs w:val="64"/>
                <w:color w:val="000750"/>
              </w:rPr>
              <w:t>1980</w:t>
            </w:r>
          </w:p>
        </w:tc>
        <w:tc>
          <w:tcPr>
            <w:tcW w:w="1540" w:type="dxa"/>
            <w:vAlign w:val="bottom"/>
          </w:tcPr>
          <w:p>
            <w:pPr>
              <w:spacing w:after="0"/>
              <w:rPr>
                <w:sz w:val="24"/>
                <w:szCs w:val="24"/>
                <w:color w:val="auto"/>
              </w:rPr>
            </w:pPr>
          </w:p>
        </w:tc>
      </w:tr>
      <w:tr>
        <w:trPr>
          <w:trHeight w:val="512"/>
        </w:trPr>
        <w:tc>
          <w:tcPr>
            <w:tcW w:w="4740" w:type="dxa"/>
            <w:vAlign w:val="bottom"/>
            <w:gridSpan w:val="4"/>
          </w:tcPr>
          <w:p>
            <w:pPr>
              <w:spacing w:after="0"/>
              <w:rPr>
                <w:sz w:val="20"/>
                <w:szCs w:val="20"/>
                <w:color w:val="auto"/>
              </w:rPr>
            </w:pPr>
            <w:r>
              <w:rPr>
                <w:rFonts w:ascii="Arial" w:cs="Arial" w:eastAsia="Arial" w:hAnsi="Arial"/>
                <w:sz w:val="16"/>
                <w:szCs w:val="16"/>
                <w:color w:val="auto"/>
              </w:rPr>
              <w:t>1965 - The founding of Security National Life</w:t>
            </w:r>
          </w:p>
        </w:tc>
        <w:tc>
          <w:tcPr>
            <w:tcW w:w="6020" w:type="dxa"/>
            <w:vAlign w:val="bottom"/>
            <w:gridSpan w:val="3"/>
          </w:tcPr>
          <w:p>
            <w:pPr>
              <w:ind w:left="920"/>
              <w:spacing w:after="0"/>
              <w:rPr>
                <w:sz w:val="20"/>
                <w:szCs w:val="20"/>
                <w:color w:val="auto"/>
              </w:rPr>
            </w:pPr>
            <w:r>
              <w:rPr>
                <w:rFonts w:ascii="Arial" w:cs="Arial" w:eastAsia="Arial" w:hAnsi="Arial"/>
                <w:sz w:val="16"/>
                <w:szCs w:val="16"/>
                <w:color w:val="auto"/>
              </w:rPr>
              <w:t>1981 - The acquisition of American Home</w:t>
            </w:r>
          </w:p>
        </w:tc>
      </w:tr>
      <w:tr>
        <w:trPr>
          <w:trHeight w:val="192"/>
        </w:trPr>
        <w:tc>
          <w:tcPr>
            <w:tcW w:w="420" w:type="dxa"/>
            <w:vAlign w:val="bottom"/>
          </w:tcPr>
          <w:p>
            <w:pPr>
              <w:spacing w:after="0"/>
              <w:rPr>
                <w:sz w:val="16"/>
                <w:szCs w:val="16"/>
                <w:color w:val="auto"/>
              </w:rPr>
            </w:pPr>
          </w:p>
        </w:tc>
        <w:tc>
          <w:tcPr>
            <w:tcW w:w="4320" w:type="dxa"/>
            <w:vAlign w:val="bottom"/>
            <w:gridSpan w:val="3"/>
          </w:tcPr>
          <w:p>
            <w:pPr>
              <w:ind w:left="100"/>
              <w:spacing w:after="0"/>
              <w:rPr>
                <w:sz w:val="20"/>
                <w:szCs w:val="20"/>
                <w:color w:val="auto"/>
              </w:rPr>
            </w:pPr>
            <w:r>
              <w:rPr>
                <w:rFonts w:ascii="Arial" w:cs="Arial" w:eastAsia="Arial" w:hAnsi="Arial"/>
                <w:sz w:val="16"/>
                <w:szCs w:val="16"/>
                <w:color w:val="auto"/>
              </w:rPr>
              <w:t>Insurance Company</w:t>
            </w:r>
          </w:p>
        </w:tc>
        <w:tc>
          <w:tcPr>
            <w:tcW w:w="1080" w:type="dxa"/>
            <w:vAlign w:val="bottom"/>
          </w:tcPr>
          <w:p>
            <w:pPr>
              <w:spacing w:after="0"/>
              <w:rPr>
                <w:sz w:val="16"/>
                <w:szCs w:val="16"/>
                <w:color w:val="auto"/>
              </w:rPr>
            </w:pPr>
          </w:p>
        </w:tc>
        <w:tc>
          <w:tcPr>
            <w:tcW w:w="4940" w:type="dxa"/>
            <w:vAlign w:val="bottom"/>
            <w:gridSpan w:val="2"/>
          </w:tcPr>
          <w:p>
            <w:pPr>
              <w:ind w:left="380"/>
              <w:spacing w:after="0"/>
              <w:rPr>
                <w:sz w:val="20"/>
                <w:szCs w:val="20"/>
                <w:color w:val="auto"/>
              </w:rPr>
            </w:pPr>
            <w:r>
              <w:rPr>
                <w:rFonts w:ascii="Arial" w:cs="Arial" w:eastAsia="Arial" w:hAnsi="Arial"/>
                <w:sz w:val="16"/>
                <w:szCs w:val="16"/>
                <w:color w:val="auto"/>
              </w:rPr>
              <w:t>Security Life</w:t>
            </w:r>
          </w:p>
        </w:tc>
      </w:tr>
      <w:tr>
        <w:trPr>
          <w:trHeight w:val="192"/>
        </w:trPr>
        <w:tc>
          <w:tcPr>
            <w:tcW w:w="4740" w:type="dxa"/>
            <w:vAlign w:val="bottom"/>
            <w:gridSpan w:val="4"/>
          </w:tcPr>
          <w:p>
            <w:pPr>
              <w:spacing w:after="0"/>
              <w:rPr>
                <w:sz w:val="20"/>
                <w:szCs w:val="20"/>
                <w:color w:val="auto"/>
              </w:rPr>
            </w:pPr>
            <w:r>
              <w:rPr>
                <w:rFonts w:ascii="Arial" w:cs="Arial" w:eastAsia="Arial" w:hAnsi="Arial"/>
                <w:sz w:val="16"/>
                <w:szCs w:val="16"/>
                <w:color w:val="auto"/>
              </w:rPr>
              <w:t>1966 - The acquisition of Grand Canyon Life</w:t>
            </w:r>
          </w:p>
        </w:tc>
        <w:tc>
          <w:tcPr>
            <w:tcW w:w="6020" w:type="dxa"/>
            <w:vAlign w:val="bottom"/>
            <w:gridSpan w:val="3"/>
          </w:tcPr>
          <w:p>
            <w:pPr>
              <w:ind w:left="920"/>
              <w:spacing w:after="0"/>
              <w:rPr>
                <w:sz w:val="20"/>
                <w:szCs w:val="20"/>
                <w:color w:val="auto"/>
              </w:rPr>
            </w:pPr>
            <w:r>
              <w:rPr>
                <w:rFonts w:ascii="Arial" w:cs="Arial" w:eastAsia="Arial" w:hAnsi="Arial"/>
                <w:sz w:val="16"/>
                <w:szCs w:val="16"/>
                <w:color w:val="auto"/>
              </w:rPr>
              <w:t>1984 - The acquisition of Western Investors</w:t>
            </w:r>
          </w:p>
        </w:tc>
      </w:tr>
      <w:tr>
        <w:trPr>
          <w:trHeight w:val="192"/>
        </w:trPr>
        <w:tc>
          <w:tcPr>
            <w:tcW w:w="4740" w:type="dxa"/>
            <w:vAlign w:val="bottom"/>
            <w:gridSpan w:val="4"/>
          </w:tcPr>
          <w:p>
            <w:pPr>
              <w:spacing w:after="0"/>
              <w:rPr>
                <w:sz w:val="20"/>
                <w:szCs w:val="20"/>
                <w:color w:val="auto"/>
              </w:rPr>
            </w:pPr>
            <w:r>
              <w:rPr>
                <w:rFonts w:ascii="Arial" w:cs="Arial" w:eastAsia="Arial" w:hAnsi="Arial"/>
                <w:sz w:val="16"/>
                <w:szCs w:val="16"/>
                <w:color w:val="auto"/>
              </w:rPr>
              <w:t>1967 - The acquisition of Bankers Trust Life</w:t>
            </w:r>
          </w:p>
        </w:tc>
        <w:tc>
          <w:tcPr>
            <w:tcW w:w="1080" w:type="dxa"/>
            <w:vAlign w:val="bottom"/>
          </w:tcPr>
          <w:p>
            <w:pPr>
              <w:spacing w:after="0"/>
              <w:rPr>
                <w:sz w:val="16"/>
                <w:szCs w:val="16"/>
                <w:color w:val="auto"/>
              </w:rPr>
            </w:pPr>
          </w:p>
        </w:tc>
        <w:tc>
          <w:tcPr>
            <w:tcW w:w="4940" w:type="dxa"/>
            <w:vAlign w:val="bottom"/>
            <w:gridSpan w:val="2"/>
          </w:tcPr>
          <w:p>
            <w:pPr>
              <w:ind w:left="380"/>
              <w:spacing w:after="0"/>
              <w:rPr>
                <w:sz w:val="20"/>
                <w:szCs w:val="20"/>
                <w:color w:val="auto"/>
              </w:rPr>
            </w:pPr>
            <w:r>
              <w:rPr>
                <w:rFonts w:ascii="Arial" w:cs="Arial" w:eastAsia="Arial" w:hAnsi="Arial"/>
                <w:sz w:val="16"/>
                <w:szCs w:val="16"/>
                <w:color w:val="auto"/>
              </w:rPr>
              <w:t>policy block</w:t>
            </w:r>
          </w:p>
        </w:tc>
      </w:tr>
      <w:tr>
        <w:trPr>
          <w:trHeight w:val="192"/>
        </w:trPr>
        <w:tc>
          <w:tcPr>
            <w:tcW w:w="4740" w:type="dxa"/>
            <w:vAlign w:val="bottom"/>
            <w:gridSpan w:val="4"/>
          </w:tcPr>
          <w:p>
            <w:pPr>
              <w:spacing w:after="0"/>
              <w:rPr>
                <w:sz w:val="20"/>
                <w:szCs w:val="20"/>
                <w:color w:val="auto"/>
              </w:rPr>
            </w:pPr>
            <w:r>
              <w:rPr>
                <w:rFonts w:ascii="Arial" w:cs="Arial" w:eastAsia="Arial" w:hAnsi="Arial"/>
                <w:sz w:val="16"/>
                <w:szCs w:val="16"/>
                <w:color w:val="auto"/>
              </w:rPr>
              <w:t>1969 - The acquisition of American Alliance Life</w:t>
            </w:r>
          </w:p>
        </w:tc>
        <w:tc>
          <w:tcPr>
            <w:tcW w:w="6020" w:type="dxa"/>
            <w:vAlign w:val="bottom"/>
            <w:gridSpan w:val="3"/>
          </w:tcPr>
          <w:p>
            <w:pPr>
              <w:ind w:left="920"/>
              <w:spacing w:after="0"/>
              <w:rPr>
                <w:sz w:val="20"/>
                <w:szCs w:val="20"/>
                <w:color w:val="auto"/>
              </w:rPr>
            </w:pPr>
            <w:r>
              <w:rPr>
                <w:rFonts w:ascii="Arial" w:cs="Arial" w:eastAsia="Arial" w:hAnsi="Arial"/>
                <w:sz w:val="16"/>
                <w:szCs w:val="16"/>
                <w:color w:val="auto"/>
              </w:rPr>
              <w:t>1985 - The acquisition of Del Pueblo Life policy</w:t>
            </w:r>
          </w:p>
        </w:tc>
      </w:tr>
      <w:tr>
        <w:trPr>
          <w:trHeight w:val="192"/>
        </w:trPr>
        <w:tc>
          <w:tcPr>
            <w:tcW w:w="4740" w:type="dxa"/>
            <w:vAlign w:val="bottom"/>
            <w:gridSpan w:val="4"/>
          </w:tcPr>
          <w:p>
            <w:pPr>
              <w:spacing w:after="0"/>
              <w:rPr>
                <w:sz w:val="20"/>
                <w:szCs w:val="20"/>
                <w:color w:val="auto"/>
              </w:rPr>
            </w:pPr>
            <w:r>
              <w:rPr>
                <w:rFonts w:ascii="Arial" w:cs="Arial" w:eastAsia="Arial" w:hAnsi="Arial"/>
                <w:sz w:val="16"/>
                <w:szCs w:val="16"/>
                <w:color w:val="auto"/>
              </w:rPr>
              <w:t>1970 - The acquisition of Charter Oak Life &amp;</w:t>
            </w:r>
          </w:p>
        </w:tc>
        <w:tc>
          <w:tcPr>
            <w:tcW w:w="1080" w:type="dxa"/>
            <w:vAlign w:val="bottom"/>
          </w:tcPr>
          <w:p>
            <w:pPr>
              <w:spacing w:after="0"/>
              <w:rPr>
                <w:sz w:val="16"/>
                <w:szCs w:val="16"/>
                <w:color w:val="auto"/>
              </w:rPr>
            </w:pPr>
          </w:p>
        </w:tc>
        <w:tc>
          <w:tcPr>
            <w:tcW w:w="4940" w:type="dxa"/>
            <w:vAlign w:val="bottom"/>
            <w:gridSpan w:val="2"/>
          </w:tcPr>
          <w:p>
            <w:pPr>
              <w:ind w:left="380"/>
              <w:spacing w:after="0"/>
              <w:rPr>
                <w:sz w:val="20"/>
                <w:szCs w:val="20"/>
                <w:color w:val="auto"/>
              </w:rPr>
            </w:pPr>
            <w:r>
              <w:rPr>
                <w:rFonts w:ascii="Arial" w:cs="Arial" w:eastAsia="Arial" w:hAnsi="Arial"/>
                <w:sz w:val="16"/>
                <w:szCs w:val="16"/>
                <w:color w:val="auto"/>
              </w:rPr>
              <w:t>block and Cibola Life policy block</w:t>
            </w:r>
          </w:p>
        </w:tc>
      </w:tr>
      <w:tr>
        <w:trPr>
          <w:trHeight w:val="192"/>
        </w:trPr>
        <w:tc>
          <w:tcPr>
            <w:tcW w:w="420" w:type="dxa"/>
            <w:vAlign w:val="bottom"/>
          </w:tcPr>
          <w:p>
            <w:pPr>
              <w:spacing w:after="0"/>
              <w:rPr>
                <w:sz w:val="16"/>
                <w:szCs w:val="16"/>
                <w:color w:val="auto"/>
              </w:rPr>
            </w:pPr>
          </w:p>
        </w:tc>
        <w:tc>
          <w:tcPr>
            <w:tcW w:w="4320" w:type="dxa"/>
            <w:vAlign w:val="bottom"/>
            <w:gridSpan w:val="3"/>
          </w:tcPr>
          <w:p>
            <w:pPr>
              <w:ind w:left="100"/>
              <w:spacing w:after="0"/>
              <w:rPr>
                <w:sz w:val="20"/>
                <w:szCs w:val="20"/>
                <w:color w:val="auto"/>
              </w:rPr>
            </w:pPr>
            <w:r>
              <w:rPr>
                <w:rFonts w:ascii="Arial" w:cs="Arial" w:eastAsia="Arial" w:hAnsi="Arial"/>
                <w:sz w:val="16"/>
                <w:szCs w:val="16"/>
                <w:color w:val="auto"/>
              </w:rPr>
              <w:t>Washington Life Assurance</w:t>
            </w:r>
          </w:p>
        </w:tc>
        <w:tc>
          <w:tcPr>
            <w:tcW w:w="6020" w:type="dxa"/>
            <w:vAlign w:val="bottom"/>
            <w:gridSpan w:val="3"/>
          </w:tcPr>
          <w:p>
            <w:pPr>
              <w:ind w:left="920"/>
              <w:spacing w:after="0"/>
              <w:rPr>
                <w:sz w:val="20"/>
                <w:szCs w:val="20"/>
                <w:color w:val="auto"/>
              </w:rPr>
            </w:pPr>
            <w:r>
              <w:rPr>
                <w:rFonts w:ascii="Arial" w:cs="Arial" w:eastAsia="Arial" w:hAnsi="Arial"/>
                <w:sz w:val="16"/>
                <w:szCs w:val="16"/>
                <w:color w:val="auto"/>
              </w:rPr>
              <w:t>1986 - The acquisition of Investors Equity Life</w:t>
            </w:r>
          </w:p>
        </w:tc>
      </w:tr>
      <w:tr>
        <w:trPr>
          <w:trHeight w:val="192"/>
        </w:trPr>
        <w:tc>
          <w:tcPr>
            <w:tcW w:w="4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20" w:type="dxa"/>
            <w:vAlign w:val="bottom"/>
            <w:gridSpan w:val="3"/>
          </w:tcPr>
          <w:p>
            <w:pPr>
              <w:ind w:left="920"/>
              <w:spacing w:after="0"/>
              <w:rPr>
                <w:sz w:val="20"/>
                <w:szCs w:val="20"/>
                <w:color w:val="auto"/>
              </w:rPr>
            </w:pPr>
            <w:r>
              <w:rPr>
                <w:rFonts w:ascii="Arial" w:cs="Arial" w:eastAsia="Arial" w:hAnsi="Arial"/>
                <w:sz w:val="16"/>
                <w:szCs w:val="16"/>
                <w:color w:val="auto"/>
              </w:rPr>
              <w:t>1987 - IPO of Security National Financial</w:t>
            </w:r>
          </w:p>
        </w:tc>
      </w:tr>
      <w:tr>
        <w:trPr>
          <w:trHeight w:val="192"/>
        </w:trPr>
        <w:tc>
          <w:tcPr>
            <w:tcW w:w="4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940" w:type="dxa"/>
            <w:vAlign w:val="bottom"/>
            <w:gridSpan w:val="2"/>
          </w:tcPr>
          <w:p>
            <w:pPr>
              <w:ind w:left="380"/>
              <w:spacing w:after="0"/>
              <w:rPr>
                <w:sz w:val="20"/>
                <w:szCs w:val="20"/>
                <w:color w:val="auto"/>
              </w:rPr>
            </w:pPr>
            <w:r>
              <w:rPr>
                <w:rFonts w:ascii="Arial" w:cs="Arial" w:eastAsia="Arial" w:hAnsi="Arial"/>
                <w:sz w:val="16"/>
                <w:szCs w:val="16"/>
                <w:color w:val="auto"/>
              </w:rPr>
              <w:t>Corporation and the acquisition of</w:t>
            </w:r>
          </w:p>
        </w:tc>
      </w:tr>
      <w:tr>
        <w:trPr>
          <w:trHeight w:val="156"/>
        </w:trPr>
        <w:tc>
          <w:tcPr>
            <w:tcW w:w="4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0" w:type="dxa"/>
            <w:vAlign w:val="bottom"/>
          </w:tcPr>
          <w:p>
            <w:pPr>
              <w:ind w:left="380"/>
              <w:spacing w:after="0" w:line="156" w:lineRule="exact"/>
              <w:rPr>
                <w:sz w:val="20"/>
                <w:szCs w:val="20"/>
                <w:color w:val="auto"/>
              </w:rPr>
            </w:pPr>
            <w:r>
              <w:rPr>
                <w:rFonts w:ascii="Arial" w:cs="Arial" w:eastAsia="Arial" w:hAnsi="Arial"/>
                <w:sz w:val="16"/>
                <w:szCs w:val="16"/>
                <w:color w:val="auto"/>
              </w:rPr>
              <w:t>Southwest American policy block</w:t>
            </w:r>
          </w:p>
        </w:tc>
        <w:tc>
          <w:tcPr>
            <w:tcW w:w="1540" w:type="dxa"/>
            <w:vAlign w:val="bottom"/>
            <w:tcBorders>
              <w:bottom w:val="single" w:sz="8" w:color="CCCCCC"/>
            </w:tcBorders>
          </w:tcPr>
          <w:p>
            <w:pPr>
              <w:spacing w:after="0"/>
              <w:rPr>
                <w:sz w:val="13"/>
                <w:szCs w:val="13"/>
                <w:color w:val="auto"/>
              </w:rPr>
            </w:pPr>
          </w:p>
        </w:tc>
      </w:tr>
      <w:tr>
        <w:trPr>
          <w:trHeight w:val="208"/>
        </w:trPr>
        <w:tc>
          <w:tcPr>
            <w:tcW w:w="4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80" w:type="dxa"/>
            <w:vAlign w:val="bottom"/>
            <w:tcBorders>
              <w:right w:val="single" w:sz="8" w:color="CCCCCC"/>
            </w:tcBorders>
            <w:gridSpan w:val="2"/>
          </w:tcPr>
          <w:p>
            <w:pPr>
              <w:ind w:left="920"/>
              <w:spacing w:after="0"/>
              <w:rPr>
                <w:sz w:val="20"/>
                <w:szCs w:val="20"/>
                <w:color w:val="auto"/>
              </w:rPr>
            </w:pPr>
            <w:r>
              <w:rPr>
                <w:rFonts w:ascii="Arial" w:cs="Arial" w:eastAsia="Arial" w:hAnsi="Arial"/>
                <w:sz w:val="16"/>
                <w:szCs w:val="16"/>
                <w:color w:val="auto"/>
              </w:rPr>
              <w:t>1989 - The acquisition of Paradise</w:t>
            </w:r>
          </w:p>
        </w:tc>
        <w:tc>
          <w:tcPr>
            <w:tcW w:w="1540" w:type="dxa"/>
            <w:vAlign w:val="bottom"/>
            <w:tcBorders>
              <w:right w:val="single" w:sz="8" w:color="CCCCCC"/>
            </w:tcBorders>
          </w:tcPr>
          <w:p>
            <w:pPr>
              <w:spacing w:after="0"/>
              <w:rPr>
                <w:sz w:val="18"/>
                <w:szCs w:val="18"/>
                <w:color w:val="auto"/>
              </w:rPr>
            </w:pPr>
          </w:p>
        </w:tc>
      </w:tr>
      <w:tr>
        <w:trPr>
          <w:trHeight w:val="156"/>
        </w:trPr>
        <w:tc>
          <w:tcPr>
            <w:tcW w:w="420" w:type="dxa"/>
            <w:vAlign w:val="bottom"/>
          </w:tcPr>
          <w:p>
            <w:pPr>
              <w:spacing w:after="0"/>
              <w:rPr>
                <w:sz w:val="13"/>
                <w:szCs w:val="13"/>
                <w:color w:val="auto"/>
              </w:rPr>
            </w:pPr>
          </w:p>
        </w:tc>
        <w:tc>
          <w:tcPr>
            <w:tcW w:w="2140" w:type="dxa"/>
            <w:vAlign w:val="bottom"/>
            <w:tcBorders>
              <w:bottom w:val="single" w:sz="8" w:color="CCCCCC"/>
            </w:tcBorders>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0" w:type="dxa"/>
            <w:vAlign w:val="bottom"/>
            <w:tcBorders>
              <w:right w:val="single" w:sz="8" w:color="CCCCCC"/>
            </w:tcBorders>
          </w:tcPr>
          <w:p>
            <w:pPr>
              <w:ind w:left="380"/>
              <w:spacing w:after="0" w:line="156" w:lineRule="exact"/>
              <w:rPr>
                <w:sz w:val="20"/>
                <w:szCs w:val="20"/>
                <w:color w:val="auto"/>
              </w:rPr>
            </w:pPr>
            <w:r>
              <w:rPr>
                <w:rFonts w:ascii="Arial" w:cs="Arial" w:eastAsia="Arial" w:hAnsi="Arial"/>
                <w:sz w:val="16"/>
                <w:szCs w:val="16"/>
                <w:color w:val="auto"/>
              </w:rPr>
              <w:t>Chapel Funeral Home</w:t>
            </w:r>
          </w:p>
        </w:tc>
        <w:tc>
          <w:tcPr>
            <w:tcW w:w="1540" w:type="dxa"/>
            <w:vAlign w:val="bottom"/>
            <w:tcBorders>
              <w:right w:val="single" w:sz="8" w:color="CCCCCC"/>
            </w:tcBorders>
          </w:tcPr>
          <w:p>
            <w:pPr>
              <w:spacing w:after="0"/>
              <w:rPr>
                <w:sz w:val="13"/>
                <w:szCs w:val="13"/>
                <w:color w:val="auto"/>
              </w:rPr>
            </w:pPr>
          </w:p>
        </w:tc>
      </w:tr>
      <w:tr>
        <w:trPr>
          <w:trHeight w:val="613"/>
        </w:trPr>
        <w:tc>
          <w:tcPr>
            <w:tcW w:w="420" w:type="dxa"/>
            <w:vAlign w:val="bottom"/>
            <w:tcBorders>
              <w:right w:val="single" w:sz="8" w:color="CCCCCC"/>
            </w:tcBorders>
          </w:tcPr>
          <w:p>
            <w:pPr>
              <w:spacing w:after="0"/>
              <w:rPr>
                <w:sz w:val="24"/>
                <w:szCs w:val="24"/>
                <w:color w:val="auto"/>
              </w:rPr>
            </w:pPr>
          </w:p>
        </w:tc>
        <w:tc>
          <w:tcPr>
            <w:tcW w:w="2140" w:type="dxa"/>
            <w:vAlign w:val="bottom"/>
            <w:tcBorders>
              <w:right w:val="single" w:sz="8" w:color="CCCCCC"/>
            </w:tcBorders>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Borders>
              <w:bottom w:val="single" w:sz="8" w:color="CCCCCC"/>
            </w:tcBorders>
          </w:tcPr>
          <w:p>
            <w:pPr>
              <w:spacing w:after="0"/>
              <w:rPr>
                <w:sz w:val="24"/>
                <w:szCs w:val="24"/>
                <w:color w:val="auto"/>
              </w:rPr>
            </w:pPr>
          </w:p>
        </w:tc>
        <w:tc>
          <w:tcPr>
            <w:tcW w:w="1080" w:type="dxa"/>
            <w:vAlign w:val="bottom"/>
            <w:tcBorders>
              <w:bottom w:val="single" w:sz="8" w:color="CCCCCC"/>
            </w:tcBorders>
          </w:tcPr>
          <w:p>
            <w:pPr>
              <w:spacing w:after="0"/>
              <w:rPr>
                <w:sz w:val="24"/>
                <w:szCs w:val="24"/>
                <w:color w:val="auto"/>
              </w:rPr>
            </w:pPr>
          </w:p>
        </w:tc>
        <w:tc>
          <w:tcPr>
            <w:tcW w:w="3400" w:type="dxa"/>
            <w:vAlign w:val="bottom"/>
            <w:tcBorders>
              <w:right w:val="single" w:sz="8" w:color="CCCCCC"/>
            </w:tcBorders>
          </w:tcPr>
          <w:p>
            <w:pPr>
              <w:spacing w:after="0"/>
              <w:rPr>
                <w:sz w:val="24"/>
                <w:szCs w:val="24"/>
                <w:color w:val="auto"/>
              </w:rPr>
            </w:pPr>
          </w:p>
        </w:tc>
        <w:tc>
          <w:tcPr>
            <w:tcW w:w="1540" w:type="dxa"/>
            <w:vAlign w:val="bottom"/>
            <w:tcBorders>
              <w:right w:val="single" w:sz="8" w:color="CCCCCC"/>
            </w:tcBorders>
          </w:tcPr>
          <w:p>
            <w:pPr>
              <w:spacing w:after="0"/>
              <w:rPr>
                <w:sz w:val="24"/>
                <w:szCs w:val="24"/>
                <w:color w:val="auto"/>
              </w:rPr>
            </w:pPr>
          </w:p>
        </w:tc>
      </w:tr>
      <w:tr>
        <w:trPr>
          <w:trHeight w:val="768"/>
        </w:trPr>
        <w:tc>
          <w:tcPr>
            <w:tcW w:w="420" w:type="dxa"/>
            <w:vAlign w:val="bottom"/>
            <w:tcBorders>
              <w:right w:val="single" w:sz="8" w:color="CCCCCC"/>
            </w:tcBorders>
          </w:tcPr>
          <w:p>
            <w:pPr>
              <w:spacing w:after="0"/>
              <w:rPr>
                <w:sz w:val="24"/>
                <w:szCs w:val="24"/>
                <w:color w:val="auto"/>
              </w:rPr>
            </w:pPr>
          </w:p>
        </w:tc>
        <w:tc>
          <w:tcPr>
            <w:tcW w:w="2140" w:type="dxa"/>
            <w:vAlign w:val="bottom"/>
            <w:tcBorders>
              <w:bottom w:val="single" w:sz="8" w:color="CCCCCC"/>
              <w:right w:val="single" w:sz="8" w:color="CCCCCC"/>
            </w:tcBorders>
          </w:tcPr>
          <w:p>
            <w:pPr>
              <w:spacing w:after="0"/>
              <w:rPr>
                <w:sz w:val="24"/>
                <w:szCs w:val="24"/>
                <w:color w:val="auto"/>
              </w:rPr>
            </w:pPr>
          </w:p>
        </w:tc>
        <w:tc>
          <w:tcPr>
            <w:tcW w:w="1100" w:type="dxa"/>
            <w:vAlign w:val="bottom"/>
            <w:tcBorders>
              <w:right w:val="single" w:sz="8" w:color="CCCCCC"/>
            </w:tcBorders>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Borders>
              <w:right w:val="single" w:sz="8" w:color="CCCCCC"/>
            </w:tcBorders>
          </w:tcPr>
          <w:p>
            <w:pPr>
              <w:spacing w:after="0"/>
              <w:rPr>
                <w:sz w:val="24"/>
                <w:szCs w:val="24"/>
                <w:color w:val="auto"/>
              </w:rPr>
            </w:pPr>
          </w:p>
        </w:tc>
        <w:tc>
          <w:tcPr>
            <w:tcW w:w="3400" w:type="dxa"/>
            <w:vAlign w:val="bottom"/>
            <w:tcBorders>
              <w:right w:val="single" w:sz="8" w:color="CCCCCC"/>
            </w:tcBorders>
          </w:tcPr>
          <w:p>
            <w:pPr>
              <w:spacing w:after="0"/>
              <w:rPr>
                <w:sz w:val="24"/>
                <w:szCs w:val="24"/>
                <w:color w:val="auto"/>
              </w:rPr>
            </w:pPr>
          </w:p>
        </w:tc>
        <w:tc>
          <w:tcPr>
            <w:tcW w:w="1540" w:type="dxa"/>
            <w:vAlign w:val="bottom"/>
            <w:tcBorders>
              <w:right w:val="single" w:sz="8" w:color="CCCCCC"/>
            </w:tcBorders>
          </w:tcPr>
          <w:p>
            <w:pPr>
              <w:spacing w:after="0"/>
              <w:rPr>
                <w:sz w:val="24"/>
                <w:szCs w:val="24"/>
                <w:color w:val="auto"/>
              </w:rPr>
            </w:pPr>
          </w:p>
        </w:tc>
      </w:tr>
      <w:tr>
        <w:trPr>
          <w:trHeight w:val="406"/>
        </w:trPr>
        <w:tc>
          <w:tcPr>
            <w:tcW w:w="4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100" w:type="dxa"/>
            <w:vAlign w:val="bottom"/>
            <w:tcBorders>
              <w:right w:val="single" w:sz="8" w:color="CCCCCC"/>
            </w:tcBorders>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Borders>
              <w:right w:val="single" w:sz="8" w:color="CCCCCC"/>
            </w:tcBorders>
          </w:tcPr>
          <w:p>
            <w:pPr>
              <w:spacing w:after="0"/>
              <w:rPr>
                <w:sz w:val="24"/>
                <w:szCs w:val="24"/>
                <w:color w:val="auto"/>
              </w:rPr>
            </w:pPr>
          </w:p>
        </w:tc>
        <w:tc>
          <w:tcPr>
            <w:tcW w:w="3400" w:type="dxa"/>
            <w:vAlign w:val="bottom"/>
            <w:tcBorders>
              <w:right w:val="single" w:sz="8" w:color="CCCCCC"/>
            </w:tcBorders>
          </w:tcPr>
          <w:p>
            <w:pPr>
              <w:spacing w:after="0"/>
              <w:rPr>
                <w:sz w:val="24"/>
                <w:szCs w:val="24"/>
                <w:color w:val="auto"/>
              </w:rPr>
            </w:pPr>
          </w:p>
        </w:tc>
        <w:tc>
          <w:tcPr>
            <w:tcW w:w="1540" w:type="dxa"/>
            <w:vAlign w:val="bottom"/>
            <w:tcBorders>
              <w:bottom w:val="single" w:sz="8" w:color="CCCCCC"/>
              <w:right w:val="single" w:sz="8" w:color="CCCCCC"/>
            </w:tcBorders>
          </w:tcPr>
          <w:p>
            <w:pPr>
              <w:spacing w:after="0"/>
              <w:rPr>
                <w:sz w:val="24"/>
                <w:szCs w:val="24"/>
                <w:color w:val="auto"/>
              </w:rPr>
            </w:pPr>
          </w:p>
        </w:tc>
      </w:tr>
      <w:tr>
        <w:trPr>
          <w:trHeight w:val="187"/>
        </w:trPr>
        <w:tc>
          <w:tcPr>
            <w:tcW w:w="4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100" w:type="dxa"/>
            <w:vAlign w:val="bottom"/>
            <w:tcBorders>
              <w:right w:val="single" w:sz="8" w:color="CCCCCC"/>
            </w:tcBorders>
          </w:tcPr>
          <w:p>
            <w:pPr>
              <w:spacing w:after="0"/>
              <w:rPr>
                <w:sz w:val="16"/>
                <w:szCs w:val="16"/>
                <w:color w:val="auto"/>
              </w:rPr>
            </w:pPr>
          </w:p>
        </w:tc>
        <w:tc>
          <w:tcPr>
            <w:tcW w:w="1080" w:type="dxa"/>
            <w:vAlign w:val="bottom"/>
            <w:tcBorders>
              <w:bottom w:val="single" w:sz="8" w:color="CCCCCC"/>
            </w:tcBorders>
          </w:tcPr>
          <w:p>
            <w:pPr>
              <w:spacing w:after="0"/>
              <w:rPr>
                <w:sz w:val="16"/>
                <w:szCs w:val="16"/>
                <w:color w:val="auto"/>
              </w:rPr>
            </w:pPr>
          </w:p>
        </w:tc>
        <w:tc>
          <w:tcPr>
            <w:tcW w:w="1080" w:type="dxa"/>
            <w:vAlign w:val="bottom"/>
            <w:tcBorders>
              <w:bottom w:val="single" w:sz="8" w:color="CCCCCC"/>
              <w:right w:val="single" w:sz="8" w:color="CCCCCC"/>
            </w:tcBorders>
          </w:tcPr>
          <w:p>
            <w:pPr>
              <w:spacing w:after="0"/>
              <w:rPr>
                <w:sz w:val="16"/>
                <w:szCs w:val="16"/>
                <w:color w:val="auto"/>
              </w:rPr>
            </w:pPr>
          </w:p>
        </w:tc>
        <w:tc>
          <w:tcPr>
            <w:tcW w:w="3400" w:type="dxa"/>
            <w:vAlign w:val="bottom"/>
          </w:tcPr>
          <w:p>
            <w:pPr>
              <w:spacing w:after="0"/>
              <w:rPr>
                <w:sz w:val="16"/>
                <w:szCs w:val="16"/>
                <w:color w:val="auto"/>
              </w:rPr>
            </w:pPr>
          </w:p>
        </w:tc>
        <w:tc>
          <w:tcPr>
            <w:tcW w:w="15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232410</wp:posOffset>
            </wp:positionH>
            <wp:positionV relativeFrom="paragraph">
              <wp:posOffset>-1724025</wp:posOffset>
            </wp:positionV>
            <wp:extent cx="3453130" cy="17183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53130" cy="1718310"/>
                    </a:xfrm>
                    <a:prstGeom prst="rect">
                      <a:avLst/>
                    </a:prstGeom>
                    <a:noFill/>
                  </pic:spPr>
                </pic:pic>
              </a:graphicData>
            </a:graphic>
          </wp:anchor>
        </w:drawing>
        <w:drawing>
          <wp:anchor simplePos="0" relativeHeight="251657728" behindDoc="1" locked="0" layoutInCell="0" allowOverlap="1">
            <wp:simplePos x="0" y="0"/>
            <wp:positionH relativeFrom="column">
              <wp:posOffset>232410</wp:posOffset>
            </wp:positionH>
            <wp:positionV relativeFrom="paragraph">
              <wp:posOffset>-1724025</wp:posOffset>
            </wp:positionV>
            <wp:extent cx="3453130" cy="17183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53130" cy="1718310"/>
                    </a:xfrm>
                    <a:prstGeom prst="rect">
                      <a:avLst/>
                    </a:prstGeom>
                    <a:noFill/>
                  </pic:spPr>
                </pic:pic>
              </a:graphicData>
            </a:graphic>
          </wp:anchor>
        </w:drawing>
        <w:drawing>
          <wp:anchor simplePos="0" relativeHeight="251657728" behindDoc="1" locked="0" layoutInCell="0" allowOverlap="1">
            <wp:simplePos x="0" y="0"/>
            <wp:positionH relativeFrom="column">
              <wp:posOffset>5826760</wp:posOffset>
            </wp:positionH>
            <wp:positionV relativeFrom="paragraph">
              <wp:posOffset>-1566545</wp:posOffset>
            </wp:positionV>
            <wp:extent cx="1002030" cy="1416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000000"/>
                        </a:clrFrom>
                        <a:clrTo>
                          <a:srgbClr val="000000">
                            <a:alpha val="0"/>
                          </a:srgbClr>
                        </a:clrTo>
                      </a:clrChange>
                      <a:extLst>
                        <a:ext uri="{28A0092B-C50C-407E-A947-70E740481C1C}"/>
                      </a:extLst>
                    </a:blip>
                    <a:srcRect/>
                    <a:stretch>
                      <a:fillRect/>
                    </a:stretch>
                  </pic:blipFill>
                  <pic:spPr bwMode="auto">
                    <a:xfrm>
                      <a:off x="0" y="0"/>
                      <a:ext cx="1002030" cy="1416685"/>
                    </a:xfrm>
                    <a:prstGeom prst="rect">
                      <a:avLst/>
                    </a:prstGeom>
                    <a:noFill/>
                  </pic:spPr>
                </pic:pic>
              </a:graphicData>
            </a:graphic>
          </wp:anchor>
        </w:drawing>
        <w:drawing>
          <wp:anchor simplePos="0" relativeHeight="251657728" behindDoc="1" locked="0" layoutInCell="0" allowOverlap="1">
            <wp:simplePos x="0" y="0"/>
            <wp:positionH relativeFrom="column">
              <wp:posOffset>5826760</wp:posOffset>
            </wp:positionH>
            <wp:positionV relativeFrom="paragraph">
              <wp:posOffset>-1566545</wp:posOffset>
            </wp:positionV>
            <wp:extent cx="1002030" cy="1416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02030" cy="1416685"/>
                    </a:xfrm>
                    <a:prstGeom prst="rect">
                      <a:avLst/>
                    </a:prstGeom>
                    <a:noFill/>
                  </pic:spPr>
                </pic:pic>
              </a:graphicData>
            </a:graphic>
          </wp:anchor>
        </w:drawing>
      </w:r>
    </w:p>
    <w:p>
      <w:pPr>
        <w:sectPr>
          <w:pgSz w:w="12240" w:h="15840" w:orient="portrait"/>
          <w:cols w:equalWidth="0" w:num="1">
            <w:col w:w="10800"/>
          </w:cols>
          <w:pgMar w:left="920" w:top="161" w:right="520" w:bottom="215" w:gutter="0" w:footer="0" w:header="0"/>
          <w:type w:val="continuous"/>
        </w:sectPr>
      </w:pPr>
    </w:p>
    <w:bookmarkStart w:id="5" w:name="page6"/>
    <w:bookmarkEnd w:id="5"/>
    <w:p>
      <w:pPr>
        <w:spacing w:after="0"/>
        <w:tabs>
          <w:tab w:leader="none" w:pos="8480" w:val="left"/>
          <w:tab w:leader="none" w:pos="9360" w:val="left"/>
        </w:tabs>
        <w:rPr>
          <w:sz w:val="20"/>
          <w:szCs w:val="20"/>
          <w:color w:val="auto"/>
        </w:rPr>
      </w:pPr>
      <w:r>
        <w:rPr>
          <w:rFonts w:ascii="Times New Roman" w:cs="Times New Roman" w:eastAsia="Times New Roman" w:hAnsi="Times New Roman"/>
          <w:sz w:val="78"/>
          <w:szCs w:val="78"/>
          <w:b w:val="1"/>
          <w:bCs w:val="1"/>
          <w:i w:val="1"/>
          <w:iCs w:val="1"/>
          <w:color w:val="000750"/>
          <w:highlight w:val="black"/>
        </w:rPr>
        <w:drawing>
          <wp:anchor simplePos="0" relativeHeight="251657728" behindDoc="1" locked="0" layoutInCell="0" allowOverlap="1">
            <wp:simplePos x="0" y="0"/>
            <wp:positionH relativeFrom="page">
              <wp:posOffset>0</wp:posOffset>
            </wp:positionH>
            <wp:positionV relativeFrom="page">
              <wp:posOffset>0</wp:posOffset>
            </wp:positionV>
            <wp:extent cx="7772400" cy="11296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72400" cy="1129665"/>
                    </a:xfrm>
                    <a:prstGeom prst="rect">
                      <a:avLst/>
                    </a:prstGeom>
                    <a:noFill/>
                  </pic:spPr>
                </pic:pic>
              </a:graphicData>
            </a:graphic>
          </wp:anchor>
        </w:drawing>
        <w:t>of Security National</w:t>
      </w:r>
      <w:r>
        <w:rPr>
          <w:sz w:val="20"/>
          <w:szCs w:val="20"/>
          <w:color w:val="auto"/>
        </w:rPr>
        <w:tab/>
      </w:r>
      <w:r>
        <w:rPr>
          <w:rFonts w:ascii="Times New Roman" w:cs="Times New Roman" w:eastAsia="Times New Roman" w:hAnsi="Times New Roman"/>
          <w:sz w:val="50"/>
          <w:szCs w:val="50"/>
          <w:i w:val="1"/>
          <w:iCs w:val="1"/>
          <w:color w:val="000750"/>
          <w:highlight w:val="black"/>
        </w:rPr>
        <w:t>•</w:t>
        <w:tab/>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575945</wp:posOffset>
            </wp:positionV>
            <wp:extent cx="5927725" cy="3948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27725" cy="3948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2011 - The acquisition of North America Life policy block</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2012 - The acquisition of Trans-Western Life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5013960</wp:posOffset>
            </wp:positionH>
            <wp:positionV relativeFrom="paragraph">
              <wp:posOffset>-93345</wp:posOffset>
            </wp:positionV>
            <wp:extent cx="1972945" cy="13265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72945" cy="1326515"/>
                    </a:xfrm>
                    <a:prstGeom prst="rect">
                      <a:avLst/>
                    </a:prstGeom>
                    <a:noFill/>
                  </pic:spPr>
                </pic:pic>
              </a:graphicData>
            </a:graphic>
          </wp:anchor>
        </w:drawing>
        <w:drawing>
          <wp:anchor simplePos="0" relativeHeight="251657728" behindDoc="1" locked="0" layoutInCell="0" allowOverlap="1">
            <wp:simplePos x="0" y="0"/>
            <wp:positionH relativeFrom="column">
              <wp:posOffset>5013960</wp:posOffset>
            </wp:positionH>
            <wp:positionV relativeFrom="paragraph">
              <wp:posOffset>-93345</wp:posOffset>
            </wp:positionV>
            <wp:extent cx="1972945" cy="13265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72945" cy="1326515"/>
                    </a:xfrm>
                    <a:prstGeom prst="rect">
                      <a:avLst/>
                    </a:prstGeom>
                    <a:noFill/>
                  </pic:spPr>
                </pic:pic>
              </a:graphicData>
            </a:graphic>
          </wp:anchor>
        </w:drawing>
      </w:r>
    </w:p>
    <w:p>
      <w:pPr>
        <w:spacing w:after="0" w:line="1" w:lineRule="exact"/>
        <w:rPr>
          <w:sz w:val="20"/>
          <w:szCs w:val="20"/>
          <w:color w:val="auto"/>
        </w:rPr>
      </w:pPr>
    </w:p>
    <w:p>
      <w:pPr>
        <w:ind w:left="1500" w:right="4860" w:firstLine="520"/>
        <w:spacing w:after="0" w:line="242" w:lineRule="auto"/>
        <w:rPr>
          <w:sz w:val="20"/>
          <w:szCs w:val="20"/>
          <w:color w:val="auto"/>
        </w:rPr>
      </w:pPr>
      <w:r>
        <w:rPr>
          <w:rFonts w:ascii="Arial" w:cs="Arial" w:eastAsia="Arial" w:hAnsi="Arial"/>
          <w:sz w:val="16"/>
          <w:szCs w:val="16"/>
          <w:color w:val="auto"/>
        </w:rPr>
        <w:t>formation of EverLEND Mortgage Company 2014 - The acquisition of American Funeral Financial 2016 - The acquisition of First Guaranty Insurance</w:t>
      </w:r>
    </w:p>
    <w:p>
      <w:pPr>
        <w:spacing w:after="0" w:line="7" w:lineRule="exact"/>
        <w:rPr>
          <w:sz w:val="20"/>
          <w:szCs w:val="20"/>
          <w:color w:val="auto"/>
        </w:rPr>
      </w:pPr>
    </w:p>
    <w:p>
      <w:pPr>
        <w:ind w:left="2020"/>
        <w:spacing w:after="0"/>
        <w:rPr>
          <w:sz w:val="20"/>
          <w:szCs w:val="20"/>
          <w:color w:val="auto"/>
        </w:rPr>
      </w:pPr>
      <w:r>
        <w:rPr>
          <w:rFonts w:ascii="Arial" w:cs="Arial" w:eastAsia="Arial" w:hAnsi="Arial"/>
          <w:sz w:val="16"/>
          <w:szCs w:val="16"/>
          <w:color w:val="auto"/>
        </w:rPr>
        <w:t>Company</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2018 - The acquisition of Beta Capital Corporation</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2019 - The acquisition of Probst Family Funeral Homes</w:t>
      </w:r>
    </w:p>
    <w:p>
      <w:pPr>
        <w:spacing w:after="0" w:line="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2019 - The acquisition of Kilpatrick Life Insurance Company</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64"/>
          <w:szCs w:val="64"/>
          <w:color w:val="000750"/>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-207010</wp:posOffset>
            </wp:positionV>
            <wp:extent cx="7343140" cy="3813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3140" cy="3813175"/>
                    </a:xfrm>
                    <a:prstGeom prst="rect">
                      <a:avLst/>
                    </a:prstGeom>
                    <a:noFill/>
                  </pic:spPr>
                </pic:pic>
              </a:graphicData>
            </a:graphic>
          </wp:anchor>
        </w:drawing>
      </w:r>
    </w:p>
    <w:p>
      <w:pPr>
        <w:sectPr>
          <w:pgSz w:w="12240" w:h="15840" w:orient="portrait"/>
          <w:cols w:equalWidth="0" w:num="1">
            <w:col w:w="10520"/>
          </w:cols>
          <w:pgMar w:left="520" w:top="161" w:right="120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64"/>
          <w:szCs w:val="64"/>
          <w:color w:val="000750"/>
        </w:rPr>
        <w:t>2000</w:t>
      </w:r>
    </w:p>
    <w:p>
      <w:pPr>
        <w:spacing w:after="0" w:line="200" w:lineRule="exact"/>
        <w:rPr>
          <w:sz w:val="20"/>
          <w:szCs w:val="20"/>
          <w:color w:val="auto"/>
        </w:rPr>
      </w:pPr>
    </w:p>
    <w:p>
      <w:pPr>
        <w:spacing w:after="0" w:line="316" w:lineRule="exact"/>
        <w:rPr>
          <w:sz w:val="20"/>
          <w:szCs w:val="20"/>
          <w:color w:val="auto"/>
        </w:rPr>
      </w:pPr>
    </w:p>
    <w:p>
      <w:pPr>
        <w:ind w:left="820" w:right="1440" w:hanging="599"/>
        <w:spacing w:after="0" w:line="236" w:lineRule="auto"/>
        <w:rPr>
          <w:sz w:val="20"/>
          <w:szCs w:val="20"/>
          <w:color w:val="auto"/>
        </w:rPr>
      </w:pPr>
      <w:r>
        <w:rPr>
          <w:rFonts w:ascii="Arial" w:cs="Arial" w:eastAsia="Arial" w:hAnsi="Arial"/>
          <w:sz w:val="16"/>
          <w:szCs w:val="16"/>
          <w:color w:val="auto"/>
        </w:rPr>
        <w:t>2000 - The organization of Southern Security Mortgage Company</w:t>
      </w:r>
    </w:p>
    <w:p>
      <w:pPr>
        <w:spacing w:after="0" w:line="22" w:lineRule="exact"/>
        <w:rPr>
          <w:sz w:val="20"/>
          <w:szCs w:val="20"/>
          <w:color w:val="auto"/>
        </w:rPr>
      </w:pPr>
    </w:p>
    <w:p>
      <w:pPr>
        <w:ind w:left="820" w:right="1120" w:hanging="599"/>
        <w:spacing w:after="0" w:line="236" w:lineRule="auto"/>
        <w:rPr>
          <w:sz w:val="20"/>
          <w:szCs w:val="20"/>
          <w:color w:val="auto"/>
        </w:rPr>
      </w:pPr>
      <w:r>
        <w:rPr>
          <w:rFonts w:ascii="Arial" w:cs="Arial" w:eastAsia="Arial" w:hAnsi="Arial"/>
          <w:sz w:val="16"/>
          <w:szCs w:val="16"/>
          <w:color w:val="auto"/>
        </w:rPr>
        <w:t>2002 - The acquisition of Gulf National Life policy block and Acadian Life policy block</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2004 - The acquisition of Paramount Security Life</w:t>
      </w:r>
    </w:p>
    <w:p>
      <w:pPr>
        <w:spacing w:after="0" w:line="21" w:lineRule="exact"/>
        <w:rPr>
          <w:sz w:val="20"/>
          <w:szCs w:val="20"/>
          <w:color w:val="auto"/>
        </w:rPr>
      </w:pPr>
    </w:p>
    <w:p>
      <w:pPr>
        <w:ind w:left="820" w:right="1480" w:hanging="599"/>
        <w:spacing w:after="0" w:line="236" w:lineRule="auto"/>
        <w:rPr>
          <w:sz w:val="20"/>
          <w:szCs w:val="20"/>
          <w:color w:val="auto"/>
        </w:rPr>
      </w:pPr>
      <w:r>
        <w:rPr>
          <w:rFonts w:ascii="Arial" w:cs="Arial" w:eastAsia="Arial" w:hAnsi="Arial"/>
          <w:sz w:val="16"/>
          <w:szCs w:val="16"/>
          <w:color w:val="auto"/>
        </w:rPr>
        <w:t>2005 - The acquisition of Memorial Insurance Company of America</w:t>
      </w:r>
    </w:p>
    <w:p>
      <w:pPr>
        <w:spacing w:after="0" w:line="22" w:lineRule="exact"/>
        <w:rPr>
          <w:sz w:val="20"/>
          <w:szCs w:val="20"/>
          <w:color w:val="auto"/>
        </w:rPr>
      </w:pPr>
    </w:p>
    <w:p>
      <w:pPr>
        <w:ind w:left="820" w:right="1000" w:hanging="599"/>
        <w:spacing w:after="0" w:line="236" w:lineRule="auto"/>
        <w:rPr>
          <w:sz w:val="20"/>
          <w:szCs w:val="20"/>
          <w:color w:val="auto"/>
        </w:rPr>
      </w:pPr>
      <w:r>
        <w:rPr>
          <w:rFonts w:ascii="Arial" w:cs="Arial" w:eastAsia="Arial" w:hAnsi="Arial"/>
          <w:sz w:val="16"/>
          <w:szCs w:val="16"/>
          <w:color w:val="auto"/>
        </w:rPr>
        <w:t>2007 - The acquisition of C&amp;J Financial and Capital Reserve Life Insurance Company</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2008 - The acquisition of Southern Security Life (MS)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2000250</wp:posOffset>
            </wp:positionH>
            <wp:positionV relativeFrom="paragraph">
              <wp:posOffset>546735</wp:posOffset>
            </wp:positionV>
            <wp:extent cx="1398905" cy="940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98905" cy="9404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64"/>
          <w:szCs w:val="64"/>
          <w:color w:val="000750"/>
        </w:rPr>
        <w:t>2020</w:t>
      </w:r>
    </w:p>
    <w:p>
      <w:pPr>
        <w:spacing w:after="0" w:line="200" w:lineRule="exact"/>
        <w:rPr>
          <w:sz w:val="20"/>
          <w:szCs w:val="20"/>
          <w:color w:val="auto"/>
        </w:rPr>
      </w:pPr>
    </w:p>
    <w:p>
      <w:pPr>
        <w:spacing w:after="0" w:line="316" w:lineRule="exact"/>
        <w:rPr>
          <w:sz w:val="20"/>
          <w:szCs w:val="20"/>
          <w:color w:val="auto"/>
        </w:rPr>
      </w:pPr>
    </w:p>
    <w:p>
      <w:pPr>
        <w:ind w:left="540" w:right="1200" w:hanging="539"/>
        <w:spacing w:after="0" w:line="242" w:lineRule="auto"/>
        <w:rPr>
          <w:sz w:val="20"/>
          <w:szCs w:val="20"/>
          <w:color w:val="auto"/>
        </w:rPr>
      </w:pPr>
      <w:r>
        <w:rPr>
          <w:rFonts w:ascii="Arial" w:cs="Arial" w:eastAsia="Arial" w:hAnsi="Arial"/>
          <w:sz w:val="16"/>
          <w:szCs w:val="16"/>
          <w:color w:val="auto"/>
        </w:rPr>
        <w:t>2021 - The merger of EverLEND Mortgage Company with SecurityNational Mortgage Company</w:t>
      </w:r>
    </w:p>
    <w:p>
      <w:pPr>
        <w:spacing w:after="0" w:line="19" w:lineRule="exact"/>
        <w:rPr>
          <w:sz w:val="20"/>
          <w:szCs w:val="20"/>
          <w:color w:val="auto"/>
        </w:rPr>
      </w:pPr>
    </w:p>
    <w:p>
      <w:pPr>
        <w:jc w:val="right"/>
        <w:ind w:right="840"/>
        <w:spacing w:after="0" w:line="236" w:lineRule="auto"/>
        <w:rPr>
          <w:sz w:val="20"/>
          <w:szCs w:val="20"/>
          <w:color w:val="auto"/>
        </w:rPr>
      </w:pPr>
      <w:r>
        <w:rPr>
          <w:rFonts w:ascii="Arial" w:cs="Arial" w:eastAsia="Arial" w:hAnsi="Arial"/>
          <w:sz w:val="16"/>
          <w:szCs w:val="16"/>
          <w:color w:val="auto"/>
        </w:rPr>
        <w:t>2021 - The acquisition of Rivera Family Funeral Homes and Santa Fe Memorial Gardens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2021 - The acquisition of Holbrook Mortuary</w:t>
      </w:r>
    </w:p>
    <w:p>
      <w:pPr>
        <w:spacing w:after="0" w:line="21" w:lineRule="exact"/>
        <w:rPr>
          <w:sz w:val="20"/>
          <w:szCs w:val="20"/>
          <w:color w:val="auto"/>
        </w:rPr>
      </w:pPr>
    </w:p>
    <w:p>
      <w:pPr>
        <w:ind w:left="540" w:right="740" w:hanging="539"/>
        <w:spacing w:after="0" w:line="236" w:lineRule="auto"/>
        <w:rPr>
          <w:sz w:val="20"/>
          <w:szCs w:val="20"/>
          <w:color w:val="auto"/>
        </w:rPr>
      </w:pPr>
      <w:r>
        <w:rPr>
          <w:rFonts w:ascii="Arial" w:cs="Arial" w:eastAsia="Arial" w:hAnsi="Arial"/>
          <w:sz w:val="16"/>
          <w:szCs w:val="16"/>
          <w:color w:val="auto"/>
        </w:rPr>
        <w:t>2021 - The sale of Memorial Insurance Company of America</w:t>
      </w:r>
    </w:p>
    <w:p>
      <w:pPr>
        <w:spacing w:after="0" w:line="22" w:lineRule="exact"/>
        <w:rPr>
          <w:sz w:val="20"/>
          <w:szCs w:val="20"/>
          <w:color w:val="auto"/>
        </w:rPr>
      </w:pPr>
    </w:p>
    <w:p>
      <w:pPr>
        <w:ind w:left="540" w:right="1120" w:hanging="539"/>
        <w:spacing w:after="0" w:line="236" w:lineRule="auto"/>
        <w:rPr>
          <w:sz w:val="20"/>
          <w:szCs w:val="20"/>
          <w:color w:val="auto"/>
        </w:rPr>
      </w:pPr>
      <w:r>
        <w:rPr>
          <w:rFonts w:ascii="Arial" w:cs="Arial" w:eastAsia="Arial" w:hAnsi="Arial"/>
          <w:sz w:val="16"/>
          <w:szCs w:val="16"/>
          <w:color w:val="auto"/>
        </w:rPr>
        <w:t>2023 - Acquisition and merger of Foxo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2235835</wp:posOffset>
            </wp:positionH>
            <wp:positionV relativeFrom="paragraph">
              <wp:posOffset>54610</wp:posOffset>
            </wp:positionV>
            <wp:extent cx="1013460" cy="14547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13460" cy="1454785"/>
                    </a:xfrm>
                    <a:prstGeom prst="rect">
                      <a:avLst/>
                    </a:prstGeom>
                    <a:noFill/>
                  </pic:spPr>
                </pic:pic>
              </a:graphicData>
            </a:graphic>
          </wp:anchor>
        </w:drawing>
        <w:drawing>
          <wp:anchor simplePos="0" relativeHeight="251657728" behindDoc="1" locked="0" layoutInCell="0" allowOverlap="1">
            <wp:simplePos x="0" y="0"/>
            <wp:positionH relativeFrom="column">
              <wp:posOffset>2235835</wp:posOffset>
            </wp:positionH>
            <wp:positionV relativeFrom="paragraph">
              <wp:posOffset>54610</wp:posOffset>
            </wp:positionV>
            <wp:extent cx="1013460" cy="1454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13460" cy="1454785"/>
                    </a:xfrm>
                    <a:prstGeom prst="rect">
                      <a:avLst/>
                    </a:prstGeom>
                    <a:noFill/>
                  </pic:spPr>
                </pic:pic>
              </a:graphicData>
            </a:graphic>
          </wp:anchor>
        </w:drawing>
      </w:r>
    </w:p>
    <w:p>
      <w:pPr>
        <w:sectPr>
          <w:pgSz w:w="12240" w:h="15840" w:orient="portrait"/>
          <w:cols w:equalWidth="0" w:num="2">
            <w:col w:w="5280" w:space="720"/>
            <w:col w:w="4520"/>
          </w:cols>
          <w:pgMar w:left="520" w:top="161" w:right="1200"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36080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772400" cy="3608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06"/>
          <w:szCs w:val="106"/>
          <w:b w:val="1"/>
          <w:bCs w:val="1"/>
          <w:color w:val="000750"/>
        </w:rPr>
        <w:t>Human Capital</w:t>
      </w:r>
    </w:p>
    <w:p>
      <w:pPr>
        <w:sectPr>
          <w:pgSz w:w="12240" w:h="15840" w:orient="portrait"/>
          <w:cols w:equalWidth="0" w:num="1">
            <w:col w:w="10820"/>
          </w:cols>
          <w:pgMar w:left="700" w:top="1440" w:right="720" w:bottom="212" w:gutter="0" w:footer="0" w:header="0"/>
        </w:sectPr>
      </w:pP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54"/>
          <w:szCs w:val="54"/>
          <w:b w:val="1"/>
          <w:bCs w:val="1"/>
          <w:i w:val="1"/>
          <w:iCs w:val="1"/>
          <w:color w:val="000750"/>
        </w:rPr>
        <w:t>at Security National</w:t>
      </w:r>
    </w:p>
    <w:p>
      <w:pPr>
        <w:spacing w:after="0" w:line="200" w:lineRule="exact"/>
        <w:rPr>
          <w:sz w:val="20"/>
          <w:szCs w:val="20"/>
          <w:color w:val="auto"/>
        </w:rPr>
      </w:pPr>
    </w:p>
    <w:p>
      <w:pPr>
        <w:spacing w:after="0" w:line="357" w:lineRule="exact"/>
        <w:rPr>
          <w:sz w:val="20"/>
          <w:szCs w:val="20"/>
          <w:color w:val="auto"/>
        </w:rPr>
      </w:pPr>
    </w:p>
    <w:p>
      <w:pPr>
        <w:jc w:val="both"/>
        <w:ind w:left="20"/>
        <w:spacing w:after="0" w:line="285" w:lineRule="auto"/>
        <w:rPr>
          <w:sz w:val="20"/>
          <w:szCs w:val="20"/>
          <w:color w:val="auto"/>
        </w:rPr>
      </w:pPr>
      <w:r>
        <w:rPr>
          <w:rFonts w:ascii="Arial" w:cs="Arial" w:eastAsia="Arial" w:hAnsi="Arial"/>
          <w:sz w:val="20"/>
          <w:szCs w:val="20"/>
          <w:color w:val="auto"/>
        </w:rPr>
        <w:t>At Security National Financial Corporation, our employees are a key driver of our long-term success. Guided by our motto of Excellence and our goal of Growth, we focus on attracting, developing, and retaining talented individuals who are committed to serving our customers and supporting our strategic objectives.</w:t>
      </w:r>
    </w:p>
    <w:p>
      <w:pPr>
        <w:sectPr>
          <w:pgSz w:w="12240" w:h="15840" w:orient="portrait"/>
          <w:cols w:equalWidth="0" w:num="1">
            <w:col w:w="10820"/>
          </w:cols>
          <w:pgMar w:left="700" w:top="1440" w:right="720" w:bottom="212" w:gutter="0" w:footer="0" w:header="0"/>
          <w:type w:val="continuous"/>
        </w:sectPr>
      </w:pPr>
    </w:p>
    <w:p>
      <w:pPr>
        <w:spacing w:after="0" w:line="3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36"/>
          <w:szCs w:val="36"/>
          <w:color w:val="000750"/>
        </w:rPr>
        <w:t>Workforce Overview</w:t>
      </w:r>
    </w:p>
    <w:p>
      <w:pPr>
        <w:spacing w:after="0" w:line="90" w:lineRule="exact"/>
        <w:rPr>
          <w:sz w:val="20"/>
          <w:szCs w:val="20"/>
          <w:color w:val="auto"/>
        </w:rPr>
      </w:pPr>
    </w:p>
    <w:p>
      <w:pPr>
        <w:jc w:val="both"/>
        <w:ind w:left="40"/>
        <w:spacing w:after="0" w:line="278" w:lineRule="auto"/>
        <w:rPr>
          <w:sz w:val="20"/>
          <w:szCs w:val="20"/>
          <w:color w:val="auto"/>
        </w:rPr>
      </w:pPr>
      <w:r>
        <w:rPr>
          <w:rFonts w:ascii="Arial" w:cs="Arial" w:eastAsia="Arial" w:hAnsi="Arial"/>
          <w:sz w:val="20"/>
          <w:szCs w:val="20"/>
          <w:color w:val="auto"/>
        </w:rPr>
        <w:t>As of December 31, 2025, we employed 1,243 individuals across our operating segments. We have employees in 39 states within the United States. Our workforce includes approximately 74% full-time employees, 10% part-time employees, and 16% commissioned professionals. Our employees represent a multi-generational workforce comprised of approximately 31% Millennials, 39% Generation X, 15% Generation Z, and 15% Baby Boomers. The average employee tenure is 6.3 years, reflecting the experience and stability of our workforce.</w:t>
      </w:r>
    </w:p>
    <w:p>
      <w:pPr>
        <w:spacing w:after="0" w:line="272" w:lineRule="exact"/>
        <w:rPr>
          <w:sz w:val="20"/>
          <w:szCs w:val="20"/>
          <w:color w:val="auto"/>
        </w:rPr>
      </w:pPr>
    </w:p>
    <w:p>
      <w:pPr>
        <w:jc w:val="both"/>
        <w:ind w:left="40"/>
        <w:spacing w:after="0" w:line="276" w:lineRule="auto"/>
        <w:rPr>
          <w:sz w:val="20"/>
          <w:szCs w:val="20"/>
          <w:color w:val="auto"/>
        </w:rPr>
      </w:pPr>
      <w:r>
        <w:rPr>
          <w:rFonts w:ascii="Arial" w:cs="Arial" w:eastAsia="Arial" w:hAnsi="Arial"/>
          <w:sz w:val="20"/>
          <w:szCs w:val="20"/>
          <w:color w:val="auto"/>
        </w:rPr>
        <w:t>We are committed to attracting and retaining talented individuals from diverse backgrounds and fostering an inclusive workplace where employees are empowered to contribute to our continued growth and success.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28"/>
          <w:szCs w:val="128"/>
          <w:b w:val="1"/>
          <w:bCs w:val="1"/>
          <w:color w:val="00075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184150</wp:posOffset>
            </wp:positionH>
            <wp:positionV relativeFrom="paragraph">
              <wp:posOffset>-524510</wp:posOffset>
            </wp:positionV>
            <wp:extent cx="1637030" cy="10788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37030" cy="107886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-780415</wp:posOffset>
            </wp:positionV>
            <wp:extent cx="2228850" cy="45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28850" cy="45720"/>
                    </a:xfrm>
                    <a:prstGeom prst="rect">
                      <a:avLst/>
                    </a:prstGeom>
                    <a:noFill/>
                  </pic:spPr>
                </pic:pic>
              </a:graphicData>
            </a:graphic>
          </wp:anchor>
        </w:drawing>
      </w:r>
    </w:p>
    <w:p>
      <w:pPr>
        <w:jc w:val="center"/>
        <w:ind w:right="240"/>
        <w:spacing w:after="0"/>
        <w:rPr>
          <w:sz w:val="20"/>
          <w:szCs w:val="20"/>
          <w:color w:val="auto"/>
        </w:rPr>
      </w:pPr>
      <w:r>
        <w:rPr>
          <w:rFonts w:ascii="Times New Roman" w:cs="Times New Roman" w:eastAsia="Times New Roman" w:hAnsi="Times New Roman"/>
          <w:sz w:val="68"/>
          <w:szCs w:val="68"/>
          <w:b w:val="1"/>
          <w:bCs w:val="1"/>
          <w:color w:val="000750"/>
        </w:rPr>
        <w:t>YEARS</w:t>
      </w:r>
    </w:p>
    <w:p>
      <w:pPr>
        <w:spacing w:after="0" w:line="135" w:lineRule="exact"/>
        <w:rPr>
          <w:sz w:val="20"/>
          <w:szCs w:val="20"/>
          <w:color w:val="auto"/>
        </w:rPr>
      </w:pPr>
    </w:p>
    <w:p>
      <w:pPr>
        <w:spacing w:after="0"/>
        <w:rPr>
          <w:sz w:val="20"/>
          <w:szCs w:val="20"/>
          <w:color w:val="auto"/>
        </w:rPr>
      </w:pPr>
      <w:r>
        <w:rPr>
          <w:rFonts w:ascii="Arial" w:cs="Arial" w:eastAsia="Arial" w:hAnsi="Arial"/>
          <w:sz w:val="24"/>
          <w:szCs w:val="24"/>
          <w:color w:val="000750"/>
        </w:rPr>
        <w:t>Average Employee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182880</wp:posOffset>
            </wp:positionV>
            <wp:extent cx="2228850" cy="45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28850" cy="45720"/>
                    </a:xfrm>
                    <a:prstGeom prst="rect">
                      <a:avLst/>
                    </a:prstGeom>
                    <a:noFill/>
                  </pic:spPr>
                </pic:pic>
              </a:graphicData>
            </a:graphic>
          </wp:anchor>
        </w:drawing>
      </w:r>
    </w:p>
    <w:p>
      <w:pPr>
        <w:spacing w:after="0" w:line="762" w:lineRule="exact"/>
        <w:rPr>
          <w:sz w:val="20"/>
          <w:szCs w:val="20"/>
          <w:color w:val="auto"/>
        </w:rPr>
      </w:pPr>
    </w:p>
    <w:p>
      <w:pPr>
        <w:sectPr>
          <w:pgSz w:w="12240" w:h="15840" w:orient="portrait"/>
          <w:cols w:equalWidth="0" w:num="2">
            <w:col w:w="6960" w:space="480"/>
            <w:col w:w="3380"/>
          </w:cols>
          <w:pgMar w:left="700" w:top="1440" w:right="720" w:bottom="212"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36"/>
          <w:szCs w:val="36"/>
          <w:color w:val="000750"/>
        </w:rPr>
        <w:t>Compensation and Benefits</w:t>
      </w:r>
    </w:p>
    <w:p>
      <w:pPr>
        <w:spacing w:after="0" w:line="73" w:lineRule="exact"/>
        <w:rPr>
          <w:sz w:val="20"/>
          <w:szCs w:val="20"/>
          <w:color w:val="auto"/>
        </w:rPr>
      </w:pPr>
    </w:p>
    <w:p>
      <w:pPr>
        <w:jc w:val="both"/>
        <w:ind w:left="40"/>
        <w:spacing w:after="0" w:line="265" w:lineRule="auto"/>
        <w:rPr>
          <w:sz w:val="20"/>
          <w:szCs w:val="20"/>
          <w:color w:val="auto"/>
        </w:rPr>
      </w:pPr>
      <w:r>
        <w:rPr>
          <w:rFonts w:ascii="Arial" w:cs="Arial" w:eastAsia="Arial" w:hAnsi="Arial"/>
          <w:sz w:val="20"/>
          <w:szCs w:val="20"/>
          <w:color w:val="auto"/>
        </w:rPr>
        <w:t>We provide a competitive total rewards program designed to support the financial, physical, and personal well-being of our employees and their families. Our benefits package includes company-paid life insurance, accidental death and dismemberment coverage, long-term disability insurance and a 401(k)-retirement savings plan with company stock matching based on the employee’s contribution amount.</w:t>
      </w:r>
    </w:p>
    <w:p>
      <w:pPr>
        <w:sectPr>
          <w:pgSz w:w="12240" w:h="15840" w:orient="portrait"/>
          <w:cols w:equalWidth="0" w:num="1">
            <w:col w:w="10820"/>
          </w:cols>
          <w:pgMar w:left="700" w:top="1440" w:right="720" w:bottom="212" w:gutter="0" w:footer="0" w:header="0"/>
          <w:type w:val="continuous"/>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right="240"/>
        <w:spacing w:after="0" w:line="269" w:lineRule="auto"/>
        <w:rPr>
          <w:sz w:val="20"/>
          <w:szCs w:val="20"/>
          <w:color w:val="auto"/>
        </w:rPr>
      </w:pPr>
      <w:r>
        <w:rPr>
          <w:rFonts w:ascii="Arial" w:cs="Arial" w:eastAsia="Arial" w:hAnsi="Arial"/>
          <w:sz w:val="20"/>
          <w:szCs w:val="20"/>
          <w:color w:val="auto"/>
        </w:rPr>
        <w:t>Our self-funded medical plans allow us to tailor healthcare offerings based on employee feedback and evolving workforce needs. As of December 31, 2025, 677 employees had elected to participate in the Company’s group health insurance plans. Employees may choose from PPO and high-deductible health plans, with access to Health Savings Accounts with company matching and Flexible Spending Accounts. We also offer a variety of additional wellness and voluntary benefits designed to support employees throughout different stages of life.</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000750"/>
        </w:rPr>
        <w:t>Employee Engagement and Development</w:t>
      </w:r>
    </w:p>
    <w:p>
      <w:pPr>
        <w:spacing w:after="0" w:line="73" w:lineRule="exact"/>
        <w:rPr>
          <w:sz w:val="20"/>
          <w:szCs w:val="20"/>
          <w:color w:val="auto"/>
        </w:rPr>
      </w:pPr>
    </w:p>
    <w:p>
      <w:pPr>
        <w:jc w:val="both"/>
        <w:ind w:right="240"/>
        <w:spacing w:after="0" w:line="268" w:lineRule="auto"/>
        <w:rPr>
          <w:sz w:val="20"/>
          <w:szCs w:val="20"/>
          <w:color w:val="auto"/>
        </w:rPr>
      </w:pPr>
      <w:r>
        <w:rPr>
          <w:rFonts w:ascii="Arial" w:cs="Arial" w:eastAsia="Arial" w:hAnsi="Arial"/>
          <w:sz w:val="20"/>
          <w:szCs w:val="20"/>
          <w:color w:val="auto"/>
        </w:rPr>
        <w:t>We believe that a strong workplace culture contributes to employee satisfaction and organizational performance. Our most recent employee engagement survey achieved a 48% participation rate and reflected strong results in job satisfaction, managerial support, role clarity, and team commitment. Our Net Promoter Scores of 47 for employer recommendation and 48 for leadership trust fall within the strong engagement range, demonstrating a high level of employee confidence and commitment.</w:t>
      </w:r>
    </w:p>
    <w:p>
      <w:pPr>
        <w:spacing w:after="0" w:line="286" w:lineRule="exact"/>
        <w:rPr>
          <w:sz w:val="20"/>
          <w:szCs w:val="20"/>
          <w:color w:val="auto"/>
        </w:rPr>
      </w:pPr>
    </w:p>
    <w:p>
      <w:pPr>
        <w:jc w:val="both"/>
        <w:ind w:right="240"/>
        <w:spacing w:after="0" w:line="265" w:lineRule="auto"/>
        <w:rPr>
          <w:sz w:val="20"/>
          <w:szCs w:val="20"/>
          <w:color w:val="auto"/>
        </w:rPr>
      </w:pPr>
      <w:r>
        <w:rPr>
          <w:rFonts w:ascii="Arial" w:cs="Arial" w:eastAsia="Arial" w:hAnsi="Arial"/>
          <w:sz w:val="20"/>
          <w:szCs w:val="20"/>
          <w:color w:val="auto"/>
        </w:rPr>
        <w:t>We promote employee recognition and engagement through programs such as “Excellence in the Workplace” and “Excellence in Action,” which highlight employees who exemplify our values and commitment to excellence.</w:t>
      </w:r>
    </w:p>
    <w:p>
      <w:pPr>
        <w:spacing w:after="0" w:line="284" w:lineRule="exact"/>
        <w:rPr>
          <w:sz w:val="20"/>
          <w:szCs w:val="20"/>
          <w:color w:val="auto"/>
        </w:rPr>
      </w:pPr>
    </w:p>
    <w:p>
      <w:pPr>
        <w:jc w:val="both"/>
        <w:ind w:right="240"/>
        <w:spacing w:after="0" w:line="272" w:lineRule="auto"/>
        <w:rPr>
          <w:sz w:val="20"/>
          <w:szCs w:val="20"/>
          <w:color w:val="auto"/>
        </w:rPr>
      </w:pPr>
      <w:r>
        <w:rPr>
          <w:rFonts w:ascii="Arial" w:cs="Arial" w:eastAsia="Arial" w:hAnsi="Arial"/>
          <w:sz w:val="20"/>
          <w:szCs w:val="20"/>
          <w:color w:val="auto"/>
        </w:rPr>
        <w:t>We also continue to invest in leadership development and professional growth. Participation in our manager training programs has increased 167% over the past two years, reflecting our focus on strengthening leadership capabilities across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569595</wp:posOffset>
            </wp:positionH>
            <wp:positionV relativeFrom="paragraph">
              <wp:posOffset>357505</wp:posOffset>
            </wp:positionV>
            <wp:extent cx="3050540" cy="20161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50540" cy="2016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6"/>
          <w:szCs w:val="36"/>
          <w:color w:val="000750"/>
        </w:rPr>
        <w:t>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-444500</wp:posOffset>
            </wp:positionV>
            <wp:extent cx="2810510" cy="10058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1051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FFFFFF"/>
        </w:rPr>
        <w:t>Heather Street</w:t>
      </w:r>
    </w:p>
    <w:p>
      <w:pPr>
        <w:ind w:left="1080"/>
        <w:spacing w:after="0" w:line="227" w:lineRule="auto"/>
        <w:rPr>
          <w:sz w:val="20"/>
          <w:szCs w:val="20"/>
          <w:color w:val="auto"/>
        </w:rPr>
      </w:pPr>
      <w:r>
        <w:rPr>
          <w:rFonts w:ascii="Arial" w:cs="Arial" w:eastAsia="Arial" w:hAnsi="Arial"/>
          <w:sz w:val="17"/>
          <w:szCs w:val="17"/>
          <w:color w:val="FFFFFF"/>
        </w:rPr>
        <w:t>Executive Director</w:t>
      </w:r>
    </w:p>
    <w:p>
      <w:pPr>
        <w:ind w:left="1080"/>
        <w:spacing w:after="0" w:line="238" w:lineRule="auto"/>
        <w:rPr>
          <w:sz w:val="20"/>
          <w:szCs w:val="20"/>
          <w:color w:val="auto"/>
        </w:rPr>
      </w:pPr>
      <w:r>
        <w:rPr>
          <w:rFonts w:ascii="Arial" w:cs="Arial" w:eastAsia="Arial" w:hAnsi="Arial"/>
          <w:sz w:val="17"/>
          <w:szCs w:val="17"/>
          <w:color w:val="FFFFFF"/>
        </w:rPr>
        <w:t>Human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920"/>
        <w:spacing w:after="0"/>
        <w:rPr>
          <w:sz w:val="20"/>
          <w:szCs w:val="20"/>
          <w:color w:val="auto"/>
        </w:rPr>
      </w:pPr>
      <w:r>
        <w:rPr>
          <w:rFonts w:ascii="Arial" w:cs="Arial" w:eastAsia="Arial" w:hAnsi="Arial"/>
          <w:sz w:val="22"/>
          <w:szCs w:val="22"/>
          <w:b w:val="1"/>
          <w:bCs w:val="1"/>
          <w:color w:val="FFFFFF"/>
        </w:rPr>
        <w:t>Hillary Hutchinson</w:t>
      </w:r>
    </w:p>
    <w:p>
      <w:pPr>
        <w:jc w:val="center"/>
        <w:ind w:right="-39"/>
        <w:spacing w:after="0" w:line="227" w:lineRule="auto"/>
        <w:rPr>
          <w:sz w:val="20"/>
          <w:szCs w:val="20"/>
          <w:color w:val="auto"/>
        </w:rPr>
      </w:pPr>
      <w:r>
        <w:rPr>
          <w:rFonts w:ascii="Arial" w:cs="Arial" w:eastAsia="Arial" w:hAnsi="Arial"/>
          <w:sz w:val="17"/>
          <w:szCs w:val="17"/>
          <w:color w:val="FFFFFF"/>
        </w:rPr>
        <w:t>Benefits and HR Policy</w:t>
      </w:r>
    </w:p>
    <w:p>
      <w:pPr>
        <w:jc w:val="center"/>
        <w:ind w:right="-39"/>
        <w:spacing w:after="0" w:line="238" w:lineRule="auto"/>
        <w:rPr>
          <w:sz w:val="20"/>
          <w:szCs w:val="20"/>
          <w:color w:val="auto"/>
        </w:rPr>
      </w:pPr>
      <w:r>
        <w:rPr>
          <w:rFonts w:ascii="Arial" w:cs="Arial" w:eastAsia="Arial" w:hAnsi="Arial"/>
          <w:sz w:val="17"/>
          <w:szCs w:val="17"/>
          <w:color w:val="FFFFFF"/>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Autumn Corsey</w:t>
      </w:r>
    </w:p>
    <w:p>
      <w:pPr>
        <w:ind w:left="1180"/>
        <w:spacing w:after="0" w:line="227" w:lineRule="auto"/>
        <w:rPr>
          <w:sz w:val="20"/>
          <w:szCs w:val="20"/>
          <w:color w:val="auto"/>
        </w:rPr>
      </w:pPr>
      <w:r>
        <w:rPr>
          <w:rFonts w:ascii="Arial" w:cs="Arial" w:eastAsia="Arial" w:hAnsi="Arial"/>
          <w:sz w:val="17"/>
          <w:szCs w:val="17"/>
          <w:color w:val="FFFFFF"/>
        </w:rPr>
        <w:t>Payroll Manager</w:t>
      </w:r>
    </w:p>
    <w:p>
      <w:pPr>
        <w:spacing w:after="0" w:line="923" w:lineRule="exact"/>
        <w:rPr>
          <w:sz w:val="20"/>
          <w:szCs w:val="20"/>
          <w:color w:val="auto"/>
        </w:rPr>
      </w:pPr>
    </w:p>
    <w:p>
      <w:pPr>
        <w:sectPr>
          <w:pgSz w:w="12240" w:h="15840" w:orient="portrait"/>
          <w:cols w:equalWidth="0" w:num="2">
            <w:col w:w="6780" w:space="720"/>
            <w:col w:w="3600"/>
          </w:cols>
          <w:pgMar w:left="720" w:top="287" w:right="420" w:bottom="45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000750"/>
        </w:rPr>
        <w:t>Commitment to Our People</w:t>
      </w:r>
    </w:p>
    <w:p>
      <w:pPr>
        <w:spacing w:after="0" w:line="73" w:lineRule="exact"/>
        <w:rPr>
          <w:sz w:val="20"/>
          <w:szCs w:val="20"/>
          <w:color w:val="auto"/>
        </w:rPr>
      </w:pPr>
    </w:p>
    <w:p>
      <w:pPr>
        <w:jc w:val="both"/>
        <w:ind w:right="4560"/>
        <w:spacing w:after="0" w:line="269" w:lineRule="auto"/>
        <w:rPr>
          <w:sz w:val="20"/>
          <w:szCs w:val="20"/>
          <w:color w:val="auto"/>
        </w:rPr>
      </w:pPr>
      <w:r>
        <w:rPr>
          <w:rFonts w:ascii="Arial" w:cs="Arial" w:eastAsia="Arial" w:hAnsi="Arial"/>
          <w:sz w:val="20"/>
          <w:szCs w:val="20"/>
          <w:color w:val="auto"/>
        </w:rPr>
        <w:t>We remain committed to fostering a workplace where employees can grow professionally, contribute meaningfully, and support the continued success of Security National Financial Corporation. By investing in our workforce and promoting a culture of excellence, we believe we are well positioned to achieve our long-term strategic objectives.</w:t>
      </w:r>
    </w:p>
    <w:p>
      <w:pPr>
        <w:sectPr>
          <w:pgSz w:w="12240" w:h="15840" w:orient="portrait"/>
          <w:cols w:equalWidth="0" w:num="1">
            <w:col w:w="11100"/>
          </w:cols>
          <w:pgMar w:left="720" w:top="287" w:right="420" w:bottom="458" w:gutter="0" w:footer="0" w:header="0"/>
          <w:type w:val="continuous"/>
        </w:sectPr>
      </w:pPr>
    </w:p>
    <w:bookmarkStart w:id="8" w:name="page9"/>
    <w:bookmarkEnd w:id="8"/>
    <w:p>
      <w:pPr>
        <w:spacing w:after="0"/>
        <w:rPr>
          <w:sz w:val="20"/>
          <w:szCs w:val="20"/>
          <w:color w:val="auto"/>
        </w:rPr>
      </w:pPr>
      <w:r>
        <w:rPr>
          <w:rFonts w:ascii="Arial" w:cs="Arial" w:eastAsia="Arial" w:hAnsi="Arial"/>
          <w:sz w:val="33"/>
          <w:szCs w:val="33"/>
          <w:color w:val="000750"/>
        </w:rPr>
        <w:drawing>
          <wp:anchor simplePos="0" relativeHeight="251657728" behindDoc="1" locked="0" layoutInCell="0" allowOverlap="1">
            <wp:simplePos x="0" y="0"/>
            <wp:positionH relativeFrom="page">
              <wp:posOffset>0</wp:posOffset>
            </wp:positionH>
            <wp:positionV relativeFrom="page">
              <wp:posOffset>0</wp:posOffset>
            </wp:positionV>
            <wp:extent cx="2821940" cy="10058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21940" cy="10058400"/>
                    </a:xfrm>
                    <a:prstGeom prst="rect">
                      <a:avLst/>
                    </a:prstGeom>
                    <a:noFill/>
                  </pic:spPr>
                </pic:pic>
              </a:graphicData>
            </a:graphic>
          </wp:anchor>
        </w:drawing>
        <w:t>LEADERSHIP</w:t>
      </w:r>
      <w:r>
        <w:rPr>
          <w:rFonts w:ascii="Arial" w:cs="Arial" w:eastAsia="Arial" w:hAnsi="Arial"/>
          <w:sz w:val="33"/>
          <w:szCs w:val="33"/>
          <w:color w:val="FFFFFF"/>
        </w:rPr>
        <w:t>LIP</w:t>
      </w:r>
      <w:r>
        <w:rPr>
          <w:rFonts w:ascii="Arial" w:cs="Arial" w:eastAsia="Arial" w:hAnsi="Arial"/>
          <w:sz w:val="33"/>
          <w:szCs w:val="33"/>
          <w:color w:val="000750"/>
        </w:rPr>
        <w:t xml:space="preserve">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FFFFFF"/>
        </w:rPr>
        <w:t>Scott Quist</w:t>
      </w:r>
    </w:p>
    <w:p>
      <w:pPr>
        <w:ind w:left="920"/>
        <w:spacing w:after="0" w:line="227" w:lineRule="auto"/>
        <w:rPr>
          <w:sz w:val="20"/>
          <w:szCs w:val="20"/>
          <w:color w:val="auto"/>
        </w:rPr>
      </w:pPr>
      <w:r>
        <w:rPr>
          <w:rFonts w:ascii="Arial" w:cs="Arial" w:eastAsia="Arial" w:hAnsi="Arial"/>
          <w:sz w:val="17"/>
          <w:szCs w:val="17"/>
          <w:color w:val="FFFFFF"/>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FFFFFF"/>
        </w:rPr>
        <w:t>Adam Quist</w:t>
      </w:r>
    </w:p>
    <w:p>
      <w:pPr>
        <w:ind w:left="920"/>
        <w:spacing w:after="0" w:line="227" w:lineRule="auto"/>
        <w:rPr>
          <w:sz w:val="20"/>
          <w:szCs w:val="20"/>
          <w:color w:val="auto"/>
        </w:rPr>
      </w:pPr>
      <w:r>
        <w:rPr>
          <w:rFonts w:ascii="Arial" w:cs="Arial" w:eastAsia="Arial" w:hAnsi="Arial"/>
          <w:sz w:val="17"/>
          <w:szCs w:val="17"/>
          <w:color w:val="FFFFFF"/>
        </w:rPr>
        <w:t>Chief Executive Officer</w:t>
      </w:r>
    </w:p>
    <w:p>
      <w:pPr>
        <w:ind w:left="1280"/>
        <w:spacing w:after="0" w:line="238" w:lineRule="auto"/>
        <w:rPr>
          <w:sz w:val="20"/>
          <w:szCs w:val="20"/>
          <w:color w:val="auto"/>
        </w:rPr>
      </w:pPr>
      <w:r>
        <w:rPr>
          <w:rFonts w:ascii="Arial" w:cs="Arial" w:eastAsia="Arial" w:hAnsi="Arial"/>
          <w:sz w:val="17"/>
          <w:szCs w:val="17"/>
          <w:color w:val="FFFFFF"/>
        </w:rPr>
        <w:t>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FFFFFF"/>
        </w:rPr>
        <w:t>Jason Overbaugh</w:t>
      </w:r>
    </w:p>
    <w:p>
      <w:pPr>
        <w:jc w:val="center"/>
        <w:ind w:right="240"/>
        <w:spacing w:after="0" w:line="222" w:lineRule="auto"/>
        <w:rPr>
          <w:sz w:val="20"/>
          <w:szCs w:val="20"/>
          <w:color w:val="auto"/>
        </w:rPr>
      </w:pPr>
      <w:r>
        <w:rPr>
          <w:rFonts w:ascii="Arial" w:cs="Arial" w:eastAsia="Arial" w:hAnsi="Arial"/>
          <w:sz w:val="17"/>
          <w:szCs w:val="17"/>
          <w:color w:val="FFFFFF"/>
        </w:rPr>
        <w:t>Vice President</w:t>
      </w:r>
    </w:p>
    <w:p>
      <w:pPr>
        <w:jc w:val="center"/>
        <w:ind w:right="240"/>
        <w:spacing w:after="0" w:line="226" w:lineRule="auto"/>
        <w:rPr>
          <w:sz w:val="20"/>
          <w:szCs w:val="20"/>
          <w:color w:val="auto"/>
        </w:rPr>
      </w:pPr>
      <w:r>
        <w:rPr>
          <w:rFonts w:ascii="Arial" w:cs="Arial" w:eastAsia="Arial" w:hAnsi="Arial"/>
          <w:sz w:val="17"/>
          <w:szCs w:val="17"/>
          <w:color w:val="FFFFFF"/>
        </w:rPr>
        <w:t>National Marketing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FFFFFF"/>
        </w:rPr>
        <w:t>Marty Rich</w:t>
      </w:r>
    </w:p>
    <w:p>
      <w:pPr>
        <w:jc w:val="center"/>
        <w:ind w:right="240"/>
        <w:spacing w:after="0" w:line="227" w:lineRule="auto"/>
        <w:rPr>
          <w:sz w:val="20"/>
          <w:szCs w:val="20"/>
          <w:color w:val="auto"/>
        </w:rPr>
      </w:pPr>
      <w:r>
        <w:rPr>
          <w:rFonts w:ascii="Arial" w:cs="Arial" w:eastAsia="Arial" w:hAnsi="Arial"/>
          <w:sz w:val="17"/>
          <w:szCs w:val="17"/>
          <w:color w:val="FFFFFF"/>
        </w:rPr>
        <w:t>Vice President</w:t>
      </w:r>
    </w:p>
    <w:p>
      <w:pPr>
        <w:jc w:val="center"/>
        <w:ind w:right="240"/>
        <w:spacing w:after="0" w:line="238" w:lineRule="auto"/>
        <w:rPr>
          <w:sz w:val="20"/>
          <w:szCs w:val="20"/>
          <w:color w:val="auto"/>
        </w:rPr>
      </w:pPr>
      <w:r>
        <w:rPr>
          <w:rFonts w:ascii="Arial" w:cs="Arial" w:eastAsia="Arial" w:hAnsi="Arial"/>
          <w:sz w:val="17"/>
          <w:szCs w:val="17"/>
          <w:color w:val="FFFFFF"/>
        </w:rPr>
        <w:t>Marketing and Sales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FFFFFF"/>
        </w:rPr>
        <w:t>Jason Richardson</w:t>
      </w:r>
    </w:p>
    <w:p>
      <w:pPr>
        <w:ind w:left="1240"/>
        <w:spacing w:after="0" w:line="227" w:lineRule="auto"/>
        <w:rPr>
          <w:sz w:val="20"/>
          <w:szCs w:val="20"/>
          <w:color w:val="auto"/>
        </w:rPr>
      </w:pPr>
      <w:r>
        <w:rPr>
          <w:rFonts w:ascii="Arial" w:cs="Arial" w:eastAsia="Arial" w:hAnsi="Arial"/>
          <w:sz w:val="17"/>
          <w:szCs w:val="17"/>
          <w:color w:val="FFFFFF"/>
        </w:rPr>
        <w:t>Vice President</w:t>
      </w:r>
    </w:p>
    <w:p>
      <w:pPr>
        <w:ind w:left="1260"/>
        <w:spacing w:after="0" w:line="238" w:lineRule="auto"/>
        <w:rPr>
          <w:sz w:val="20"/>
          <w:szCs w:val="20"/>
          <w:color w:val="auto"/>
        </w:rPr>
      </w:pPr>
      <w:r>
        <w:rPr>
          <w:rFonts w:ascii="Arial" w:cs="Arial" w:eastAsia="Arial" w:hAnsi="Arial"/>
          <w:sz w:val="17"/>
          <w:szCs w:val="17"/>
          <w:color w:val="FFFFFF"/>
        </w:rPr>
        <w:t>Home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40"/>
        <w:spacing w:after="0"/>
        <w:rPr>
          <w:sz w:val="20"/>
          <w:szCs w:val="20"/>
          <w:color w:val="auto"/>
        </w:rPr>
      </w:pPr>
      <w:r>
        <w:rPr>
          <w:rFonts w:ascii="Arial" w:cs="Arial" w:eastAsia="Arial" w:hAnsi="Arial"/>
          <w:sz w:val="22"/>
          <w:szCs w:val="22"/>
          <w:b w:val="1"/>
          <w:bCs w:val="1"/>
          <w:color w:val="FFFFFF"/>
        </w:rPr>
        <w:t>Wade Bone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000750"/>
        </w:rPr>
        <w:t>A Better Way to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-2853690</wp:posOffset>
            </wp:positionV>
            <wp:extent cx="4636770" cy="3785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636770" cy="3785870"/>
                    </a:xfrm>
                    <a:prstGeom prst="rect">
                      <a:avLst/>
                    </a:prstGeom>
                    <a:noFill/>
                  </pic:spPr>
                </pic:pic>
              </a:graphicData>
            </a:graphic>
          </wp:anchor>
        </w:drawing>
      </w:r>
    </w:p>
    <w:p>
      <w:pPr>
        <w:spacing w:after="0" w:line="73" w:lineRule="exact"/>
        <w:rPr>
          <w:sz w:val="20"/>
          <w:szCs w:val="20"/>
          <w:color w:val="auto"/>
        </w:rPr>
      </w:pPr>
    </w:p>
    <w:p>
      <w:pPr>
        <w:jc w:val="both"/>
        <w:ind w:right="600"/>
        <w:spacing w:after="0" w:line="291" w:lineRule="auto"/>
        <w:rPr>
          <w:sz w:val="20"/>
          <w:szCs w:val="20"/>
          <w:color w:val="auto"/>
        </w:rPr>
      </w:pPr>
      <w:r>
        <w:rPr>
          <w:rFonts w:ascii="Arial" w:cs="Arial" w:eastAsia="Arial" w:hAnsi="Arial"/>
          <w:sz w:val="20"/>
          <w:szCs w:val="20"/>
          <w:color w:val="auto"/>
        </w:rPr>
        <w:t>At Security National Life, we specialize in affordable, convenient solutions designed to bring lasting peace of mind to you and your loved ones. Life’s most meaningful moments—birthdays, graduations, weddings—are often carefully planned and celebrated. Yet one of life’s most significant and inevitable events is frequently left unprepared: the loss of a loved one and the responsibility of planning a funeral or memorial service. While we cannot predict when that time will come, we can take thoughtful steps today to protect our families from unnecessary financial strain and emotional hardship in the future. Planning ahead is an act of care, consideration, and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403225</wp:posOffset>
            </wp:positionV>
            <wp:extent cx="3246120" cy="48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46120" cy="4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000750"/>
        </w:rPr>
        <w:t>Preneed: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i w:val="1"/>
          <w:iCs w:val="1"/>
          <w:color w:val="000750"/>
        </w:rPr>
        <w:t>A Gift of Love and Preparation</w:t>
      </w:r>
    </w:p>
    <w:p>
      <w:pPr>
        <w:spacing w:after="0" w:line="380"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Your funeral is more than a ceremony—it is a personal tribute to your life, your values, and the legacy you leave behind. It also serves as a meaningful step in the healing journey for those you love. Preneed insurance allows you to make these important decisions in advance, ensuring your wishes are clearly outlined and fully funded. By planning ahead, you relieve your family of difficult decisions during an already emotional time. A pre-funded funeral plan from Security National Life provides guidance, financial security, and reassurance— giving your loved ones the ability to focus on remembrance rather than responsibility.</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000750"/>
        </w:rPr>
        <w:t>Final Expense:</w:t>
      </w:r>
    </w:p>
    <w:p>
      <w:pPr>
        <w:spacing w:after="0" w:line="9"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32"/>
          <w:szCs w:val="32"/>
          <w:i w:val="1"/>
          <w:iCs w:val="1"/>
          <w:color w:val="000750"/>
        </w:rPr>
        <w:t>Peace of Mind for Life's Unexpected Costs</w:t>
      </w:r>
    </w:p>
    <w:p>
      <w:pPr>
        <w:spacing w:after="0" w:line="380" w:lineRule="exact"/>
        <w:rPr>
          <w:sz w:val="20"/>
          <w:szCs w:val="20"/>
          <w:color w:val="auto"/>
        </w:rPr>
      </w:pPr>
    </w:p>
    <w:p>
      <w:pPr>
        <w:jc w:val="both"/>
        <w:spacing w:after="0" w:line="272" w:lineRule="auto"/>
        <w:rPr>
          <w:sz w:val="20"/>
          <w:szCs w:val="20"/>
          <w:color w:val="auto"/>
        </w:rPr>
      </w:pPr>
      <w:r>
        <w:rPr>
          <w:rFonts w:ascii="Arial" w:cs="Arial" w:eastAsia="Arial" w:hAnsi="Arial"/>
          <w:sz w:val="20"/>
          <w:szCs w:val="20"/>
          <w:color w:val="auto"/>
        </w:rPr>
        <w:t>The loss of a loved one can bring not only emotional grief but also unexpected financial obligations. Final Expense insurance is designed to ease that burden by helping cover funeral costs and other end-of-life expenses. This affordable coverage ensures your</w:t>
      </w:r>
    </w:p>
    <w:p>
      <w:pPr>
        <w:spacing w:after="0" w:line="1" w:lineRule="exact"/>
        <w:rPr>
          <w:sz w:val="20"/>
          <w:szCs w:val="20"/>
          <w:color w:val="auto"/>
        </w:rPr>
      </w:pPr>
    </w:p>
    <w:p>
      <w:pPr>
        <w:sectPr>
          <w:pgSz w:w="12240" w:h="15840" w:orient="portrait"/>
          <w:cols w:equalWidth="0" w:num="2">
            <w:col w:w="3840" w:space="720"/>
            <w:col w:w="6620"/>
          </w:cols>
          <w:pgMar w:left="420" w:top="311" w:right="640" w:bottom="0" w:gutter="0" w:footer="0" w:header="0"/>
        </w:sectPr>
      </w:pPr>
    </w:p>
    <w:p>
      <w:pPr>
        <w:ind w:left="1280"/>
        <w:spacing w:after="0" w:line="226" w:lineRule="auto"/>
        <w:rPr>
          <w:sz w:val="20"/>
          <w:szCs w:val="20"/>
          <w:color w:val="auto"/>
        </w:rPr>
      </w:pPr>
      <w:r>
        <w:rPr>
          <w:rFonts w:ascii="Arial" w:cs="Arial" w:eastAsia="Arial" w:hAnsi="Arial"/>
          <w:sz w:val="17"/>
          <w:szCs w:val="17"/>
          <w:color w:val="FFFFFF"/>
        </w:rPr>
        <w:t>Vice President</w:t>
      </w:r>
    </w:p>
    <w:p>
      <w:pPr>
        <w:ind w:left="1280"/>
        <w:spacing w:after="0" w:line="238" w:lineRule="auto"/>
        <w:rPr>
          <w:sz w:val="20"/>
          <w:szCs w:val="20"/>
          <w:color w:val="auto"/>
        </w:rPr>
      </w:pPr>
      <w:r>
        <w:rPr>
          <w:rFonts w:ascii="Arial" w:cs="Arial" w:eastAsia="Arial" w:hAnsi="Arial"/>
          <w:sz w:val="17"/>
          <w:szCs w:val="17"/>
          <w:color w:val="FFFFFF"/>
        </w:rPr>
        <w:t>Final Expense</w:t>
      </w:r>
    </w:p>
    <w:p>
      <w:pPr>
        <w:sectPr>
          <w:pgSz w:w="12240" w:h="15840" w:orient="portrait"/>
          <w:cols w:equalWidth="0" w:num="1">
            <w:col w:w="11180"/>
          </w:cols>
          <w:pgMar w:left="420" w:top="311" w:right="640" w:bottom="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right="240"/>
        <w:spacing w:after="0" w:line="286" w:lineRule="auto"/>
        <w:rPr>
          <w:sz w:val="20"/>
          <w:szCs w:val="20"/>
          <w:color w:val="auto"/>
        </w:rPr>
      </w:pPr>
      <w:r>
        <w:rPr>
          <w:rFonts w:ascii="Arial" w:cs="Arial" w:eastAsia="Arial" w:hAnsi="Arial"/>
          <w:sz w:val="20"/>
          <w:szCs w:val="20"/>
          <w:color w:val="auto"/>
        </w:rPr>
        <w:t>family is not left struggling to manage immediate financial needs during a difficult time. With Final Expense insurance, you provide an added layer of protection and stability—offering your loved ones comfort, dignity, and support when they need it most.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000750"/>
        </w:rPr>
        <w:t>Home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i w:val="1"/>
          <w:iCs w:val="1"/>
          <w:color w:val="000750"/>
        </w:rPr>
        <w:t>Personalized Support When You Need It Most</w:t>
      </w:r>
    </w:p>
    <w:p>
      <w:pPr>
        <w:spacing w:after="0" w:line="380" w:lineRule="exact"/>
        <w:rPr>
          <w:sz w:val="20"/>
          <w:szCs w:val="20"/>
          <w:color w:val="auto"/>
        </w:rPr>
      </w:pPr>
    </w:p>
    <w:p>
      <w:pPr>
        <w:jc w:val="both"/>
        <w:ind w:right="240"/>
        <w:spacing w:after="0" w:line="290" w:lineRule="auto"/>
        <w:rPr>
          <w:sz w:val="20"/>
          <w:szCs w:val="20"/>
          <w:color w:val="auto"/>
        </w:rPr>
      </w:pPr>
      <w:r>
        <w:rPr>
          <w:rFonts w:ascii="Arial" w:cs="Arial" w:eastAsia="Arial" w:hAnsi="Arial"/>
          <w:sz w:val="20"/>
          <w:szCs w:val="20"/>
          <w:color w:val="auto"/>
        </w:rPr>
        <w:t>At Security National Life, alongside Kilpatrick Life Insurance Company, we believe that true service extends beyond a policy. Our Home Service Division is built on a tradition of personal connection, offering compassionate, in-home support through dedicated agents. From policy reviews to premium collections and ongoing service, our agents are there every step of the way. This hands-on approach ensures families receive consistent care, clear communication, and trusted guidance throughout the life of their policy—reinforcing our commitment to relationships, not just transactions.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000750"/>
        </w:rPr>
        <w:t>A Legacy of Family and Commitment</w:t>
      </w:r>
    </w:p>
    <w:p>
      <w:pPr>
        <w:spacing w:after="0" w:line="373" w:lineRule="exact"/>
        <w:rPr>
          <w:sz w:val="20"/>
          <w:szCs w:val="20"/>
          <w:color w:val="auto"/>
        </w:rPr>
      </w:pPr>
    </w:p>
    <w:p>
      <w:pPr>
        <w:jc w:val="both"/>
        <w:ind w:right="240"/>
        <w:spacing w:after="0" w:line="290" w:lineRule="auto"/>
        <w:rPr>
          <w:sz w:val="20"/>
          <w:szCs w:val="20"/>
          <w:color w:val="auto"/>
        </w:rPr>
      </w:pPr>
      <w:r>
        <w:rPr>
          <w:rFonts w:ascii="Arial" w:cs="Arial" w:eastAsia="Arial" w:hAnsi="Arial"/>
          <w:sz w:val="20"/>
          <w:szCs w:val="20"/>
          <w:color w:val="auto"/>
        </w:rPr>
        <w:t>Open conversations about end-of-life planning may not always be easy, but they are among the most meaningful gifts we can give our families. Preparing in advance can ease emotional stress, reduce uncertainty, and provide a sense of control during life’s most challenging moments. At Security National Life, we are committed to raising awareness and providing affordable solutions that empower individuals to plan with confidence and clarity. Through compassion, tradition, and trusted service, we help families protect what matters most—today and for generations to 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6"/>
          <w:szCs w:val="36"/>
          <w:color w:val="000750"/>
        </w:rPr>
        <w:t>LEADERSHIP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80"/>
        <w:spacing w:after="0"/>
        <w:rPr>
          <w:sz w:val="20"/>
          <w:szCs w:val="20"/>
          <w:color w:val="auto"/>
        </w:rPr>
      </w:pPr>
      <w:r>
        <w:rPr>
          <w:rFonts w:ascii="Arial" w:cs="Arial" w:eastAsia="Arial" w:hAnsi="Arial"/>
          <w:sz w:val="22"/>
          <w:szCs w:val="22"/>
          <w:b w:val="1"/>
          <w:bCs w:val="1"/>
          <w:color w:val="FFFFFF"/>
        </w:rPr>
        <w:t>Kevin Bitnoff</w:t>
      </w:r>
    </w:p>
    <w:p>
      <w:pPr>
        <w:jc w:val="center"/>
        <w:ind w:right="-59"/>
        <w:spacing w:after="0" w:line="227" w:lineRule="auto"/>
        <w:rPr>
          <w:sz w:val="20"/>
          <w:szCs w:val="20"/>
          <w:color w:val="auto"/>
        </w:rPr>
      </w:pPr>
      <w:r>
        <w:rPr>
          <w:rFonts w:ascii="Arial" w:cs="Arial" w:eastAsia="Arial" w:hAnsi="Arial"/>
          <w:sz w:val="17"/>
          <w:szCs w:val="17"/>
          <w:color w:val="FFFFFF"/>
        </w:rPr>
        <w:t>Vice President</w:t>
      </w:r>
    </w:p>
    <w:p>
      <w:pPr>
        <w:jc w:val="center"/>
        <w:ind w:right="-59"/>
        <w:spacing w:after="0" w:line="238" w:lineRule="auto"/>
        <w:rPr>
          <w:sz w:val="20"/>
          <w:szCs w:val="20"/>
          <w:color w:val="auto"/>
        </w:rPr>
      </w:pPr>
      <w:r>
        <w:rPr>
          <w:rFonts w:ascii="Arial" w:cs="Arial" w:eastAsia="Arial" w:hAnsi="Arial"/>
          <w:sz w:val="17"/>
          <w:szCs w:val="17"/>
          <w:color w:val="FFFFFF"/>
        </w:rPr>
        <w:t>Preneed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220"/>
        <w:spacing w:after="0"/>
        <w:rPr>
          <w:sz w:val="20"/>
          <w:szCs w:val="20"/>
          <w:color w:val="auto"/>
        </w:rPr>
      </w:pPr>
      <w:r>
        <w:rPr>
          <w:rFonts w:ascii="Arial" w:cs="Arial" w:eastAsia="Arial" w:hAnsi="Arial"/>
          <w:sz w:val="22"/>
          <w:szCs w:val="22"/>
          <w:b w:val="1"/>
          <w:bCs w:val="1"/>
          <w:color w:val="FFFFFF"/>
        </w:rPr>
        <w:t>Sam Ashby</w:t>
      </w:r>
    </w:p>
    <w:p>
      <w:pPr>
        <w:jc w:val="center"/>
        <w:spacing w:after="0" w:line="227" w:lineRule="auto"/>
        <w:rPr>
          <w:sz w:val="20"/>
          <w:szCs w:val="20"/>
          <w:color w:val="auto"/>
        </w:rPr>
      </w:pPr>
      <w:r>
        <w:rPr>
          <w:rFonts w:ascii="Arial" w:cs="Arial" w:eastAsia="Arial" w:hAnsi="Arial"/>
          <w:sz w:val="17"/>
          <w:szCs w:val="17"/>
          <w:color w:val="FFFFFF"/>
        </w:rPr>
        <w:t>Vice President</w:t>
      </w:r>
    </w:p>
    <w:p>
      <w:pPr>
        <w:jc w:val="center"/>
        <w:spacing w:after="0" w:line="238" w:lineRule="auto"/>
        <w:rPr>
          <w:sz w:val="20"/>
          <w:szCs w:val="20"/>
          <w:color w:val="auto"/>
        </w:rPr>
      </w:pPr>
      <w:r>
        <w:rPr>
          <w:rFonts w:ascii="Arial" w:cs="Arial" w:eastAsia="Arial" w:hAnsi="Arial"/>
          <w:sz w:val="17"/>
          <w:szCs w:val="17"/>
          <w:color w:val="FFFFFF"/>
        </w:rPr>
        <w:t>Business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Jarod Mayes</w:t>
      </w:r>
    </w:p>
    <w:p>
      <w:pPr>
        <w:ind w:left="1040"/>
        <w:spacing w:after="0" w:line="227" w:lineRule="auto"/>
        <w:rPr>
          <w:sz w:val="20"/>
          <w:szCs w:val="20"/>
          <w:color w:val="auto"/>
        </w:rPr>
      </w:pPr>
      <w:r>
        <w:rPr>
          <w:rFonts w:ascii="Arial" w:cs="Arial" w:eastAsia="Arial" w:hAnsi="Arial"/>
          <w:sz w:val="17"/>
          <w:szCs w:val="17"/>
          <w:color w:val="FFFFFF"/>
        </w:rPr>
        <w:t>Director of Preneed</w:t>
      </w:r>
    </w:p>
    <w:p>
      <w:pPr>
        <w:ind w:left="1080"/>
        <w:spacing w:after="0" w:line="238" w:lineRule="auto"/>
        <w:rPr>
          <w:sz w:val="20"/>
          <w:szCs w:val="20"/>
          <w:color w:val="auto"/>
        </w:rPr>
      </w:pPr>
      <w:r>
        <w:rPr>
          <w:rFonts w:ascii="Arial" w:cs="Arial" w:eastAsia="Arial" w:hAnsi="Arial"/>
          <w:sz w:val="17"/>
          <w:szCs w:val="17"/>
          <w:color w:val="FFFFFF"/>
        </w:rPr>
        <w:t>Sales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FFFFFF"/>
        </w:rPr>
        <w:t>Leonardo Lopez-Munoz</w:t>
      </w:r>
    </w:p>
    <w:p>
      <w:pPr>
        <w:jc w:val="center"/>
        <w:spacing w:after="0" w:line="227" w:lineRule="auto"/>
        <w:rPr>
          <w:sz w:val="20"/>
          <w:szCs w:val="20"/>
          <w:color w:val="auto"/>
        </w:rPr>
      </w:pPr>
      <w:r>
        <w:rPr>
          <w:rFonts w:ascii="Arial" w:cs="Arial" w:eastAsia="Arial" w:hAnsi="Arial"/>
          <w:sz w:val="17"/>
          <w:szCs w:val="17"/>
          <w:color w:val="FFFFFF"/>
        </w:rPr>
        <w:t>Sr. Regional Director of Sales</w:t>
      </w:r>
    </w:p>
    <w:p>
      <w:pPr>
        <w:jc w:val="center"/>
        <w:spacing w:after="0" w:line="238" w:lineRule="auto"/>
        <w:rPr>
          <w:sz w:val="20"/>
          <w:szCs w:val="20"/>
          <w:color w:val="auto"/>
        </w:rPr>
      </w:pPr>
      <w:r>
        <w:rPr>
          <w:rFonts w:ascii="Arial" w:cs="Arial" w:eastAsia="Arial" w:hAnsi="Arial"/>
          <w:sz w:val="17"/>
          <w:szCs w:val="17"/>
          <w:color w:val="FFFFFF"/>
        </w:rPr>
        <w:t>Preneed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Raymond Lucero</w:t>
      </w:r>
    </w:p>
    <w:p>
      <w:pPr>
        <w:jc w:val="center"/>
        <w:spacing w:after="0" w:line="227" w:lineRule="auto"/>
        <w:rPr>
          <w:sz w:val="20"/>
          <w:szCs w:val="20"/>
          <w:color w:val="auto"/>
        </w:rPr>
      </w:pPr>
      <w:r>
        <w:rPr>
          <w:rFonts w:ascii="Arial" w:cs="Arial" w:eastAsia="Arial" w:hAnsi="Arial"/>
          <w:sz w:val="17"/>
          <w:szCs w:val="17"/>
          <w:color w:val="FFFFFF"/>
        </w:rPr>
        <w:t>Sr. Regional Director of Sales</w:t>
      </w:r>
    </w:p>
    <w:p>
      <w:pPr>
        <w:jc w:val="center"/>
        <w:spacing w:after="0" w:line="238" w:lineRule="auto"/>
        <w:rPr>
          <w:sz w:val="20"/>
          <w:szCs w:val="20"/>
          <w:color w:val="auto"/>
        </w:rPr>
      </w:pPr>
      <w:r>
        <w:rPr>
          <w:rFonts w:ascii="Arial" w:cs="Arial" w:eastAsia="Arial" w:hAnsi="Arial"/>
          <w:sz w:val="17"/>
          <w:szCs w:val="17"/>
          <w:color w:val="FFFFFF"/>
        </w:rPr>
        <w:t>Preneed</w:t>
      </w:r>
    </w:p>
    <w:p>
      <w:pPr>
        <w:sectPr>
          <w:pgSz w:w="12240" w:h="15840" w:orient="portrait"/>
          <w:cols w:equalWidth="0" w:num="2">
            <w:col w:w="6780" w:space="720"/>
            <w:col w:w="3600"/>
          </w:cols>
          <w:pgMar w:left="720" w:top="287" w:right="420" w:bottom="80" w:gutter="0" w:footer="0" w:header="0"/>
        </w:sectPr>
      </w:pPr>
    </w:p>
    <w:bookmarkStart w:id="10" w:name="page11"/>
    <w:bookmarkEnd w:id="10"/>
    <w:p>
      <w:pPr>
        <w:spacing w:after="0"/>
        <w:rPr>
          <w:sz w:val="20"/>
          <w:szCs w:val="20"/>
          <w:color w:val="auto"/>
        </w:rPr>
      </w:pPr>
      <w:r>
        <w:rPr>
          <w:rFonts w:ascii="Arial" w:cs="Arial" w:eastAsia="Arial" w:hAnsi="Arial"/>
          <w:sz w:val="36"/>
          <w:szCs w:val="36"/>
          <w:color w:val="000750"/>
        </w:rPr>
        <w:t>LEADERSHIP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FFFFFF"/>
        </w:rPr>
        <w:t>Scott Quist</w:t>
      </w:r>
    </w:p>
    <w:p>
      <w:pPr>
        <w:ind w:left="920"/>
        <w:spacing w:after="0" w:line="227" w:lineRule="auto"/>
        <w:rPr>
          <w:sz w:val="20"/>
          <w:szCs w:val="20"/>
          <w:color w:val="auto"/>
        </w:rPr>
      </w:pPr>
      <w:r>
        <w:rPr>
          <w:rFonts w:ascii="Arial" w:cs="Arial" w:eastAsia="Arial" w:hAnsi="Arial"/>
          <w:sz w:val="17"/>
          <w:szCs w:val="17"/>
          <w:color w:val="FFFFFF"/>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FFFFFF"/>
        </w:rPr>
        <w:t>Andrew Quist</w:t>
      </w:r>
    </w:p>
    <w:p>
      <w:pPr>
        <w:jc w:val="center"/>
        <w:ind w:right="160"/>
        <w:spacing w:after="0" w:line="227" w:lineRule="auto"/>
        <w:rPr>
          <w:sz w:val="20"/>
          <w:szCs w:val="20"/>
          <w:color w:val="auto"/>
        </w:rPr>
      </w:pPr>
      <w:r>
        <w:rPr>
          <w:rFonts w:ascii="Arial" w:cs="Arial" w:eastAsia="Arial" w:hAnsi="Arial"/>
          <w:sz w:val="17"/>
          <w:szCs w:val="17"/>
          <w:color w:val="FFFFFF"/>
        </w:rPr>
        <w:t>Chief Executive Officer</w:t>
      </w:r>
    </w:p>
    <w:p>
      <w:pPr>
        <w:jc w:val="center"/>
        <w:ind w:right="160"/>
        <w:spacing w:after="0" w:line="238" w:lineRule="auto"/>
        <w:rPr>
          <w:sz w:val="20"/>
          <w:szCs w:val="20"/>
          <w:color w:val="auto"/>
        </w:rPr>
      </w:pPr>
      <w:r>
        <w:rPr>
          <w:rFonts w:ascii="Arial" w:cs="Arial" w:eastAsia="Arial" w:hAnsi="Arial"/>
          <w:sz w:val="17"/>
          <w:szCs w:val="17"/>
          <w:color w:val="FFFFFF"/>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FFFFFF"/>
        </w:rPr>
        <w:t>Joel Harward</w:t>
      </w:r>
    </w:p>
    <w:p>
      <w:pPr>
        <w:ind w:left="180"/>
        <w:spacing w:after="0" w:line="227" w:lineRule="auto"/>
        <w:rPr>
          <w:sz w:val="20"/>
          <w:szCs w:val="20"/>
          <w:color w:val="auto"/>
        </w:rPr>
      </w:pPr>
      <w:r>
        <w:rPr>
          <w:rFonts w:ascii="Arial" w:cs="Arial" w:eastAsia="Arial" w:hAnsi="Arial"/>
          <w:sz w:val="17"/>
          <w:szCs w:val="17"/>
          <w:color w:val="FFFFFF"/>
        </w:rPr>
        <w:t>Senior Vice President, Mortgage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60"/>
        <w:spacing w:after="0"/>
        <w:rPr>
          <w:sz w:val="20"/>
          <w:szCs w:val="20"/>
          <w:color w:val="auto"/>
        </w:rPr>
      </w:pPr>
      <w:r>
        <w:rPr>
          <w:rFonts w:ascii="Arial" w:cs="Arial" w:eastAsia="Arial" w:hAnsi="Arial"/>
          <w:sz w:val="22"/>
          <w:szCs w:val="22"/>
          <w:b w:val="1"/>
          <w:bCs w:val="1"/>
          <w:color w:val="FFFFFF"/>
        </w:rPr>
        <w:t>Jacob Banks</w:t>
      </w:r>
    </w:p>
    <w:p>
      <w:pPr>
        <w:ind w:left="980"/>
        <w:spacing w:after="0" w:line="227" w:lineRule="auto"/>
        <w:rPr>
          <w:sz w:val="20"/>
          <w:szCs w:val="20"/>
          <w:color w:val="auto"/>
        </w:rPr>
      </w:pPr>
      <w:r>
        <w:rPr>
          <w:rFonts w:ascii="Arial" w:cs="Arial" w:eastAsia="Arial" w:hAnsi="Arial"/>
          <w:sz w:val="17"/>
          <w:szCs w:val="17"/>
          <w:color w:val="FFFFFF"/>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FFFFFF"/>
        </w:rPr>
        <w:t>Mike Brumble</w:t>
      </w:r>
    </w:p>
    <w:p>
      <w:pPr>
        <w:ind w:left="520"/>
        <w:spacing w:after="0" w:line="227" w:lineRule="auto"/>
        <w:rPr>
          <w:sz w:val="20"/>
          <w:szCs w:val="20"/>
          <w:color w:val="auto"/>
        </w:rPr>
      </w:pPr>
      <w:r>
        <w:rPr>
          <w:rFonts w:ascii="Arial" w:cs="Arial" w:eastAsia="Arial" w:hAnsi="Arial"/>
          <w:sz w:val="17"/>
          <w:szCs w:val="17"/>
          <w:color w:val="FFFFFF"/>
        </w:rPr>
        <w:t>Vice President, Risk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38"/>
          <w:szCs w:val="38"/>
          <w:b w:val="1"/>
          <w:bCs w:val="1"/>
          <w:color w:val="000750"/>
        </w:rPr>
        <w:t>We Are SecurityNational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-3148965</wp:posOffset>
            </wp:positionH>
            <wp:positionV relativeFrom="paragraph">
              <wp:posOffset>-1855470</wp:posOffset>
            </wp:positionV>
            <wp:extent cx="7772400" cy="10058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rPr>
          <w:sz w:val="20"/>
          <w:szCs w:val="20"/>
          <w:color w:val="auto"/>
        </w:rPr>
      </w:pPr>
      <w:r>
        <w:rPr>
          <w:rFonts w:ascii="Arial" w:cs="Arial" w:eastAsia="Arial" w:hAnsi="Arial"/>
          <w:sz w:val="26"/>
          <w:szCs w:val="26"/>
          <w:b w:val="1"/>
          <w:bCs w:val="1"/>
          <w:i w:val="1"/>
          <w:iCs w:val="1"/>
          <w:color w:val="auto"/>
        </w:rPr>
        <w:t>A mortgage company with a rock-solid foundation.</w:t>
      </w:r>
    </w:p>
    <w:p>
      <w:pPr>
        <w:spacing w:after="0" w:line="379"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SecurityNational’s customer focus shined in 2025. We expanded our ability to fully service our clients’ borrowing needs throughout the year. We increased the variety of our Home Equity Line of Credit (HELOC), Reverse Mortgage, and Non-Qualified Mortgage (Non-QM) products and offerings. Furthermore, while SecurityNational will always be a purchase-transaction focused lender, in 2025 we increased our volume of refinance transactions. To that point, the fourth quarter saw SecurityNational’s highest percentage of refinance transactions in well over three years. All of this has enhanced our ability to meet our customers where they have their borrowing needs and enabled our loan officers to increase their loan origination volumes. For the fourth quarter of 2025, the average number of loans per loan officer was 12% more than in the fourth quarter of 2024. Increasing our transactions per loan officer in a mortgage market where the number of existing-home purchase transactions was lower than in 2024, and that reached a 30-year low despite 75 basis points of rate cuts from the Federal Reserve, is something we are extremely proud of. That is a meaningful increase for our loan officers.</w:t>
      </w:r>
    </w:p>
    <w:p>
      <w:pPr>
        <w:spacing w:after="0" w:line="200" w:lineRule="exact"/>
        <w:rPr>
          <w:sz w:val="20"/>
          <w:szCs w:val="20"/>
          <w:color w:val="auto"/>
        </w:rPr>
      </w:pPr>
    </w:p>
    <w:p>
      <w:pPr>
        <w:spacing w:after="0" w:line="30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In 2025 SecurityNational funded $2.3 billion in residential mortgage loan originations. Disappointingly, this origination volume did not result in a profitable year for the mortgage company. Notably however, in the fourth quarter of 2025 we were able to reduce our net losses by an average of more than $1 million dollars per month in comparison to 2024’s fourth quarter results. This was accomplished in part by reducing the operational expense to originate a loan by 11% in 2025. Additionally, in 2025 the mortgage company reduced its ratio of net loss to origination volume by over 6 basis points. This marks three consecutive years of improving profitability. This positive momentum has set a strong trajectory for SecurityNational heading into 2026.</w:t>
      </w:r>
    </w:p>
    <w:p>
      <w:pPr>
        <w:spacing w:after="0" w:line="200" w:lineRule="exact"/>
        <w:rPr>
          <w:sz w:val="20"/>
          <w:szCs w:val="20"/>
          <w:color w:val="auto"/>
        </w:rPr>
      </w:pPr>
    </w:p>
    <w:p>
      <w:pPr>
        <w:spacing w:after="0" w:line="29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We believe that SecurityNational’s foundation of financial stability, market transparency, and expertise in and focus on purchase transactions provides a perfect platform to expand our presence in the industry despite today’s unsettled and difficult environment. With many competitors retreating from the market, or exiting entirely, SecurityNational’s strengths shine more brightly and provide opportunities that few other companies can. In 2025 SecurityNational was one of only 130 lenders nationwide that funded more than $2 billion in originations. In 2023 there were 196 such lenders. Continued industry consolidation and contraction should provide opportunities to expand SecurityNational’s brand and market share in 2026.</w:t>
      </w:r>
    </w:p>
    <w:p>
      <w:pPr>
        <w:spacing w:after="0" w:line="200" w:lineRule="exact"/>
        <w:rPr>
          <w:sz w:val="20"/>
          <w:szCs w:val="20"/>
          <w:color w:val="auto"/>
        </w:rPr>
      </w:pPr>
    </w:p>
    <w:p>
      <w:pPr>
        <w:spacing w:after="0" w:line="29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Mortgage loan sales professionals are looking for the security and stability that SecurityNational provides, and our results attest to this. In 2025 14% of our loan originations came through loan officers that were new to SecurityNational in 2025. This result stems directly from our emphasis on and investment in recruiting over the past three years. While this recruiting has come with significant expense, we continue to believe that</w:t>
      </w:r>
    </w:p>
    <w:p>
      <w:pPr>
        <w:sectPr>
          <w:pgSz w:w="12240" w:h="15840" w:orient="portrait"/>
          <w:cols w:equalWidth="0" w:num="2">
            <w:col w:w="3820" w:space="720"/>
            <w:col w:w="6880"/>
          </w:cols>
          <w:pgMar w:left="420" w:top="287" w:right="400" w:bottom="168"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681"/>
        </w:trPr>
        <w:tc>
          <w:tcPr>
            <w:tcW w:w="7900" w:type="dxa"/>
            <w:vAlign w:val="bottom"/>
            <w:vMerge w:val="restart"/>
            <w:shd w:val="clear" w:color="auto" w:fill="4875B7"/>
          </w:tcPr>
          <w:p>
            <w:pPr>
              <w:jc w:val="right"/>
              <w:ind w:right="2191"/>
              <w:spacing w:after="0"/>
              <w:rPr>
                <w:sz w:val="20"/>
                <w:szCs w:val="20"/>
                <w:color w:val="auto"/>
              </w:rPr>
            </w:pPr>
            <w:r>
              <w:rPr>
                <w:rFonts w:ascii="Arial" w:cs="Arial" w:eastAsia="Arial" w:hAnsi="Arial"/>
                <w:sz w:val="54"/>
                <w:szCs w:val="54"/>
                <w:b w:val="1"/>
                <w:bCs w:val="1"/>
                <w:color w:val="FFFFFF"/>
              </w:rPr>
              <w:t>2025</w:t>
            </w:r>
          </w:p>
        </w:tc>
        <w:tc>
          <w:tcPr>
            <w:tcW w:w="3920" w:type="dxa"/>
            <w:vAlign w:val="bottom"/>
          </w:tcPr>
          <w:p>
            <w:pPr>
              <w:ind w:left="320"/>
              <w:spacing w:after="0"/>
              <w:rPr>
                <w:sz w:val="20"/>
                <w:szCs w:val="20"/>
                <w:color w:val="auto"/>
              </w:rPr>
            </w:pPr>
            <w:r>
              <w:rPr>
                <w:rFonts w:ascii="Arial" w:cs="Arial" w:eastAsia="Arial" w:hAnsi="Arial"/>
                <w:sz w:val="36"/>
                <w:szCs w:val="36"/>
                <w:color w:val="000750"/>
              </w:rPr>
              <w:t>LEADERSHIP TEAM</w:t>
            </w:r>
          </w:p>
        </w:tc>
        <w:tc>
          <w:tcPr>
            <w:tcW w:w="0" w:type="dxa"/>
            <w:vAlign w:val="bottom"/>
          </w:tcPr>
          <w:p>
            <w:pPr>
              <w:spacing w:after="0"/>
              <w:rPr>
                <w:sz w:val="1"/>
                <w:szCs w:val="1"/>
                <w:color w:val="auto"/>
              </w:rPr>
            </w:pPr>
          </w:p>
        </w:tc>
      </w:tr>
      <w:tr>
        <w:trPr>
          <w:trHeight w:val="239"/>
        </w:trPr>
        <w:tc>
          <w:tcPr>
            <w:tcW w:w="7900" w:type="dxa"/>
            <w:vAlign w:val="bottom"/>
            <w:vMerge w:val="continue"/>
            <w:shd w:val="clear" w:color="auto" w:fill="4875B7"/>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61"/>
        </w:trPr>
        <w:tc>
          <w:tcPr>
            <w:tcW w:w="7900" w:type="dxa"/>
            <w:vAlign w:val="bottom"/>
            <w:shd w:val="clear" w:color="auto" w:fill="4875B7"/>
          </w:tcPr>
          <w:p>
            <w:pPr>
              <w:jc w:val="right"/>
              <w:ind w:right="31"/>
              <w:spacing w:after="0" w:line="1156" w:lineRule="exact"/>
              <w:rPr>
                <w:sz w:val="20"/>
                <w:szCs w:val="20"/>
                <w:color w:val="auto"/>
              </w:rPr>
            </w:pPr>
            <w:r>
              <w:rPr>
                <w:rFonts w:ascii="Arial" w:cs="Arial" w:eastAsia="Arial" w:hAnsi="Arial"/>
                <w:sz w:val="125"/>
                <w:szCs w:val="125"/>
                <w:b w:val="1"/>
                <w:bCs w:val="1"/>
                <w:color w:val="FFFFFF"/>
              </w:rPr>
              <w:t xml:space="preserve">$2.3B </w:t>
            </w:r>
            <w:r>
              <w:rPr>
                <w:rFonts w:ascii="Arial" w:cs="Arial" w:eastAsia="Arial" w:hAnsi="Arial"/>
                <w:sz w:val="54"/>
                <w:szCs w:val="54"/>
                <w:b w:val="1"/>
                <w:bCs w:val="1"/>
                <w:color w:val="FFFFFF"/>
              </w:rPr>
              <w:t>Loan Volume</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2240" w:h="15840" w:orient="portrait"/>
          <w:cols w:equalWidth="0" w:num="1">
            <w:col w:w="11820"/>
          </w:cols>
          <w:pgMar w:left="0" w:top="20" w:right="420" w:bottom="1440" w:gutter="0" w:footer="0" w:header="0"/>
        </w:sectPr>
      </w:pPr>
      <w:r>
        <w:rPr>
          <w:sz w:val="20"/>
          <w:szCs w:val="20"/>
          <w:color w:val="auto"/>
        </w:rPr>
        <w:drawing>
          <wp:anchor simplePos="0" relativeHeight="251657728" behindDoc="1" locked="0" layoutInCell="0" allowOverlap="1">
            <wp:simplePos x="0" y="0"/>
            <wp:positionH relativeFrom="page">
              <wp:posOffset>4961890</wp:posOffset>
            </wp:positionH>
            <wp:positionV relativeFrom="page">
              <wp:posOffset>0</wp:posOffset>
            </wp:positionV>
            <wp:extent cx="2810510" cy="10058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10510" cy="1005840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both"/>
        <w:ind w:left="440" w:right="640"/>
        <w:spacing w:after="0" w:line="245" w:lineRule="auto"/>
        <w:rPr>
          <w:sz w:val="20"/>
          <w:szCs w:val="20"/>
          <w:color w:val="auto"/>
        </w:rPr>
      </w:pPr>
      <w:r>
        <w:rPr>
          <w:rFonts w:ascii="Arial" w:cs="Arial" w:eastAsia="Arial" w:hAnsi="Arial"/>
          <w:sz w:val="19"/>
          <w:szCs w:val="19"/>
          <w:color w:val="auto"/>
        </w:rPr>
        <w:t>the present opportunity to attract talented individuals to SecurityNational is the best in recent history.</w:t>
      </w:r>
    </w:p>
    <w:p>
      <w:pPr>
        <w:spacing w:after="0" w:line="274" w:lineRule="exact"/>
        <w:rPr>
          <w:sz w:val="20"/>
          <w:szCs w:val="20"/>
          <w:color w:val="auto"/>
        </w:rPr>
      </w:pPr>
    </w:p>
    <w:p>
      <w:pPr>
        <w:jc w:val="both"/>
        <w:ind w:left="440" w:right="640"/>
        <w:spacing w:after="0" w:line="261" w:lineRule="auto"/>
        <w:rPr>
          <w:sz w:val="20"/>
          <w:szCs w:val="20"/>
          <w:color w:val="auto"/>
        </w:rPr>
      </w:pPr>
      <w:r>
        <w:rPr>
          <w:rFonts w:ascii="Arial" w:cs="Arial" w:eastAsia="Arial" w:hAnsi="Arial"/>
          <w:sz w:val="19"/>
          <w:szCs w:val="19"/>
          <w:color w:val="auto"/>
        </w:rPr>
        <w:t>In 2025 SecurityNational also continued its trend of adding significant talent to its leadership team, including the hiring of a Director of Reverse Mortgages. Reverse Mortgages are becoming increasingly important as the United States’ population ages and individuals face rising living costs and the need to access their home equity without taking on monthly loan payments. We have not had this capacity in the past and believe that Reverse Mortgages will provide another significant growth path for the Company, while providing valuable and needed products to our customers that will enhance and deepen our relationships with them.</w:t>
      </w:r>
    </w:p>
    <w:p>
      <w:pPr>
        <w:spacing w:after="0" w:line="200" w:lineRule="exact"/>
        <w:rPr>
          <w:sz w:val="20"/>
          <w:szCs w:val="20"/>
          <w:color w:val="auto"/>
        </w:rPr>
      </w:pPr>
    </w:p>
    <w:p>
      <w:pPr>
        <w:spacing w:after="0" w:line="299" w:lineRule="exact"/>
        <w:rPr>
          <w:sz w:val="20"/>
          <w:szCs w:val="20"/>
          <w:color w:val="auto"/>
        </w:rPr>
      </w:pPr>
    </w:p>
    <w:p>
      <w:pPr>
        <w:jc w:val="both"/>
        <w:ind w:left="440" w:right="640"/>
        <w:spacing w:after="0" w:line="262" w:lineRule="auto"/>
        <w:rPr>
          <w:sz w:val="20"/>
          <w:szCs w:val="20"/>
          <w:color w:val="auto"/>
        </w:rPr>
      </w:pPr>
      <w:r>
        <w:rPr>
          <w:rFonts w:ascii="Arial" w:cs="Arial" w:eastAsia="Arial" w:hAnsi="Arial"/>
          <w:sz w:val="19"/>
          <w:szCs w:val="19"/>
          <w:color w:val="auto"/>
        </w:rPr>
        <w:t>The individuals joining SecurityNational’s leadership team have chosen to come to us from established competitors because of the strength of the SecurityNational brand, adding veteran industry experience with fresh, new perspectives to our long-tenured existing leadership team which has a deep understanding of what makes SecurityNational special. This strategic balance allows the Company to combine world-class technology with production processes in crafting an exceptional customer experience from the first point-of-contact through loan closing. SecurityNational’s strong relationships with Fannie Mae, Freddie Mac, FHA, VA, USDA and many other secondary market investors, and tailored portfolio products provided by its affiliated companies, ensure that we can provide a full complement of mortgage loan products at competitive prices. These products include unique loan offerings to homebuilders - a specialty of SecurityNational. The Company’s unparalleled marketing and business support group helps keep our sales team front-and-center in a very competitive marketplace. These qualities are just a few of the reasons why mortgage loan professionals are joining SecurityNational each month, sustaining our growth into the future.</w:t>
      </w:r>
    </w:p>
    <w:p>
      <w:pPr>
        <w:spacing w:after="0" w:line="200" w:lineRule="exact"/>
        <w:rPr>
          <w:sz w:val="20"/>
          <w:szCs w:val="20"/>
          <w:color w:val="auto"/>
        </w:rPr>
      </w:pPr>
    </w:p>
    <w:p>
      <w:pPr>
        <w:spacing w:after="0" w:line="303" w:lineRule="exact"/>
        <w:rPr>
          <w:sz w:val="20"/>
          <w:szCs w:val="20"/>
          <w:color w:val="auto"/>
        </w:rPr>
      </w:pPr>
    </w:p>
    <w:p>
      <w:pPr>
        <w:jc w:val="both"/>
        <w:ind w:left="440" w:right="640"/>
        <w:spacing w:after="0" w:line="262" w:lineRule="auto"/>
        <w:rPr>
          <w:sz w:val="20"/>
          <w:szCs w:val="20"/>
          <w:color w:val="auto"/>
        </w:rPr>
      </w:pPr>
      <w:r>
        <w:rPr>
          <w:rFonts w:ascii="Arial" w:cs="Arial" w:eastAsia="Arial" w:hAnsi="Arial"/>
          <w:sz w:val="19"/>
          <w:szCs w:val="19"/>
          <w:color w:val="auto"/>
        </w:rPr>
        <w:t>Although the Company’s reach is nationwide, each branch office is a part of its local community. SecurityNational’s suite of available loan products covers most every residential mortgage loan need, but our employees take extra satisfaction in helping our customers purchase a home, especially their first home. Home ownership is one of the most important financial decisions most people will make during their lifetimes. The process of financing a home purchase is unfamiliar and complicated for many people. SecurityNational is expert in originating mortgage loans for low-to-moderate-income buyers and can match qualifications with a mortgage loan program and resources specifically designed for each applicant’s specific needs. Beyond originating loans, many of the Company’s employees are actively engaged in their cities, towns and neighborhoods feeding the hungry, sheltering the needy, or adding a splash of color along with a kind word while cleaning up after a disaster. SecurityNational has industry leading products, processes, and financial strength, all of which contribute to the most important result for us - Turning Houses Into Homes.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348615</wp:posOffset>
            </wp:positionV>
            <wp:extent cx="3226435" cy="9131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26435" cy="913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80"/>
        <w:spacing w:after="0"/>
        <w:rPr>
          <w:sz w:val="20"/>
          <w:szCs w:val="20"/>
          <w:color w:val="auto"/>
        </w:rPr>
      </w:pPr>
      <w:r>
        <w:rPr>
          <w:rFonts w:ascii="Arial" w:cs="Arial" w:eastAsia="Arial" w:hAnsi="Arial"/>
          <w:sz w:val="22"/>
          <w:szCs w:val="22"/>
          <w:b w:val="1"/>
          <w:bCs w:val="1"/>
          <w:color w:val="FFFFFF"/>
        </w:rPr>
        <w:t>Michael Muirbrook</w:t>
      </w:r>
    </w:p>
    <w:p>
      <w:pPr>
        <w:spacing w:after="0" w:line="227" w:lineRule="auto"/>
        <w:rPr>
          <w:sz w:val="20"/>
          <w:szCs w:val="20"/>
          <w:color w:val="auto"/>
        </w:rPr>
      </w:pPr>
      <w:r>
        <w:rPr>
          <w:rFonts w:ascii="Arial" w:cs="Arial" w:eastAsia="Arial" w:hAnsi="Arial"/>
          <w:sz w:val="17"/>
          <w:szCs w:val="17"/>
          <w:color w:val="FFFFFF"/>
        </w:rPr>
        <w:t>Vice President, Servicing &amp; Audits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400"/>
        <w:spacing w:after="0"/>
        <w:rPr>
          <w:sz w:val="20"/>
          <w:szCs w:val="20"/>
          <w:color w:val="auto"/>
        </w:rPr>
      </w:pPr>
      <w:r>
        <w:rPr>
          <w:rFonts w:ascii="Arial" w:cs="Arial" w:eastAsia="Arial" w:hAnsi="Arial"/>
          <w:sz w:val="22"/>
          <w:szCs w:val="22"/>
          <w:b w:val="1"/>
          <w:bCs w:val="1"/>
          <w:color w:val="FFFFFF"/>
        </w:rPr>
        <w:t>Tim Yates</w:t>
      </w:r>
    </w:p>
    <w:p>
      <w:pPr>
        <w:ind w:left="120"/>
        <w:spacing w:after="0" w:line="227" w:lineRule="auto"/>
        <w:rPr>
          <w:sz w:val="20"/>
          <w:szCs w:val="20"/>
          <w:color w:val="auto"/>
        </w:rPr>
      </w:pPr>
      <w:r>
        <w:rPr>
          <w:rFonts w:ascii="Arial" w:cs="Arial" w:eastAsia="Arial" w:hAnsi="Arial"/>
          <w:sz w:val="17"/>
          <w:szCs w:val="17"/>
          <w:color w:val="FFFFFF"/>
        </w:rPr>
        <w:t>Vice President,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FFFFFF"/>
        </w:rPr>
        <w:t>Rob Coke</w:t>
      </w:r>
    </w:p>
    <w:p>
      <w:pPr>
        <w:ind w:left="380"/>
        <w:spacing w:after="0" w:line="227" w:lineRule="auto"/>
        <w:rPr>
          <w:sz w:val="20"/>
          <w:szCs w:val="20"/>
          <w:color w:val="auto"/>
        </w:rPr>
      </w:pPr>
      <w:r>
        <w:rPr>
          <w:rFonts w:ascii="Arial" w:cs="Arial" w:eastAsia="Arial" w:hAnsi="Arial"/>
          <w:sz w:val="17"/>
          <w:szCs w:val="17"/>
          <w:color w:val="FFFFFF"/>
        </w:rPr>
        <w:t>Vice President, Appraisal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FFFFFF"/>
        </w:rPr>
        <w:t>Mark Pasternak</w:t>
      </w:r>
    </w:p>
    <w:p>
      <w:pPr>
        <w:ind w:left="320"/>
        <w:spacing w:after="0" w:line="227" w:lineRule="auto"/>
        <w:rPr>
          <w:sz w:val="20"/>
          <w:szCs w:val="20"/>
          <w:color w:val="auto"/>
        </w:rPr>
      </w:pPr>
      <w:r>
        <w:rPr>
          <w:rFonts w:ascii="Arial" w:cs="Arial" w:eastAsia="Arial" w:hAnsi="Arial"/>
          <w:sz w:val="17"/>
          <w:szCs w:val="17"/>
          <w:color w:val="FFFFFF"/>
        </w:rPr>
        <w:t>Vice President,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FFFFFF"/>
        </w:rPr>
        <w:t>Sarah Likens</w:t>
      </w:r>
    </w:p>
    <w:p>
      <w:pPr>
        <w:ind w:left="120"/>
        <w:spacing w:after="0" w:line="227" w:lineRule="auto"/>
        <w:rPr>
          <w:sz w:val="20"/>
          <w:szCs w:val="20"/>
          <w:color w:val="auto"/>
        </w:rPr>
      </w:pPr>
      <w:r>
        <w:rPr>
          <w:rFonts w:ascii="Arial" w:cs="Arial" w:eastAsia="Arial" w:hAnsi="Arial"/>
          <w:sz w:val="17"/>
          <w:szCs w:val="17"/>
          <w:color w:val="FFFFFF"/>
        </w:rPr>
        <w:t>Marketing Department Director</w:t>
      </w:r>
    </w:p>
    <w:p>
      <w:pPr>
        <w:sectPr>
          <w:pgSz w:w="12240" w:h="15840" w:orient="portrait"/>
          <w:cols w:equalWidth="0" w:num="2">
            <w:col w:w="8060" w:space="720"/>
            <w:col w:w="3040"/>
          </w:cols>
          <w:pgMar w:left="0" w:top="20" w:right="420" w:bottom="1440" w:gutter="0" w:footer="0" w:header="0"/>
          <w:type w:val="continuous"/>
        </w:sectPr>
      </w:pPr>
    </w:p>
    <w:bookmarkStart w:id="12" w:name="page13"/>
    <w:bookmarkEnd w:id="12"/>
    <w:p>
      <w:pPr>
        <w:spacing w:after="0"/>
        <w:tabs>
          <w:tab w:leader="none" w:pos="4920" w:val="left"/>
        </w:tabs>
        <w:rPr>
          <w:sz w:val="20"/>
          <w:szCs w:val="20"/>
          <w:color w:val="auto"/>
        </w:rPr>
      </w:pPr>
      <w:r>
        <w:rPr>
          <w:rFonts w:ascii="Arial" w:cs="Arial" w:eastAsia="Arial" w:hAnsi="Arial"/>
          <w:sz w:val="36"/>
          <w:szCs w:val="36"/>
          <w:color w:val="000750"/>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REGIONAL MANAGERS</w:t>
      </w:r>
      <w:r>
        <w:rPr>
          <w:sz w:val="20"/>
          <w:szCs w:val="20"/>
          <w:color w:val="auto"/>
        </w:rPr>
        <w:tab/>
      </w:r>
      <w:r>
        <w:rPr>
          <w:rFonts w:ascii="Arial" w:cs="Arial" w:eastAsia="Arial" w:hAnsi="Arial"/>
          <w:sz w:val="130"/>
          <w:szCs w:val="130"/>
          <w:b w:val="1"/>
          <w:bCs w:val="1"/>
          <w:color w:val="FFFFFF"/>
          <w:vertAlign w:val="subscript"/>
        </w:rPr>
        <w:t>2025 Statistics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200"/>
        <w:spacing w:after="0"/>
        <w:rPr>
          <w:sz w:val="20"/>
          <w:szCs w:val="20"/>
          <w:color w:val="auto"/>
        </w:rPr>
      </w:pPr>
      <w:r>
        <w:rPr>
          <w:rFonts w:ascii="Arial" w:cs="Arial" w:eastAsia="Arial" w:hAnsi="Arial"/>
          <w:sz w:val="22"/>
          <w:szCs w:val="22"/>
          <w:b w:val="1"/>
          <w:bCs w:val="1"/>
          <w:color w:val="FFFFFF"/>
        </w:rPr>
        <w:t>Svetlana Marinkovic</w:t>
      </w:r>
    </w:p>
    <w:p>
      <w:pPr>
        <w:jc w:val="center"/>
        <w:ind w:right="7200"/>
        <w:spacing w:after="0" w:line="227" w:lineRule="auto"/>
        <w:rPr>
          <w:sz w:val="20"/>
          <w:szCs w:val="20"/>
          <w:color w:val="auto"/>
        </w:rPr>
      </w:pPr>
      <w:r>
        <w:rPr>
          <w:rFonts w:ascii="Arial" w:cs="Arial" w:eastAsia="Arial" w:hAnsi="Arial"/>
          <w:sz w:val="17"/>
          <w:szCs w:val="17"/>
          <w:color w:val="FFFFFF"/>
        </w:rPr>
        <w:t>Executive Regional Manager,</w:t>
      </w:r>
    </w:p>
    <w:p>
      <w:pPr>
        <w:jc w:val="center"/>
        <w:ind w:right="7200"/>
        <w:spacing w:after="0" w:line="238" w:lineRule="auto"/>
        <w:rPr>
          <w:sz w:val="20"/>
          <w:szCs w:val="20"/>
          <w:color w:val="auto"/>
        </w:rPr>
      </w:pPr>
      <w:r>
        <w:rPr>
          <w:rFonts w:ascii="Arial" w:cs="Arial" w:eastAsia="Arial" w:hAnsi="Arial"/>
          <w:sz w:val="17"/>
          <w:szCs w:val="17"/>
          <w:color w:val="FFFFFF"/>
        </w:rPr>
        <w:t>Summit Region</w:t>
      </w:r>
    </w:p>
    <w:p>
      <w:pPr>
        <w:sectPr>
          <w:pgSz w:w="12240" w:h="15840" w:orient="portrait"/>
          <w:cols w:equalWidth="0" w:num="1">
            <w:col w:w="11180"/>
          </w:cols>
          <w:pgMar w:left="240" w:top="0" w:right="820" w:bottom="4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FFFFFF"/>
        </w:rPr>
        <w:t>Cristie North</w:t>
      </w:r>
    </w:p>
    <w:p>
      <w:pPr>
        <w:spacing w:after="0" w:line="2"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FFFFFF"/>
        </w:rPr>
        <w:t>Executive Regional Manager,</w:t>
      </w:r>
    </w:p>
    <w:p>
      <w:pPr>
        <w:jc w:val="center"/>
        <w:ind w:right="220"/>
        <w:spacing w:after="0" w:line="237" w:lineRule="auto"/>
        <w:rPr>
          <w:sz w:val="20"/>
          <w:szCs w:val="20"/>
          <w:color w:val="auto"/>
        </w:rPr>
      </w:pPr>
      <w:r>
        <w:rPr>
          <w:rFonts w:ascii="Arial" w:cs="Arial" w:eastAsia="Arial" w:hAnsi="Arial"/>
          <w:sz w:val="17"/>
          <w:szCs w:val="17"/>
          <w:color w:val="FFFFFF"/>
        </w:rPr>
        <w:t>Mountain West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220"/>
        <w:spacing w:after="0"/>
        <w:rPr>
          <w:sz w:val="20"/>
          <w:szCs w:val="20"/>
          <w:color w:val="auto"/>
        </w:rPr>
      </w:pPr>
      <w:r>
        <w:rPr>
          <w:rFonts w:ascii="Arial" w:cs="Arial" w:eastAsia="Arial" w:hAnsi="Arial"/>
          <w:sz w:val="22"/>
          <w:szCs w:val="22"/>
          <w:b w:val="1"/>
          <w:bCs w:val="1"/>
          <w:color w:val="FFFFFF"/>
        </w:rPr>
        <w:t>Troy Mannella</w:t>
      </w:r>
    </w:p>
    <w:p>
      <w:pPr>
        <w:spacing w:after="0" w:line="2"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FFFFFF"/>
        </w:rPr>
        <w:t>Executive Regional Manager,</w:t>
      </w:r>
    </w:p>
    <w:p>
      <w:pPr>
        <w:jc w:val="center"/>
        <w:ind w:right="220"/>
        <w:spacing w:after="0" w:line="237" w:lineRule="auto"/>
        <w:rPr>
          <w:sz w:val="20"/>
          <w:szCs w:val="20"/>
          <w:color w:val="auto"/>
        </w:rPr>
      </w:pPr>
      <w:r>
        <w:rPr>
          <w:rFonts w:ascii="Arial" w:cs="Arial" w:eastAsia="Arial" w:hAnsi="Arial"/>
          <w:sz w:val="17"/>
          <w:szCs w:val="17"/>
          <w:color w:val="FFFFFF"/>
        </w:rPr>
        <w:t>Lonestar Region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040"/>
        <w:spacing w:after="0"/>
        <w:rPr>
          <w:sz w:val="20"/>
          <w:szCs w:val="20"/>
          <w:color w:val="auto"/>
        </w:rPr>
      </w:pPr>
      <w:r>
        <w:rPr>
          <w:rFonts w:ascii="Arial" w:cs="Arial" w:eastAsia="Arial" w:hAnsi="Arial"/>
          <w:sz w:val="57"/>
          <w:szCs w:val="57"/>
          <w:b w:val="1"/>
          <w:bCs w:val="1"/>
          <w:color w:val="333333"/>
        </w:rPr>
        <w:t xml:space="preserve">328 </w:t>
      </w:r>
      <w:r>
        <w:rPr>
          <w:rFonts w:ascii="Arial" w:cs="Arial" w:eastAsia="Arial" w:hAnsi="Arial"/>
          <w:sz w:val="53"/>
          <w:szCs w:val="53"/>
          <w:b w:val="1"/>
          <w:bCs w:val="1"/>
          <w:color w:val="333333"/>
        </w:rPr>
        <w:t>Loan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36"/>
          <w:szCs w:val="36"/>
          <w:b w:val="1"/>
          <w:bCs w:val="1"/>
          <w:color w:val="00013B"/>
        </w:rPr>
        <w:t>SNMC Funding Comparison</w:t>
      </w:r>
    </w:p>
    <w:p>
      <w:pPr>
        <w:spacing w:after="0" w:line="44" w:lineRule="exact"/>
        <w:rPr>
          <w:sz w:val="20"/>
          <w:szCs w:val="20"/>
          <w:color w:val="auto"/>
        </w:rPr>
      </w:pPr>
    </w:p>
    <w:p>
      <w:pPr>
        <w:spacing w:after="0"/>
        <w:rPr>
          <w:sz w:val="20"/>
          <w:szCs w:val="20"/>
          <w:color w:val="auto"/>
        </w:rPr>
      </w:pPr>
      <w:r>
        <w:rPr>
          <w:rFonts w:ascii="Arial" w:cs="Arial" w:eastAsia="Arial" w:hAnsi="Arial"/>
          <w:sz w:val="24"/>
          <w:szCs w:val="24"/>
          <w:i w:val="1"/>
          <w:iCs w:val="1"/>
          <w:color w:val="00013B"/>
        </w:rPr>
        <w:t>Year-Over-Year</w:t>
      </w:r>
    </w:p>
    <w:p>
      <w:pPr>
        <w:spacing w:after="0" w:line="200" w:lineRule="exact"/>
        <w:rPr>
          <w:sz w:val="20"/>
          <w:szCs w:val="20"/>
          <w:color w:val="auto"/>
        </w:rPr>
      </w:pPr>
    </w:p>
    <w:p>
      <w:pPr>
        <w:spacing w:after="0" w:line="365"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00013B"/>
        </w:rPr>
        <w:t>$2.0B</w:t>
      </w:r>
    </w:p>
    <w:p>
      <w:pPr>
        <w:spacing w:after="0" w:line="350"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00013B"/>
        </w:rPr>
        <w:t>$1.75B</w:t>
      </w:r>
    </w:p>
    <w:p>
      <w:pPr>
        <w:spacing w:after="0" w:line="350"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00013B"/>
        </w:rPr>
        <w:t>$1.5B</w:t>
      </w:r>
    </w:p>
    <w:p>
      <w:pPr>
        <w:spacing w:after="0" w:line="350"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00013B"/>
        </w:rPr>
        <w:t>$1.25B</w:t>
      </w:r>
    </w:p>
    <w:p>
      <w:pPr>
        <w:spacing w:after="0" w:line="350"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00013B"/>
        </w:rPr>
        <w:t>$1.0B</w:t>
      </w:r>
    </w:p>
    <w:p>
      <w:pPr>
        <w:spacing w:after="0" w:line="35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013B"/>
        </w:rPr>
        <w:t>$750M</w:t>
      </w:r>
    </w:p>
    <w:p>
      <w:pPr>
        <w:spacing w:after="0" w:line="35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013B"/>
        </w:rPr>
        <w:t>$500M</w:t>
      </w:r>
    </w:p>
    <w:p>
      <w:pPr>
        <w:spacing w:after="0" w:line="35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00013B"/>
        </w:rPr>
        <w:t>$250M</w:t>
      </w:r>
    </w:p>
    <w:p>
      <w:pPr>
        <w:spacing w:after="0" w:line="28" w:lineRule="exact"/>
        <w:rPr>
          <w:sz w:val="20"/>
          <w:szCs w:val="20"/>
          <w:color w:val="auto"/>
        </w:rPr>
      </w:pPr>
    </w:p>
    <w:p>
      <w:pPr>
        <w:jc w:val="right"/>
        <w:spacing w:after="0"/>
        <w:tabs>
          <w:tab w:leader="none" w:pos="3700" w:val="left"/>
          <w:tab w:leader="none" w:pos="1960" w:val="left"/>
          <w:tab w:leader="none" w:pos="680" w:val="left"/>
        </w:tabs>
        <w:rPr>
          <w:sz w:val="20"/>
          <w:szCs w:val="20"/>
          <w:color w:val="auto"/>
        </w:rPr>
      </w:pPr>
      <w:r>
        <w:rPr>
          <w:rFonts w:ascii="Arial" w:cs="Arial" w:eastAsia="Arial" w:hAnsi="Arial"/>
          <w:sz w:val="28"/>
          <w:szCs w:val="28"/>
          <w:b w:val="1"/>
          <w:bCs w:val="1"/>
          <w:color w:val="FFFFFF"/>
        </w:rPr>
        <w:t>1.975B</w:t>
        <w:tab/>
        <w:t>1.927B</w:t>
      </w:r>
      <w:r>
        <w:rPr>
          <w:sz w:val="20"/>
          <w:szCs w:val="20"/>
          <w:color w:val="auto"/>
        </w:rPr>
        <w:tab/>
      </w:r>
      <w:r>
        <w:rPr>
          <w:rFonts w:ascii="Arial" w:cs="Arial" w:eastAsia="Arial" w:hAnsi="Arial"/>
          <w:sz w:val="28"/>
          <w:szCs w:val="28"/>
          <w:b w:val="1"/>
          <w:bCs w:val="1"/>
          <w:color w:val="FFFFFF"/>
        </w:rPr>
        <w:t>320M</w:t>
      </w:r>
      <w:r>
        <w:rPr>
          <w:sz w:val="20"/>
          <w:szCs w:val="20"/>
          <w:color w:val="auto"/>
        </w:rPr>
        <w:tab/>
      </w:r>
      <w:r>
        <w:rPr>
          <w:rFonts w:ascii="Arial" w:cs="Arial" w:eastAsia="Arial" w:hAnsi="Arial"/>
          <w:sz w:val="27"/>
          <w:szCs w:val="27"/>
          <w:b w:val="1"/>
          <w:bCs w:val="1"/>
          <w:color w:val="FFFFFF"/>
        </w:rPr>
        <w:t>368M</w:t>
      </w:r>
    </w:p>
    <w:p>
      <w:pPr>
        <w:ind w:left="560"/>
        <w:spacing w:after="0" w:line="183" w:lineRule="auto"/>
        <w:rPr>
          <w:sz w:val="20"/>
          <w:szCs w:val="20"/>
          <w:color w:val="auto"/>
        </w:rPr>
      </w:pPr>
      <w:r>
        <w:rPr>
          <w:rFonts w:ascii="Arial" w:cs="Arial" w:eastAsia="Arial" w:hAnsi="Arial"/>
          <w:sz w:val="20"/>
          <w:szCs w:val="20"/>
          <w:b w:val="1"/>
          <w:bCs w:val="1"/>
          <w:color w:val="00013B"/>
        </w:rPr>
        <w:t>$0</w:t>
      </w:r>
    </w:p>
    <w:p>
      <w:pPr>
        <w:ind w:left="1840"/>
        <w:spacing w:after="0"/>
        <w:tabs>
          <w:tab w:leader="none" w:pos="4800" w:val="left"/>
        </w:tabs>
        <w:rPr>
          <w:sz w:val="20"/>
          <w:szCs w:val="20"/>
          <w:color w:val="auto"/>
        </w:rPr>
      </w:pPr>
      <w:r>
        <w:rPr>
          <w:rFonts w:ascii="Arial" w:cs="Arial" w:eastAsia="Arial" w:hAnsi="Arial"/>
          <w:sz w:val="20"/>
          <w:szCs w:val="20"/>
          <w:b w:val="1"/>
          <w:bCs w:val="1"/>
          <w:color w:val="00013B"/>
        </w:rPr>
        <w:t>Purchase</w:t>
      </w:r>
      <w:r>
        <w:rPr>
          <w:sz w:val="20"/>
          <w:szCs w:val="20"/>
          <w:color w:val="auto"/>
        </w:rPr>
        <w:tab/>
      </w:r>
      <w:r>
        <w:rPr>
          <w:rFonts w:ascii="Arial" w:cs="Arial" w:eastAsia="Arial" w:hAnsi="Arial"/>
          <w:sz w:val="20"/>
          <w:szCs w:val="20"/>
          <w:b w:val="1"/>
          <w:bCs w:val="1"/>
          <w:color w:val="00013B"/>
        </w:rPr>
        <w:t>Refinance</w:t>
      </w:r>
    </w:p>
    <w:p>
      <w:pPr>
        <w:spacing w:after="0" w:line="200" w:lineRule="exact"/>
        <w:rPr>
          <w:sz w:val="20"/>
          <w:szCs w:val="20"/>
          <w:color w:val="auto"/>
        </w:rPr>
      </w:pPr>
    </w:p>
    <w:p>
      <w:pPr>
        <w:sectPr>
          <w:pgSz w:w="12240" w:h="15840" w:orient="portrait"/>
          <w:cols w:equalWidth="0" w:num="2">
            <w:col w:w="4200" w:space="720"/>
            <w:col w:w="6260"/>
          </w:cols>
          <w:pgMar w:left="240" w:top="0" w:right="820" w:bottom="433" w:gutter="0" w:footer="0" w:header="0"/>
          <w:type w:val="continuous"/>
        </w:sectPr>
      </w:pPr>
    </w:p>
    <w:p>
      <w:pPr>
        <w:spacing w:after="0" w:line="179" w:lineRule="exact"/>
        <w:rPr>
          <w:sz w:val="20"/>
          <w:szCs w:val="20"/>
          <w:color w:val="auto"/>
        </w:rPr>
      </w:pPr>
    </w:p>
    <w:p>
      <w:pPr>
        <w:ind w:left="7480"/>
        <w:spacing w:after="0"/>
        <w:rPr>
          <w:sz w:val="20"/>
          <w:szCs w:val="20"/>
          <w:color w:val="auto"/>
        </w:rPr>
      </w:pPr>
      <w:r>
        <w:rPr>
          <w:sz w:val="1"/>
          <w:szCs w:val="1"/>
          <w:color w:val="auto"/>
        </w:rPr>
        <w:drawing>
          <wp:inline distT="0" distB="0" distL="0" distR="0">
            <wp:extent cx="158115" cy="15748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8115" cy="157480"/>
                    </a:xfrm>
                    <a:prstGeom prst="rect">
                      <a:avLst/>
                    </a:prstGeom>
                    <a:noFill/>
                    <a:ln>
                      <a:noFill/>
                    </a:ln>
                  </pic:spPr>
                </pic:pic>
              </a:graphicData>
            </a:graphic>
          </wp:inline>
        </w:drawing>
      </w:r>
      <w:r>
        <w:rPr>
          <w:rFonts w:ascii="Arial" w:cs="Arial" w:eastAsia="Arial" w:hAnsi="Arial"/>
          <w:sz w:val="22"/>
          <w:szCs w:val="22"/>
          <w:b w:val="1"/>
          <w:bCs w:val="1"/>
          <w:color w:val="00013B"/>
        </w:rPr>
        <w:t xml:space="preserve"> 2024  </w:t>
      </w:r>
      <w:r>
        <w:rPr>
          <w:sz w:val="1"/>
          <w:szCs w:val="1"/>
          <w:color w:val="auto"/>
        </w:rPr>
        <w:drawing>
          <wp:inline distT="0" distB="0" distL="0" distR="0">
            <wp:extent cx="157480" cy="15748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7480" cy="157480"/>
                    </a:xfrm>
                    <a:prstGeom prst="rect">
                      <a:avLst/>
                    </a:prstGeom>
                    <a:noFill/>
                    <a:ln>
                      <a:noFill/>
                    </a:ln>
                  </pic:spPr>
                </pic:pic>
              </a:graphicData>
            </a:graphic>
          </wp:inline>
        </w:drawing>
      </w:r>
      <w:r>
        <w:rPr>
          <w:rFonts w:ascii="Arial" w:cs="Arial" w:eastAsia="Arial" w:hAnsi="Arial"/>
          <w:sz w:val="22"/>
          <w:szCs w:val="22"/>
          <w:b w:val="1"/>
          <w:bCs w:val="1"/>
          <w:color w:val="00013B"/>
        </w:rPr>
        <w:t xml:space="preserve"> 2025</w:t>
      </w:r>
    </w:p>
    <w:p>
      <w:pPr>
        <w:sectPr>
          <w:pgSz w:w="12240" w:h="15840" w:orient="portrait"/>
          <w:cols w:equalWidth="0" w:num="1">
            <w:col w:w="11180"/>
          </w:cols>
          <w:pgMar w:left="240" w:top="0" w:right="820" w:bottom="433" w:gutter="0" w:footer="0" w:header="0"/>
          <w:type w:val="continuous"/>
        </w:sectPr>
      </w:pPr>
    </w:p>
    <w:bookmarkStart w:id="13" w:name="page14"/>
    <w:bookmarkEnd w:id="13"/>
    <w:p>
      <w:pPr>
        <w:ind w:left="6600"/>
        <w:spacing w:after="0"/>
        <w:rPr>
          <w:sz w:val="20"/>
          <w:szCs w:val="20"/>
          <w:color w:val="auto"/>
        </w:rPr>
      </w:pPr>
      <w:r>
        <w:rPr>
          <w:rFonts w:ascii="Arial" w:cs="Arial" w:eastAsia="Arial" w:hAnsi="Arial"/>
          <w:sz w:val="35"/>
          <w:szCs w:val="35"/>
          <w:color w:val="000750"/>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t>REGIONAL MANAGERS</w:t>
      </w:r>
    </w:p>
    <w:p>
      <w:pPr>
        <w:sectPr>
          <w:pgSz w:w="12240" w:h="15840" w:orient="portrait"/>
          <w:cols w:equalWidth="0" w:num="1">
            <w:col w:w="10580"/>
          </w:cols>
          <w:pgMar w:left="1440" w:top="298" w:right="220" w:bottom="3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60"/>
        <w:spacing w:after="0"/>
        <w:rPr>
          <w:sz w:val="20"/>
          <w:szCs w:val="20"/>
          <w:color w:val="auto"/>
        </w:rPr>
      </w:pPr>
      <w:r>
        <w:rPr>
          <w:rFonts w:ascii="Arial" w:cs="Arial" w:eastAsia="Arial" w:hAnsi="Arial"/>
          <w:sz w:val="155"/>
          <w:szCs w:val="155"/>
          <w:b w:val="1"/>
          <w:bCs w:val="1"/>
          <w:color w:val="00013B"/>
          <w:shd w:val="clear" w:color="auto" w:fill="E7E7E3"/>
        </w:rPr>
        <w:t>6,844</w:t>
      </w:r>
    </w:p>
    <w:p>
      <w:pPr>
        <w:ind w:left="2220"/>
        <w:spacing w:after="0"/>
        <w:rPr>
          <w:sz w:val="20"/>
          <w:szCs w:val="20"/>
          <w:color w:val="auto"/>
        </w:rPr>
      </w:pPr>
      <w:r>
        <w:rPr>
          <w:rFonts w:ascii="Arial" w:cs="Arial" w:eastAsia="Arial" w:hAnsi="Arial"/>
          <w:sz w:val="28"/>
          <w:szCs w:val="28"/>
          <w:b w:val="1"/>
          <w:bCs w:val="1"/>
          <w:color w:val="333333"/>
        </w:rPr>
        <w:t>Loans Funded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00"/>
        <w:spacing w:after="0"/>
        <w:rPr>
          <w:sz w:val="20"/>
          <w:szCs w:val="20"/>
          <w:color w:val="auto"/>
        </w:rPr>
      </w:pPr>
      <w:r>
        <w:rPr>
          <w:rFonts w:ascii="Arial" w:cs="Arial" w:eastAsia="Arial" w:hAnsi="Arial"/>
          <w:sz w:val="22"/>
          <w:szCs w:val="22"/>
          <w:b w:val="1"/>
          <w:bCs w:val="1"/>
          <w:color w:val="FFFFFF"/>
        </w:rPr>
        <w:t>Dave Pettit</w:t>
      </w:r>
    </w:p>
    <w:p>
      <w:pPr>
        <w:jc w:val="center"/>
        <w:ind w:right="900"/>
        <w:spacing w:after="0" w:line="227" w:lineRule="auto"/>
        <w:rPr>
          <w:sz w:val="20"/>
          <w:szCs w:val="20"/>
          <w:color w:val="auto"/>
        </w:rPr>
      </w:pPr>
      <w:r>
        <w:rPr>
          <w:rFonts w:ascii="Arial" w:cs="Arial" w:eastAsia="Arial" w:hAnsi="Arial"/>
          <w:sz w:val="17"/>
          <w:szCs w:val="17"/>
          <w:color w:val="FFFFFF"/>
        </w:rPr>
        <w:t>Regional Area Manager,</w:t>
      </w:r>
    </w:p>
    <w:p>
      <w:pPr>
        <w:jc w:val="center"/>
        <w:ind w:right="900"/>
        <w:spacing w:after="0" w:line="238" w:lineRule="auto"/>
        <w:rPr>
          <w:sz w:val="20"/>
          <w:szCs w:val="20"/>
          <w:color w:val="auto"/>
        </w:rPr>
      </w:pPr>
      <w:r>
        <w:rPr>
          <w:rFonts w:ascii="Arial" w:cs="Arial" w:eastAsia="Arial" w:hAnsi="Arial"/>
          <w:sz w:val="17"/>
          <w:szCs w:val="17"/>
          <w:color w:val="FFFFFF"/>
        </w:rPr>
        <w:t>Salt Lake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900"/>
        <w:spacing w:after="0"/>
        <w:rPr>
          <w:sz w:val="20"/>
          <w:szCs w:val="20"/>
          <w:color w:val="auto"/>
        </w:rPr>
      </w:pPr>
      <w:r>
        <w:rPr>
          <w:rFonts w:ascii="Arial" w:cs="Arial" w:eastAsia="Arial" w:hAnsi="Arial"/>
          <w:sz w:val="22"/>
          <w:szCs w:val="22"/>
          <w:b w:val="1"/>
          <w:bCs w:val="1"/>
          <w:color w:val="FFFFFF"/>
        </w:rPr>
        <w:t>Chris Garza</w:t>
      </w:r>
    </w:p>
    <w:p>
      <w:pPr>
        <w:spacing w:after="0" w:line="2" w:lineRule="exact"/>
        <w:rPr>
          <w:sz w:val="20"/>
          <w:szCs w:val="20"/>
          <w:color w:val="auto"/>
        </w:rPr>
      </w:pPr>
    </w:p>
    <w:p>
      <w:pPr>
        <w:jc w:val="center"/>
        <w:ind w:right="900"/>
        <w:spacing w:after="0"/>
        <w:rPr>
          <w:sz w:val="20"/>
          <w:szCs w:val="20"/>
          <w:color w:val="auto"/>
        </w:rPr>
      </w:pPr>
      <w:r>
        <w:rPr>
          <w:rFonts w:ascii="Arial" w:cs="Arial" w:eastAsia="Arial" w:hAnsi="Arial"/>
          <w:sz w:val="16"/>
          <w:szCs w:val="16"/>
          <w:color w:val="FFFFFF"/>
        </w:rPr>
        <w:t>Executive Regional Manager,</w:t>
      </w:r>
    </w:p>
    <w:p>
      <w:pPr>
        <w:jc w:val="center"/>
        <w:ind w:right="900"/>
        <w:spacing w:after="0" w:line="237" w:lineRule="auto"/>
        <w:rPr>
          <w:sz w:val="20"/>
          <w:szCs w:val="20"/>
          <w:color w:val="auto"/>
        </w:rPr>
      </w:pPr>
      <w:r>
        <w:rPr>
          <w:rFonts w:ascii="Arial" w:cs="Arial" w:eastAsia="Arial" w:hAnsi="Arial"/>
          <w:sz w:val="17"/>
          <w:szCs w:val="17"/>
          <w:color w:val="FFFFFF"/>
        </w:rPr>
        <w:t>Empire Region</w:t>
      </w:r>
    </w:p>
    <w:p>
      <w:pPr>
        <w:spacing w:after="0" w:line="200" w:lineRule="exact"/>
        <w:rPr>
          <w:sz w:val="20"/>
          <w:szCs w:val="20"/>
          <w:color w:val="auto"/>
        </w:rPr>
      </w:pPr>
    </w:p>
    <w:p>
      <w:pPr>
        <w:sectPr>
          <w:pgSz w:w="12240" w:h="15840" w:orient="portrait"/>
          <w:cols w:equalWidth="0" w:num="2">
            <w:col w:w="6740" w:space="720"/>
            <w:col w:w="3120"/>
          </w:cols>
          <w:pgMar w:left="1440" w:top="298" w:right="220" w:bottom="38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820" w:right="1840" w:hanging="572"/>
        <w:spacing w:after="0" w:line="327" w:lineRule="auto"/>
        <w:tabs>
          <w:tab w:leader="none" w:pos="1344" w:val="left"/>
        </w:tabs>
        <w:numPr>
          <w:ilvl w:val="0"/>
          <w:numId w:val="1"/>
        </w:numPr>
        <w:rPr>
          <w:rFonts w:ascii="Arial" w:cs="Arial" w:eastAsia="Arial" w:hAnsi="Arial"/>
          <w:sz w:val="79"/>
          <w:szCs w:val="79"/>
          <w:b w:val="1"/>
          <w:bCs w:val="1"/>
          <w:color w:val="333333"/>
        </w:rPr>
      </w:pPr>
      <w:r>
        <w:rPr>
          <w:rFonts w:ascii="Arial" w:cs="Arial" w:eastAsia="Arial" w:hAnsi="Arial"/>
          <w:sz w:val="73"/>
          <w:szCs w:val="73"/>
          <w:b w:val="1"/>
          <w:bCs w:val="1"/>
          <w:color w:val="333333"/>
        </w:rPr>
        <w:t xml:space="preserve">Branches </w:t>
      </w:r>
      <w:r>
        <w:rPr>
          <w:rFonts w:ascii="Arial" w:cs="Arial" w:eastAsia="Arial" w:hAnsi="Arial"/>
          <w:sz w:val="78"/>
          <w:szCs w:val="78"/>
          <w:b w:val="1"/>
          <w:bCs w:val="1"/>
          <w:color w:val="333333"/>
        </w:rPr>
        <w:t xml:space="preserve">45 </w:t>
      </w:r>
      <w:r>
        <w:rPr>
          <w:rFonts w:ascii="Arial" w:cs="Arial" w:eastAsia="Arial" w:hAnsi="Arial"/>
          <w:sz w:val="73"/>
          <w:szCs w:val="73"/>
          <w:b w:val="1"/>
          <w:bCs w:val="1"/>
          <w:color w:val="333333"/>
        </w:rPr>
        <w:t>States</w:t>
      </w:r>
    </w:p>
    <w:p>
      <w:pPr>
        <w:spacing w:after="0" w:line="20" w:lineRule="exact"/>
        <w:rPr>
          <w:sz w:val="20"/>
          <w:szCs w:val="20"/>
          <w:color w:val="auto"/>
        </w:rPr>
      </w:pP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35"/>
          <w:szCs w:val="35"/>
          <w:b w:val="1"/>
          <w:bCs w:val="1"/>
          <w:color w:val="00013B"/>
        </w:rPr>
        <w:t>Turning Houses</w:t>
      </w:r>
    </w:p>
    <w:p>
      <w:pPr>
        <w:ind w:left="340"/>
        <w:spacing w:after="0"/>
        <w:rPr>
          <w:sz w:val="20"/>
          <w:szCs w:val="20"/>
          <w:color w:val="auto"/>
        </w:rPr>
      </w:pPr>
      <w:r>
        <w:rPr>
          <w:rFonts w:ascii="Arial" w:cs="Arial" w:eastAsia="Arial" w:hAnsi="Arial"/>
          <w:sz w:val="36"/>
          <w:szCs w:val="36"/>
          <w:b w:val="1"/>
          <w:bCs w:val="1"/>
          <w:color w:val="00013B"/>
        </w:rPr>
        <w:t>into Homes</w:t>
      </w:r>
      <w:r>
        <w:rPr>
          <w:rFonts w:ascii="Arial" w:cs="Arial" w:eastAsia="Arial" w:hAnsi="Arial"/>
          <w:sz w:val="20"/>
          <w:szCs w:val="20"/>
          <w:b w:val="1"/>
          <w:bCs w:val="1"/>
          <w:color w:val="00013B"/>
        </w:rPr>
        <w:t>®</w:t>
      </w:r>
    </w:p>
    <w:p>
      <w:pPr>
        <w:sectPr>
          <w:pgSz w:w="12240" w:h="15840" w:orient="portrait"/>
          <w:cols w:equalWidth="0" w:num="2">
            <w:col w:w="6520" w:space="720"/>
            <w:col w:w="3340"/>
          </w:cols>
          <w:pgMar w:left="1440" w:top="298" w:right="220" w:bottom="382"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2821940" cy="10058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21940" cy="10058400"/>
                    </a:xfrm>
                    <a:prstGeom prst="rect">
                      <a:avLst/>
                    </a:prstGeom>
                    <a:noFill/>
                  </pic:spPr>
                </pic:pic>
              </a:graphicData>
            </a:graphic>
          </wp:anchor>
        </w:drawing>
      </w:r>
    </w:p>
    <w:p>
      <w:pPr>
        <w:spacing w:after="0"/>
        <w:rPr>
          <w:sz w:val="20"/>
          <w:szCs w:val="20"/>
          <w:color w:val="auto"/>
        </w:rPr>
      </w:pPr>
      <w:r>
        <w:rPr>
          <w:rFonts w:ascii="Arial" w:cs="Arial" w:eastAsia="Arial" w:hAnsi="Arial"/>
          <w:sz w:val="36"/>
          <w:szCs w:val="36"/>
          <w:color w:val="000750"/>
        </w:rPr>
        <w:t>LEADERSHIP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FFFFFF"/>
        </w:rPr>
        <w:t>Scott Quist</w:t>
      </w:r>
    </w:p>
    <w:p>
      <w:pPr>
        <w:ind w:left="920"/>
        <w:spacing w:after="0" w:line="227" w:lineRule="auto"/>
        <w:rPr>
          <w:sz w:val="20"/>
          <w:szCs w:val="20"/>
          <w:color w:val="auto"/>
        </w:rPr>
      </w:pPr>
      <w:r>
        <w:rPr>
          <w:rFonts w:ascii="Arial" w:cs="Arial" w:eastAsia="Arial" w:hAnsi="Arial"/>
          <w:sz w:val="17"/>
          <w:szCs w:val="17"/>
          <w:color w:val="FFFFFF"/>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FFFFFF"/>
        </w:rPr>
        <w:t>Adam Quist</w:t>
      </w:r>
    </w:p>
    <w:p>
      <w:pPr>
        <w:ind w:left="920"/>
        <w:spacing w:after="0" w:line="227" w:lineRule="auto"/>
        <w:rPr>
          <w:sz w:val="20"/>
          <w:szCs w:val="20"/>
          <w:color w:val="auto"/>
        </w:rPr>
      </w:pPr>
      <w:r>
        <w:rPr>
          <w:rFonts w:ascii="Arial" w:cs="Arial" w:eastAsia="Arial" w:hAnsi="Arial"/>
          <w:sz w:val="17"/>
          <w:szCs w:val="17"/>
          <w:color w:val="FFFFFF"/>
        </w:rPr>
        <w:t>Chief Executive Officer</w:t>
      </w:r>
    </w:p>
    <w:p>
      <w:pPr>
        <w:ind w:left="1280"/>
        <w:spacing w:after="0" w:line="238" w:lineRule="auto"/>
        <w:rPr>
          <w:sz w:val="20"/>
          <w:szCs w:val="20"/>
          <w:color w:val="auto"/>
        </w:rPr>
      </w:pPr>
      <w:r>
        <w:rPr>
          <w:rFonts w:ascii="Arial" w:cs="Arial" w:eastAsia="Arial" w:hAnsi="Arial"/>
          <w:sz w:val="17"/>
          <w:szCs w:val="17"/>
          <w:color w:val="FFFFFF"/>
        </w:rPr>
        <w:t>and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FFFFFF"/>
        </w:rPr>
        <w:t>Steven Kehl</w:t>
      </w:r>
    </w:p>
    <w:p>
      <w:pPr>
        <w:ind w:left="900"/>
        <w:spacing w:after="0" w:line="227" w:lineRule="auto"/>
        <w:rPr>
          <w:sz w:val="20"/>
          <w:szCs w:val="20"/>
          <w:color w:val="auto"/>
        </w:rPr>
      </w:pPr>
      <w:r>
        <w:rPr>
          <w:rFonts w:ascii="Arial" w:cs="Arial" w:eastAsia="Arial" w:hAnsi="Arial"/>
          <w:sz w:val="17"/>
          <w:szCs w:val="17"/>
          <w:color w:val="FFFFFF"/>
        </w:rPr>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FFFFFF"/>
        </w:rPr>
        <w:t>Jordan Buckner</w:t>
      </w:r>
    </w:p>
    <w:p>
      <w:pPr>
        <w:ind w:left="840"/>
        <w:spacing w:after="0" w:line="227" w:lineRule="auto"/>
        <w:rPr>
          <w:sz w:val="20"/>
          <w:szCs w:val="20"/>
          <w:color w:val="auto"/>
        </w:rPr>
      </w:pPr>
      <w:r>
        <w:rPr>
          <w:rFonts w:ascii="Arial" w:cs="Arial" w:eastAsia="Arial" w:hAnsi="Arial"/>
          <w:sz w:val="17"/>
          <w:szCs w:val="17"/>
          <w:color w:val="FFFFFF"/>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40"/>
        <w:spacing w:after="0"/>
        <w:rPr>
          <w:sz w:val="20"/>
          <w:szCs w:val="20"/>
          <w:color w:val="auto"/>
        </w:rPr>
      </w:pPr>
      <w:r>
        <w:rPr>
          <w:rFonts w:ascii="Arial" w:cs="Arial" w:eastAsia="Arial" w:hAnsi="Arial"/>
          <w:sz w:val="22"/>
          <w:szCs w:val="22"/>
          <w:b w:val="1"/>
          <w:bCs w:val="1"/>
          <w:color w:val="FFFFFF"/>
        </w:rPr>
        <w:t>Erin Creger</w:t>
      </w:r>
    </w:p>
    <w:p>
      <w:pPr>
        <w:ind w:left="1100"/>
        <w:spacing w:after="0" w:line="227" w:lineRule="auto"/>
        <w:rPr>
          <w:sz w:val="20"/>
          <w:szCs w:val="20"/>
          <w:color w:val="auto"/>
        </w:rPr>
      </w:pPr>
      <w:r>
        <w:rPr>
          <w:rFonts w:ascii="Arial" w:cs="Arial" w:eastAsia="Arial" w:hAnsi="Arial"/>
          <w:sz w:val="17"/>
          <w:szCs w:val="17"/>
          <w:color w:val="FFFFFF"/>
        </w:rPr>
        <w:t>Chief Sales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000750"/>
        </w:rPr>
        <w:t>Our Mission &amp; Commitment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-3017520</wp:posOffset>
            </wp:positionV>
            <wp:extent cx="4709160" cy="2980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09160" cy="2980690"/>
                    </a:xfrm>
                    <a:prstGeom prst="rect">
                      <a:avLst/>
                    </a:prstGeom>
                    <a:noFill/>
                  </pic:spPr>
                </pic:pic>
              </a:graphicData>
            </a:graphic>
          </wp:anchor>
        </w:drawing>
      </w:r>
    </w:p>
    <w:p>
      <w:pPr>
        <w:spacing w:after="0" w:line="53" w:lineRule="exact"/>
        <w:rPr>
          <w:sz w:val="20"/>
          <w:szCs w:val="20"/>
          <w:color w:val="auto"/>
        </w:rPr>
      </w:pPr>
    </w:p>
    <w:p>
      <w:pPr>
        <w:jc w:val="both"/>
        <w:ind w:right="720"/>
        <w:spacing w:after="0" w:line="267" w:lineRule="auto"/>
        <w:rPr>
          <w:sz w:val="20"/>
          <w:szCs w:val="20"/>
          <w:color w:val="auto"/>
        </w:rPr>
      </w:pPr>
      <w:r>
        <w:rPr>
          <w:rFonts w:ascii="Arial" w:cs="Arial" w:eastAsia="Arial" w:hAnsi="Arial"/>
          <w:sz w:val="20"/>
          <w:szCs w:val="20"/>
          <w:color w:val="auto"/>
        </w:rPr>
        <w:t>Our mission is to provide families with peace of mind and comfort in both advance planning and at the time of need. At the center of this commitment is our enduring purpose: providing Hope, Honor, Healing, and Happiness to the families we serve. This purpose guides our decisions, shapes our culture, and defines the standard of care we deliver each day.</w:t>
      </w:r>
    </w:p>
    <w:p>
      <w:pPr>
        <w:spacing w:after="0" w:line="285" w:lineRule="exact"/>
        <w:rPr>
          <w:sz w:val="20"/>
          <w:szCs w:val="20"/>
          <w:color w:val="auto"/>
        </w:rPr>
      </w:pPr>
    </w:p>
    <w:p>
      <w:pPr>
        <w:jc w:val="both"/>
        <w:ind w:right="720"/>
        <w:spacing w:after="0" w:line="272" w:lineRule="auto"/>
        <w:rPr>
          <w:sz w:val="20"/>
          <w:szCs w:val="20"/>
          <w:color w:val="auto"/>
        </w:rPr>
      </w:pPr>
      <w:r>
        <w:rPr>
          <w:rFonts w:ascii="Arial" w:cs="Arial" w:eastAsia="Arial" w:hAnsi="Arial"/>
          <w:sz w:val="20"/>
          <w:szCs w:val="20"/>
          <w:color w:val="auto"/>
        </w:rPr>
        <w:t>We foster a culture that empowers our employees to provide exceptional, compassionate service. Five core principles ground our approach: Safety, Experience, Efficiency, Empathy, and Inclusivity. Together, they ensure consistent, personalized service while upholding the highest ethical standards. We treat every family with dignity and respect, recognizing the importance of each interaction.</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000750"/>
        </w:rPr>
        <w:t>Disciplined Growth &amp; Operational Focus</w:t>
      </w:r>
    </w:p>
    <w:p>
      <w:pPr>
        <w:spacing w:after="0" w:line="73" w:lineRule="exact"/>
        <w:rPr>
          <w:sz w:val="20"/>
          <w:szCs w:val="20"/>
          <w:color w:val="auto"/>
        </w:rPr>
      </w:pPr>
    </w:p>
    <w:p>
      <w:pPr>
        <w:jc w:val="both"/>
        <w:ind w:right="720"/>
        <w:spacing w:after="0" w:line="265" w:lineRule="auto"/>
        <w:rPr>
          <w:sz w:val="20"/>
          <w:szCs w:val="20"/>
          <w:color w:val="auto"/>
        </w:rPr>
      </w:pPr>
      <w:r>
        <w:rPr>
          <w:rFonts w:ascii="Arial" w:cs="Arial" w:eastAsia="Arial" w:hAnsi="Arial"/>
          <w:sz w:val="20"/>
          <w:szCs w:val="20"/>
          <w:color w:val="auto"/>
        </w:rPr>
        <w:t>Our objective is sustained, profitable growth driven by disciplined execution across California, New Mexico, and Utah, expanding our ability to serve more families while creating opportunity for our employees and long-term value for our stockholders.</w:t>
      </w:r>
    </w:p>
    <w:p>
      <w:pPr>
        <w:spacing w:after="0" w:line="284" w:lineRule="exact"/>
        <w:rPr>
          <w:sz w:val="20"/>
          <w:szCs w:val="20"/>
          <w:color w:val="auto"/>
        </w:rPr>
      </w:pPr>
    </w:p>
    <w:p>
      <w:pPr>
        <w:jc w:val="both"/>
        <w:ind w:right="720"/>
        <w:spacing w:after="0" w:line="268" w:lineRule="auto"/>
        <w:rPr>
          <w:sz w:val="20"/>
          <w:szCs w:val="20"/>
          <w:color w:val="auto"/>
        </w:rPr>
      </w:pPr>
      <w:r>
        <w:rPr>
          <w:rFonts w:ascii="Arial" w:cs="Arial" w:eastAsia="Arial" w:hAnsi="Arial"/>
          <w:sz w:val="20"/>
          <w:szCs w:val="20"/>
          <w:color w:val="auto"/>
        </w:rPr>
        <w:t>We view challenges as opportunities to strengthen our business. With that mindset, we are elevating service standards, enhancing the longevity and quality of our cemetery properties through thoughtful master planning, and reinforcing our financial position through disciplined practices. We prioritize the funding and management of our endowment care funds to ensure long-term stewardship and stability, while learning from high-performing teams and industry peers to drive continuous improvement.</w:t>
      </w:r>
    </w:p>
    <w:p>
      <w:pPr>
        <w:spacing w:after="0" w:line="286" w:lineRule="exact"/>
        <w:rPr>
          <w:sz w:val="20"/>
          <w:szCs w:val="20"/>
          <w:color w:val="auto"/>
        </w:rPr>
      </w:pPr>
    </w:p>
    <w:p>
      <w:pPr>
        <w:jc w:val="both"/>
        <w:ind w:right="720"/>
        <w:spacing w:after="0" w:line="272" w:lineRule="auto"/>
        <w:rPr>
          <w:sz w:val="20"/>
          <w:szCs w:val="20"/>
          <w:color w:val="auto"/>
        </w:rPr>
      </w:pPr>
      <w:r>
        <w:rPr>
          <w:rFonts w:ascii="Arial" w:cs="Arial" w:eastAsia="Arial" w:hAnsi="Arial"/>
          <w:sz w:val="20"/>
          <w:szCs w:val="20"/>
          <w:color w:val="auto"/>
        </w:rPr>
        <w:t>Today, we are proud to be the largest funeral and cemetery provider in Utah, while Rivera remains the market leader in Northern New Mexico with market share exceeding 40%. Our strategy is clear: build trust, establish accountability, and execute with consistency. Strong fundamentals, combined with investment in talented people, position us to deliver durable performance over time.</w:t>
      </w:r>
    </w:p>
    <w:p>
      <w:pPr>
        <w:spacing w:after="0" w:line="200" w:lineRule="exact"/>
        <w:rPr>
          <w:sz w:val="20"/>
          <w:szCs w:val="20"/>
          <w:color w:val="auto"/>
        </w:rPr>
      </w:pPr>
    </w:p>
    <w:p>
      <w:pPr>
        <w:sectPr>
          <w:pgSz w:w="12240" w:h="16040" w:orient="portrait"/>
          <w:cols w:equalWidth="0" w:num="2">
            <w:col w:w="3840" w:space="720"/>
            <w:col w:w="7260"/>
          </w:cols>
          <w:pgMar w:left="420" w:top="287" w:right="0" w:bottom="0" w:gutter="0" w:footer="0" w:header="0"/>
        </w:sectPr>
      </w:pPr>
    </w:p>
    <w:p>
      <w:pPr>
        <w:spacing w:after="0" w:line="100" w:lineRule="exact"/>
        <w:rPr>
          <w:sz w:val="20"/>
          <w:szCs w:val="20"/>
          <w:color w:val="auto"/>
        </w:rPr>
      </w:pPr>
    </w:p>
    <w:tbl>
      <w:tblPr>
        <w:tblLayout w:type="fixed"/>
        <w:tblInd w:w="980" w:type="dxa"/>
        <w:tblCellMar>
          <w:top w:w="0" w:type="dxa"/>
          <w:left w:w="0" w:type="dxa"/>
          <w:bottom w:w="0" w:type="dxa"/>
          <w:right w:w="0" w:type="dxa"/>
        </w:tblCellMar>
      </w:tblPr>
      <w:tr>
        <w:trPr>
          <w:trHeight w:val="279"/>
        </w:trPr>
        <w:tc>
          <w:tcPr>
            <w:tcW w:w="3040" w:type="dxa"/>
            <w:vAlign w:val="bottom"/>
          </w:tcPr>
          <w:p>
            <w:pPr>
              <w:jc w:val="center"/>
              <w:ind w:right="1247"/>
              <w:spacing w:after="0"/>
              <w:rPr>
                <w:sz w:val="20"/>
                <w:szCs w:val="20"/>
                <w:color w:val="auto"/>
              </w:rPr>
            </w:pPr>
            <w:r>
              <w:rPr>
                <w:rFonts w:ascii="Arial" w:cs="Arial" w:eastAsia="Arial" w:hAnsi="Arial"/>
                <w:sz w:val="22"/>
                <w:szCs w:val="22"/>
                <w:b w:val="1"/>
                <w:bCs w:val="1"/>
                <w:color w:val="FFFFFF"/>
                <w:w w:val="91"/>
              </w:rPr>
              <w:t>Melissa Loose</w:t>
            </w:r>
          </w:p>
        </w:tc>
        <w:tc>
          <w:tcPr>
            <w:tcW w:w="2900" w:type="dxa"/>
            <w:vAlign w:val="bottom"/>
            <w:shd w:val="clear" w:color="auto" w:fill="E1E2E9"/>
          </w:tcPr>
          <w:p>
            <w:pPr>
              <w:ind w:left="960"/>
              <w:spacing w:after="0"/>
              <w:rPr>
                <w:sz w:val="20"/>
                <w:szCs w:val="20"/>
                <w:color w:val="auto"/>
              </w:rPr>
            </w:pPr>
            <w:r>
              <w:rPr>
                <w:rFonts w:ascii="Times New Roman" w:cs="Times New Roman" w:eastAsia="Times New Roman" w:hAnsi="Times New Roman"/>
                <w:sz w:val="11"/>
                <w:szCs w:val="11"/>
                <w:b w:val="1"/>
                <w:bCs w:val="1"/>
                <w:color w:val="688EA4"/>
              </w:rPr>
              <w:t>Security National Funeral Home</w:t>
            </w:r>
          </w:p>
        </w:tc>
        <w:tc>
          <w:tcPr>
            <w:tcW w:w="4900" w:type="dxa"/>
            <w:vAlign w:val="bottom"/>
            <w:shd w:val="clear" w:color="auto" w:fill="ECECF1"/>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040" w:type="dxa"/>
            <w:vAlign w:val="bottom"/>
          </w:tcPr>
          <w:p>
            <w:pPr>
              <w:jc w:val="center"/>
              <w:ind w:right="1307"/>
              <w:spacing w:after="0" w:line="164" w:lineRule="exact"/>
              <w:rPr>
                <w:sz w:val="20"/>
                <w:szCs w:val="20"/>
                <w:color w:val="auto"/>
              </w:rPr>
            </w:pPr>
            <w:r>
              <w:rPr>
                <w:rFonts w:ascii="Arial" w:cs="Arial" w:eastAsia="Arial" w:hAnsi="Arial"/>
                <w:sz w:val="17"/>
                <w:szCs w:val="17"/>
                <w:color w:val="FFFFFF"/>
              </w:rPr>
              <w:t>Senior Vice President</w:t>
            </w:r>
          </w:p>
        </w:tc>
        <w:tc>
          <w:tcPr>
            <w:tcW w:w="2900" w:type="dxa"/>
            <w:vAlign w:val="bottom"/>
            <w:shd w:val="clear" w:color="auto" w:fill="E1E2E9"/>
          </w:tcPr>
          <w:p>
            <w:pPr>
              <w:ind w:left="960"/>
              <w:spacing w:after="0"/>
              <w:rPr>
                <w:sz w:val="20"/>
                <w:szCs w:val="20"/>
                <w:color w:val="auto"/>
              </w:rPr>
            </w:pPr>
            <w:r>
              <w:rPr>
                <w:rFonts w:ascii="Times New Roman" w:cs="Times New Roman" w:eastAsia="Times New Roman" w:hAnsi="Times New Roman"/>
                <w:sz w:val="11"/>
                <w:szCs w:val="11"/>
                <w:b w:val="1"/>
                <w:bCs w:val="1"/>
                <w:color w:val="688EA4"/>
              </w:rPr>
              <w:t>&amp; Cemetery Division</w:t>
            </w:r>
          </w:p>
        </w:tc>
        <w:tc>
          <w:tcPr>
            <w:tcW w:w="4900" w:type="dxa"/>
            <w:vAlign w:val="bottom"/>
            <w:shd w:val="clear" w:color="auto" w:fill="ECECF1"/>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040" w:type="dxa"/>
            <w:vAlign w:val="bottom"/>
            <w:vMerge w:val="restart"/>
          </w:tcPr>
          <w:p>
            <w:pPr>
              <w:jc w:val="center"/>
              <w:ind w:right="1307"/>
              <w:spacing w:after="0"/>
              <w:rPr>
                <w:sz w:val="20"/>
                <w:szCs w:val="20"/>
                <w:color w:val="auto"/>
              </w:rPr>
            </w:pPr>
            <w:r>
              <w:rPr>
                <w:rFonts w:ascii="Arial" w:cs="Arial" w:eastAsia="Arial" w:hAnsi="Arial"/>
                <w:sz w:val="17"/>
                <w:szCs w:val="17"/>
                <w:color w:val="FFFFFF"/>
              </w:rPr>
              <w:t>of Communications</w:t>
            </w:r>
          </w:p>
        </w:tc>
        <w:tc>
          <w:tcPr>
            <w:tcW w:w="2900" w:type="dxa"/>
            <w:vAlign w:val="bottom"/>
            <w:shd w:val="clear" w:color="auto" w:fill="E1E2E9"/>
          </w:tcPr>
          <w:p>
            <w:pPr>
              <w:ind w:left="420"/>
              <w:spacing w:after="0" w:line="193" w:lineRule="exact"/>
              <w:rPr>
                <w:sz w:val="20"/>
                <w:szCs w:val="20"/>
                <w:color w:val="auto"/>
              </w:rPr>
            </w:pPr>
            <w:r>
              <w:rPr>
                <w:rFonts w:ascii="Times New Roman" w:cs="Times New Roman" w:eastAsia="Times New Roman" w:hAnsi="Times New Roman"/>
                <w:sz w:val="22"/>
                <w:szCs w:val="22"/>
                <w:b w:val="1"/>
                <w:bCs w:val="1"/>
                <w:color w:val="224567"/>
              </w:rPr>
              <w:t>5</w:t>
            </w:r>
            <w:r>
              <w:rPr>
                <w:rFonts w:ascii="Times New Roman" w:cs="Times New Roman" w:eastAsia="Times New Roman" w:hAnsi="Times New Roman"/>
                <w:sz w:val="21"/>
                <w:szCs w:val="21"/>
                <w:b w:val="1"/>
                <w:bCs w:val="1"/>
                <w:color w:val="224567"/>
              </w:rPr>
              <w:t>KEYS</w:t>
            </w:r>
          </w:p>
        </w:tc>
        <w:tc>
          <w:tcPr>
            <w:tcW w:w="4900" w:type="dxa"/>
            <w:vAlign w:val="bottom"/>
            <w:shd w:val="clear" w:color="auto" w:fill="ECECF1"/>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040" w:type="dxa"/>
            <w:vAlign w:val="bottom"/>
            <w:vMerge w:val="continue"/>
          </w:tcPr>
          <w:p>
            <w:pPr>
              <w:spacing w:after="0"/>
              <w:rPr>
                <w:sz w:val="2"/>
                <w:szCs w:val="2"/>
                <w:color w:val="auto"/>
              </w:rPr>
            </w:pPr>
          </w:p>
        </w:tc>
        <w:tc>
          <w:tcPr>
            <w:tcW w:w="2900" w:type="dxa"/>
            <w:vAlign w:val="bottom"/>
            <w:shd w:val="clear" w:color="auto" w:fill="E1E2E9"/>
          </w:tcPr>
          <w:p>
            <w:pPr>
              <w:spacing w:after="0"/>
              <w:rPr>
                <w:sz w:val="2"/>
                <w:szCs w:val="2"/>
                <w:color w:val="auto"/>
              </w:rPr>
            </w:pPr>
          </w:p>
        </w:tc>
        <w:tc>
          <w:tcPr>
            <w:tcW w:w="4900" w:type="dxa"/>
            <w:vAlign w:val="bottom"/>
            <w:shd w:val="clear" w:color="auto" w:fill="ECECF1"/>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38"/>
        </w:trPr>
        <w:tc>
          <w:tcPr>
            <w:tcW w:w="3040" w:type="dxa"/>
            <w:vAlign w:val="bottom"/>
          </w:tcPr>
          <w:p>
            <w:pPr>
              <w:spacing w:after="0"/>
              <w:rPr>
                <w:sz w:val="24"/>
                <w:szCs w:val="24"/>
                <w:color w:val="auto"/>
              </w:rPr>
            </w:pPr>
          </w:p>
        </w:tc>
        <w:tc>
          <w:tcPr>
            <w:tcW w:w="2900" w:type="dxa"/>
            <w:vAlign w:val="bottom"/>
            <w:shd w:val="clear" w:color="auto" w:fill="E1E2E9"/>
          </w:tcPr>
          <w:p>
            <w:pPr>
              <w:spacing w:after="0"/>
              <w:rPr>
                <w:sz w:val="24"/>
                <w:szCs w:val="24"/>
                <w:color w:val="auto"/>
              </w:rPr>
            </w:pPr>
          </w:p>
        </w:tc>
        <w:tc>
          <w:tcPr>
            <w:tcW w:w="4900" w:type="dxa"/>
            <w:vAlign w:val="bottom"/>
            <w:shd w:val="clear" w:color="auto" w:fill="ECECF1"/>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4608830</wp:posOffset>
            </wp:positionH>
            <wp:positionV relativeFrom="paragraph">
              <wp:posOffset>-624840</wp:posOffset>
            </wp:positionV>
            <wp:extent cx="2585720" cy="411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85720" cy="411480"/>
                    </a:xfrm>
                    <a:prstGeom prst="rect">
                      <a:avLst/>
                    </a:prstGeom>
                    <a:noFill/>
                  </pic:spPr>
                </pic:pic>
              </a:graphicData>
            </a:graphic>
          </wp:anchor>
        </w:drawing>
      </w:r>
    </w:p>
    <w:p>
      <w:pPr>
        <w:sectPr>
          <w:pgSz w:w="12240" w:h="16040" w:orient="portrait"/>
          <w:cols w:equalWidth="0" w:num="1">
            <w:col w:w="11820"/>
          </w:cols>
          <w:pgMar w:left="420" w:top="287" w:right="0" w:bottom="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000750"/>
        </w:rPr>
        <w:t>Recognition of Excellence</w:t>
      </w:r>
    </w:p>
    <w:p>
      <w:pPr>
        <w:spacing w:after="0" w:line="73"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color w:val="auto"/>
        </w:rPr>
        <w:t>Memorial Mortuaries and Cemeteries has been recognized as the Best of State award winner in Utah for eight consecutive years, and our Affordable Funerals and Cremations brand has earned this distinction twice.</w:t>
      </w:r>
    </w:p>
    <w:p>
      <w:pPr>
        <w:spacing w:after="0" w:line="200" w:lineRule="exact"/>
        <w:rPr>
          <w:sz w:val="20"/>
          <w:szCs w:val="20"/>
          <w:color w:val="auto"/>
        </w:rPr>
      </w:pPr>
    </w:p>
    <w:p>
      <w:pPr>
        <w:spacing w:after="0" w:line="330" w:lineRule="exact"/>
        <w:rPr>
          <w:sz w:val="20"/>
          <w:szCs w:val="20"/>
          <w:color w:val="auto"/>
        </w:rPr>
      </w:pPr>
    </w:p>
    <w:p>
      <w:pPr>
        <w:jc w:val="both"/>
        <w:ind w:right="20"/>
        <w:spacing w:after="0" w:line="276" w:lineRule="auto"/>
        <w:rPr>
          <w:sz w:val="20"/>
          <w:szCs w:val="20"/>
          <w:color w:val="auto"/>
        </w:rPr>
      </w:pPr>
      <w:r>
        <w:rPr>
          <w:rFonts w:ascii="Arial" w:cs="Arial" w:eastAsia="Arial" w:hAnsi="Arial"/>
          <w:sz w:val="20"/>
          <w:szCs w:val="20"/>
          <w:color w:val="auto"/>
        </w:rPr>
        <w:t>These designations reflect the trust families place in us and the consistent execution of our teams. They also reinforce our responsibility to maintain high standards and continue improving the quality of care we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000750"/>
        </w:rPr>
        <w:t>Looking Ahead</w:t>
      </w:r>
    </w:p>
    <w:p>
      <w:pPr>
        <w:spacing w:after="0" w:line="73" w:lineRule="exact"/>
        <w:rPr>
          <w:sz w:val="20"/>
          <w:szCs w:val="20"/>
          <w:color w:val="auto"/>
        </w:rPr>
      </w:pPr>
    </w:p>
    <w:p>
      <w:pPr>
        <w:jc w:val="both"/>
        <w:ind w:right="20"/>
        <w:spacing w:after="0" w:line="268" w:lineRule="auto"/>
        <w:rPr>
          <w:sz w:val="20"/>
          <w:szCs w:val="20"/>
          <w:color w:val="auto"/>
        </w:rPr>
      </w:pPr>
      <w:r>
        <w:rPr>
          <w:rFonts w:ascii="Arial" w:cs="Arial" w:eastAsia="Arial" w:hAnsi="Arial"/>
          <w:sz w:val="20"/>
          <w:szCs w:val="20"/>
          <w:color w:val="auto"/>
        </w:rPr>
        <w:t>We enter the coming year with clear focus and strong momentum. We will continue investing in our people, strengthening operations, and allocating capital with discipline. Our commitment to service, paired with execution and accountability, positions us for continued growth.</w:t>
      </w:r>
    </w:p>
    <w:p>
      <w:pPr>
        <w:spacing w:after="0" w:line="200" w:lineRule="exact"/>
        <w:rPr>
          <w:sz w:val="20"/>
          <w:szCs w:val="20"/>
          <w:color w:val="auto"/>
        </w:rPr>
      </w:pPr>
    </w:p>
    <w:p>
      <w:pPr>
        <w:spacing w:after="0" w:line="333" w:lineRule="exact"/>
        <w:rPr>
          <w:sz w:val="20"/>
          <w:szCs w:val="20"/>
          <w:color w:val="auto"/>
        </w:rPr>
      </w:pPr>
    </w:p>
    <w:p>
      <w:pPr>
        <w:jc w:val="both"/>
        <w:ind w:right="20"/>
        <w:spacing w:after="0" w:line="265" w:lineRule="auto"/>
        <w:rPr>
          <w:sz w:val="20"/>
          <w:szCs w:val="20"/>
          <w:color w:val="auto"/>
        </w:rPr>
      </w:pPr>
      <w:r>
        <w:rPr>
          <w:rFonts w:ascii="Arial" w:cs="Arial" w:eastAsia="Arial" w:hAnsi="Arial"/>
          <w:sz w:val="20"/>
          <w:szCs w:val="20"/>
          <w:color w:val="auto"/>
        </w:rPr>
        <w:t>Guided by our purpose and supported by a strong operational foundation, we are confident in our ability to create long-term value. We are optimistic about the future and the opportunity to continue serving families with care, integrity, and excellence.</w:t>
      </w:r>
    </w:p>
    <w:p>
      <w:pPr>
        <w:spacing w:after="0" w:line="284" w:lineRule="exact"/>
        <w:rPr>
          <w:sz w:val="20"/>
          <w:szCs w:val="20"/>
          <w:color w:val="auto"/>
        </w:rPr>
      </w:pPr>
    </w:p>
    <w:p>
      <w:pPr>
        <w:jc w:val="both"/>
        <w:ind w:right="20"/>
        <w:spacing w:after="0" w:line="270" w:lineRule="auto"/>
        <w:rPr>
          <w:sz w:val="20"/>
          <w:szCs w:val="20"/>
          <w:color w:val="auto"/>
        </w:rPr>
      </w:pPr>
      <w:r>
        <w:rPr>
          <w:rFonts w:ascii="Arial" w:cs="Arial" w:eastAsia="Arial" w:hAnsi="Arial"/>
          <w:sz w:val="20"/>
          <w:szCs w:val="20"/>
          <w:color w:val="auto"/>
        </w:rPr>
        <w:t>On behalf of our leadership team, we extend our sincere gratitude to our employees, partners, and stockholders for their continued trust and support.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6"/>
          <w:szCs w:val="36"/>
          <w:color w:val="000750"/>
        </w:rPr>
        <w:t>LEADERSHIP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Aaron Butler</w:t>
      </w:r>
    </w:p>
    <w:p>
      <w:pPr>
        <w:jc w:val="center"/>
        <w:spacing w:after="0" w:line="227" w:lineRule="auto"/>
        <w:rPr>
          <w:sz w:val="20"/>
          <w:szCs w:val="20"/>
          <w:color w:val="auto"/>
        </w:rPr>
      </w:pPr>
      <w:r>
        <w:rPr>
          <w:rFonts w:ascii="Arial" w:cs="Arial" w:eastAsia="Arial" w:hAnsi="Arial"/>
          <w:sz w:val="17"/>
          <w:szCs w:val="17"/>
          <w:color w:val="FFFFFF"/>
        </w:rPr>
        <w:t>Senior Vice President</w:t>
      </w:r>
    </w:p>
    <w:p>
      <w:pPr>
        <w:jc w:val="center"/>
        <w:spacing w:after="0" w:line="238" w:lineRule="auto"/>
        <w:rPr>
          <w:sz w:val="20"/>
          <w:szCs w:val="20"/>
          <w:color w:val="auto"/>
        </w:rPr>
      </w:pPr>
      <w:r>
        <w:rPr>
          <w:rFonts w:ascii="Arial" w:cs="Arial" w:eastAsia="Arial" w:hAnsi="Arial"/>
          <w:sz w:val="17"/>
          <w:szCs w:val="17"/>
          <w:color w:val="FFFFFF"/>
        </w:rPr>
        <w:t>of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Jeff Brinkerhoff</w:t>
      </w:r>
    </w:p>
    <w:p>
      <w:pPr>
        <w:ind w:left="1400"/>
        <w:spacing w:after="0" w:line="227" w:lineRule="auto"/>
        <w:rPr>
          <w:sz w:val="20"/>
          <w:szCs w:val="20"/>
          <w:color w:val="auto"/>
        </w:rPr>
      </w:pPr>
      <w:r>
        <w:rPr>
          <w:rFonts w:ascii="Arial" w:cs="Arial" w:eastAsia="Arial" w:hAnsi="Arial"/>
          <w:sz w:val="17"/>
          <w:szCs w:val="17"/>
          <w:color w:val="FFFFFF"/>
        </w:rPr>
        <w:t>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Eleni Karahalios</w:t>
      </w:r>
    </w:p>
    <w:p>
      <w:pPr>
        <w:jc w:val="center"/>
        <w:spacing w:after="0" w:line="227" w:lineRule="auto"/>
        <w:rPr>
          <w:sz w:val="20"/>
          <w:szCs w:val="20"/>
          <w:color w:val="auto"/>
        </w:rPr>
      </w:pPr>
      <w:r>
        <w:rPr>
          <w:rFonts w:ascii="Arial" w:cs="Arial" w:eastAsia="Arial" w:hAnsi="Arial"/>
          <w:sz w:val="17"/>
          <w:szCs w:val="17"/>
          <w:color w:val="FFFFFF"/>
        </w:rPr>
        <w:t>Sales Manager</w:t>
      </w:r>
    </w:p>
    <w:p>
      <w:pPr>
        <w:jc w:val="center"/>
        <w:spacing w:after="0" w:line="238" w:lineRule="auto"/>
        <w:rPr>
          <w:sz w:val="20"/>
          <w:szCs w:val="20"/>
          <w:color w:val="auto"/>
        </w:rPr>
      </w:pPr>
      <w:r>
        <w:rPr>
          <w:rFonts w:ascii="Arial" w:cs="Arial" w:eastAsia="Arial" w:hAnsi="Arial"/>
          <w:sz w:val="17"/>
          <w:szCs w:val="17"/>
          <w:color w:val="FFFFFF"/>
        </w:rPr>
        <w:t>Utah Cemeteries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Brian Bartlett</w:t>
      </w:r>
    </w:p>
    <w:p>
      <w:pPr>
        <w:jc w:val="center"/>
        <w:spacing w:after="0" w:line="227" w:lineRule="auto"/>
        <w:rPr>
          <w:sz w:val="20"/>
          <w:szCs w:val="20"/>
          <w:color w:val="auto"/>
        </w:rPr>
      </w:pPr>
      <w:r>
        <w:rPr>
          <w:rFonts w:ascii="Arial" w:cs="Arial" w:eastAsia="Arial" w:hAnsi="Arial"/>
          <w:sz w:val="17"/>
          <w:szCs w:val="17"/>
          <w:color w:val="FFFFFF"/>
        </w:rPr>
        <w:t>Vice President &amp; General Manager</w:t>
      </w:r>
    </w:p>
    <w:p>
      <w:pPr>
        <w:jc w:val="center"/>
        <w:spacing w:after="0" w:line="238" w:lineRule="auto"/>
        <w:rPr>
          <w:sz w:val="20"/>
          <w:szCs w:val="20"/>
          <w:color w:val="auto"/>
        </w:rPr>
      </w:pPr>
      <w:r>
        <w:rPr>
          <w:rFonts w:ascii="Arial" w:cs="Arial" w:eastAsia="Arial" w:hAnsi="Arial"/>
          <w:sz w:val="17"/>
          <w:szCs w:val="17"/>
          <w:color w:val="FFFFFF"/>
        </w:rPr>
        <w:t>Memorial Mortuaries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Jeremy Layton</w:t>
      </w:r>
    </w:p>
    <w:p>
      <w:pPr>
        <w:jc w:val="center"/>
        <w:spacing w:after="0" w:line="227" w:lineRule="auto"/>
        <w:rPr>
          <w:sz w:val="20"/>
          <w:szCs w:val="20"/>
          <w:color w:val="auto"/>
        </w:rPr>
      </w:pPr>
      <w:r>
        <w:rPr>
          <w:rFonts w:ascii="Arial" w:cs="Arial" w:eastAsia="Arial" w:hAnsi="Arial"/>
          <w:sz w:val="17"/>
          <w:szCs w:val="17"/>
          <w:color w:val="FFFFFF"/>
        </w:rPr>
        <w:t>Vice President &amp; General Manager</w:t>
      </w:r>
    </w:p>
    <w:p>
      <w:pPr>
        <w:jc w:val="center"/>
        <w:spacing w:after="0" w:line="238" w:lineRule="auto"/>
        <w:rPr>
          <w:sz w:val="20"/>
          <w:szCs w:val="20"/>
          <w:color w:val="auto"/>
        </w:rPr>
      </w:pPr>
      <w:r>
        <w:rPr>
          <w:rFonts w:ascii="Arial" w:cs="Arial" w:eastAsia="Arial" w:hAnsi="Arial"/>
          <w:sz w:val="17"/>
          <w:szCs w:val="17"/>
          <w:color w:val="FFFFFF"/>
        </w:rPr>
        <w:t>Probst Family Funerals &amp; Affordable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060"/>
        <w:spacing w:after="0"/>
        <w:rPr>
          <w:sz w:val="20"/>
          <w:szCs w:val="20"/>
          <w:color w:val="auto"/>
        </w:rPr>
      </w:pPr>
      <w:r>
        <w:rPr>
          <w:rFonts w:ascii="Arial" w:cs="Arial" w:eastAsia="Arial" w:hAnsi="Arial"/>
          <w:sz w:val="22"/>
          <w:szCs w:val="22"/>
          <w:b w:val="1"/>
          <w:bCs w:val="1"/>
          <w:color w:val="FFFFFF"/>
        </w:rPr>
        <w:t>Joseph Molnar</w:t>
      </w:r>
    </w:p>
    <w:p>
      <w:pPr>
        <w:spacing w:after="0" w:line="1" w:lineRule="exact"/>
        <w:rPr>
          <w:sz w:val="20"/>
          <w:szCs w:val="20"/>
          <w:color w:val="auto"/>
        </w:rPr>
      </w:pPr>
    </w:p>
    <w:p>
      <w:pPr>
        <w:sectPr>
          <w:pgSz w:w="12240" w:h="15840" w:orient="portrait"/>
          <w:cols w:equalWidth="0" w:num="2">
            <w:col w:w="6780" w:space="720"/>
            <w:col w:w="3600"/>
          </w:cols>
          <w:pgMar w:left="720" w:top="287" w:right="420" w:bottom="0" w:gutter="0" w:footer="0" w:header="0"/>
        </w:sectPr>
      </w:pPr>
    </w:p>
    <w:p>
      <w:pPr>
        <w:jc w:val="center"/>
        <w:ind w:left="7800"/>
        <w:spacing w:after="0" w:line="227" w:lineRule="auto"/>
        <w:rPr>
          <w:sz w:val="20"/>
          <w:szCs w:val="20"/>
          <w:color w:val="auto"/>
        </w:rPr>
      </w:pPr>
      <w:r>
        <w:rPr>
          <w:rFonts w:ascii="Arial" w:cs="Arial" w:eastAsia="Arial" w:hAnsi="Arial"/>
          <w:sz w:val="17"/>
          <w:szCs w:val="17"/>
          <w:color w:val="FFFFFF"/>
        </w:rPr>
        <w:t>General Manager</w:t>
      </w:r>
    </w:p>
    <w:p>
      <w:pPr>
        <w:jc w:val="center"/>
        <w:ind w:left="7800"/>
        <w:spacing w:after="0" w:line="238" w:lineRule="auto"/>
        <w:rPr>
          <w:sz w:val="20"/>
          <w:szCs w:val="20"/>
          <w:color w:val="auto"/>
        </w:rPr>
      </w:pPr>
      <w:r>
        <w:rPr>
          <w:rFonts w:ascii="Arial" w:cs="Arial" w:eastAsia="Arial" w:hAnsi="Arial"/>
          <w:sz w:val="17"/>
          <w:szCs w:val="17"/>
          <w:color w:val="FFFFFF"/>
        </w:rPr>
        <w:t>Rivera Family Funerals &amp; Cremations</w:t>
      </w:r>
    </w:p>
    <w:p>
      <w:pPr>
        <w:sectPr>
          <w:pgSz w:w="12240" w:h="15840" w:orient="portrait"/>
          <w:cols w:equalWidth="0" w:num="1">
            <w:col w:w="11100"/>
          </w:cols>
          <w:pgMar w:left="720" w:top="287" w:right="420" w:bottom="0" w:gutter="0" w:footer="0" w:header="0"/>
          <w:type w:val="continuous"/>
        </w:sectPr>
      </w:pPr>
    </w:p>
    <w:bookmarkStart w:id="16" w:name="page17"/>
    <w:bookmarkEnd w:id="16"/>
    <w:p>
      <w:pPr>
        <w:spacing w:after="0"/>
        <w:rPr>
          <w:sz w:val="20"/>
          <w:szCs w:val="20"/>
          <w:color w:val="auto"/>
        </w:rPr>
      </w:pPr>
      <w:r>
        <w:rPr>
          <w:rFonts w:ascii="Arial" w:cs="Arial" w:eastAsia="Arial" w:hAnsi="Arial"/>
          <w:sz w:val="36"/>
          <w:szCs w:val="36"/>
          <w:color w:val="000750"/>
        </w:rPr>
        <w:t>LEADERSHIP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FFFFFF"/>
        </w:rPr>
        <w:t>Jason Overbaugh</w:t>
      </w:r>
    </w:p>
    <w:p>
      <w:pPr>
        <w:jc w:val="center"/>
        <w:ind w:right="200"/>
        <w:spacing w:after="0" w:line="227" w:lineRule="auto"/>
        <w:rPr>
          <w:sz w:val="20"/>
          <w:szCs w:val="20"/>
          <w:color w:val="auto"/>
        </w:rPr>
      </w:pPr>
      <w:r>
        <w:rPr>
          <w:rFonts w:ascii="Arial" w:cs="Arial" w:eastAsia="Arial" w:hAnsi="Arial"/>
          <w:sz w:val="17"/>
          <w:szCs w:val="17"/>
          <w:color w:val="FFFFFF"/>
        </w:rPr>
        <w:t>President</w:t>
      </w:r>
    </w:p>
    <w:p>
      <w:pPr>
        <w:jc w:val="center"/>
        <w:ind w:right="200"/>
        <w:spacing w:after="0" w:line="238" w:lineRule="auto"/>
        <w:rPr>
          <w:sz w:val="20"/>
          <w:szCs w:val="20"/>
          <w:color w:val="auto"/>
        </w:rPr>
      </w:pPr>
      <w:r>
        <w:rPr>
          <w:rFonts w:ascii="Arial" w:cs="Arial" w:eastAsia="Arial" w:hAnsi="Arial"/>
          <w:sz w:val="17"/>
          <w:szCs w:val="17"/>
          <w:color w:val="FFFFFF"/>
        </w:rPr>
        <w:t>Real Estate Services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FFFFFF"/>
        </w:rPr>
        <w:t>Cambry Brady</w:t>
      </w:r>
    </w:p>
    <w:p>
      <w:pPr>
        <w:ind w:left="1220"/>
        <w:spacing w:after="0" w:line="227" w:lineRule="auto"/>
        <w:rPr>
          <w:sz w:val="20"/>
          <w:szCs w:val="20"/>
          <w:color w:val="auto"/>
        </w:rPr>
      </w:pPr>
      <w:r>
        <w:rPr>
          <w:rFonts w:ascii="Arial" w:cs="Arial" w:eastAsia="Arial" w:hAnsi="Arial"/>
          <w:sz w:val="17"/>
          <w:szCs w:val="17"/>
          <w:color w:val="FFFFFF"/>
        </w:rPr>
        <w:t>Asset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0"/>
        <w:spacing w:after="0"/>
        <w:rPr>
          <w:sz w:val="20"/>
          <w:szCs w:val="20"/>
          <w:color w:val="auto"/>
        </w:rPr>
      </w:pPr>
      <w:r>
        <w:rPr>
          <w:rFonts w:ascii="Arial" w:cs="Arial" w:eastAsia="Arial" w:hAnsi="Arial"/>
          <w:sz w:val="22"/>
          <w:szCs w:val="22"/>
          <w:b w:val="1"/>
          <w:bCs w:val="1"/>
          <w:color w:val="FFFFFF"/>
        </w:rPr>
        <w:t>Adam Perry</w:t>
      </w:r>
    </w:p>
    <w:p>
      <w:pPr>
        <w:ind w:left="1100"/>
        <w:spacing w:after="0" w:line="227" w:lineRule="auto"/>
        <w:rPr>
          <w:sz w:val="20"/>
          <w:szCs w:val="20"/>
          <w:color w:val="auto"/>
        </w:rPr>
      </w:pPr>
      <w:r>
        <w:rPr>
          <w:rFonts w:ascii="Arial" w:cs="Arial" w:eastAsia="Arial" w:hAnsi="Arial"/>
          <w:sz w:val="17"/>
          <w:szCs w:val="17"/>
          <w:color w:val="FFFFFF"/>
        </w:rPr>
        <w:t>Facilities Manager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2420"/>
        <w:spacing w:after="0" w:line="298" w:lineRule="auto"/>
        <w:rPr>
          <w:sz w:val="20"/>
          <w:szCs w:val="20"/>
          <w:color w:val="auto"/>
        </w:rPr>
      </w:pPr>
      <w:r>
        <w:rPr>
          <w:rFonts w:ascii="Times New Roman" w:cs="Times New Roman" w:eastAsia="Times New Roman" w:hAnsi="Times New Roman"/>
          <w:sz w:val="40"/>
          <w:szCs w:val="40"/>
          <w:color w:val="000750"/>
        </w:rPr>
        <w:t>Commercial real estate – a wise investment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-3136265</wp:posOffset>
            </wp:positionH>
            <wp:positionV relativeFrom="paragraph">
              <wp:posOffset>-4587240</wp:posOffset>
            </wp:positionV>
            <wp:extent cx="7772400" cy="10058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305" w:lineRule="exact"/>
        <w:rPr>
          <w:sz w:val="20"/>
          <w:szCs w:val="20"/>
          <w:color w:val="auto"/>
        </w:rPr>
      </w:pPr>
    </w:p>
    <w:p>
      <w:pPr>
        <w:jc w:val="both"/>
        <w:ind w:left="20"/>
        <w:spacing w:after="0" w:line="280" w:lineRule="auto"/>
        <w:rPr>
          <w:sz w:val="20"/>
          <w:szCs w:val="20"/>
          <w:color w:val="auto"/>
        </w:rPr>
      </w:pPr>
      <w:r>
        <w:rPr>
          <w:rFonts w:ascii="Arial" w:cs="Arial" w:eastAsia="Arial" w:hAnsi="Arial"/>
          <w:sz w:val="20"/>
          <w:szCs w:val="20"/>
          <w:color w:val="auto"/>
        </w:rPr>
        <w:t>The Security National Real Estate portfolio represents a stable and durable investment platform built on high-quality assets, strong tenancy, and disciplined underwriting. The portfolio generated $15.2 million in total revenue and $7.7 million in net operating income after interest for the fiscal year ending December 31, 2025. On an equity base of $45.1 million, this reflects a 16.8% cash-on-cash return.</w:t>
      </w:r>
    </w:p>
    <w:p>
      <w:pPr>
        <w:spacing w:after="0" w:line="4" w:lineRule="exact"/>
        <w:rPr>
          <w:sz w:val="20"/>
          <w:szCs w:val="20"/>
          <w:color w:val="auto"/>
        </w:rPr>
      </w:pPr>
    </w:p>
    <w:p>
      <w:pPr>
        <w:ind w:left="3460" w:right="180" w:hanging="3453"/>
        <w:spacing w:after="0" w:line="180" w:lineRule="auto"/>
        <w:rPr>
          <w:sz w:val="20"/>
          <w:szCs w:val="20"/>
          <w:color w:val="auto"/>
        </w:rPr>
      </w:pPr>
      <w:r>
        <w:rPr>
          <w:rFonts w:ascii="Times New Roman" w:cs="Times New Roman" w:eastAsia="Times New Roman" w:hAnsi="Times New Roman"/>
          <w:sz w:val="87"/>
          <w:szCs w:val="87"/>
          <w:b w:val="1"/>
          <w:bCs w:val="1"/>
          <w:color w:val="000750"/>
          <w:highlight w:val="black"/>
        </w:rPr>
        <w:t>16.8</w:t>
      </w:r>
      <w:r>
        <w:rPr>
          <w:rFonts w:ascii="Times New Roman" w:cs="Times New Roman" w:eastAsia="Times New Roman" w:hAnsi="Times New Roman"/>
          <w:sz w:val="129"/>
          <w:szCs w:val="129"/>
          <w:b w:val="1"/>
          <w:bCs w:val="1"/>
          <w:color w:val="000750"/>
          <w:highlight w:val="black"/>
          <w:vertAlign w:val="subscript"/>
        </w:rPr>
        <w:t>%</w:t>
      </w:r>
      <w:r>
        <w:rPr>
          <w:rFonts w:ascii="Times New Roman" w:cs="Times New Roman" w:eastAsia="Times New Roman" w:hAnsi="Times New Roman"/>
          <w:sz w:val="87"/>
          <w:szCs w:val="87"/>
          <w:b w:val="1"/>
          <w:bCs w:val="1"/>
          <w:color w:val="000750"/>
          <w:highlight w:val="black"/>
        </w:rPr>
        <w:t xml:space="preserve"> </w:t>
      </w:r>
      <w:r>
        <w:rPr>
          <w:rFonts w:ascii="Times New Roman" w:cs="Times New Roman" w:eastAsia="Times New Roman" w:hAnsi="Times New Roman"/>
          <w:sz w:val="37"/>
          <w:szCs w:val="37"/>
          <w:b w:val="1"/>
          <w:bCs w:val="1"/>
          <w:color w:val="000750"/>
        </w:rPr>
        <w:t>Cash-on Cash</w:t>
      </w:r>
      <w:r>
        <w:rPr>
          <w:rFonts w:ascii="Times New Roman" w:cs="Times New Roman" w:eastAsia="Times New Roman" w:hAnsi="Times New Roman"/>
          <w:sz w:val="87"/>
          <w:szCs w:val="87"/>
          <w:b w:val="1"/>
          <w:bCs w:val="1"/>
          <w:color w:val="000750"/>
          <w:highlight w:val="black"/>
        </w:rPr>
        <w:t xml:space="preserve"> </w:t>
      </w:r>
      <w:r>
        <w:rPr>
          <w:rFonts w:ascii="Times New Roman" w:cs="Times New Roman" w:eastAsia="Times New Roman" w:hAnsi="Times New Roman"/>
          <w:sz w:val="37"/>
          <w:szCs w:val="37"/>
          <w:b w:val="1"/>
          <w:bCs w:val="1"/>
          <w:color w:val="000750"/>
        </w:rPr>
        <w:t>Return on Equity</w:t>
      </w:r>
    </w:p>
    <w:p>
      <w:pPr>
        <w:ind w:left="3460"/>
        <w:spacing w:after="0" w:line="226" w:lineRule="auto"/>
        <w:rPr>
          <w:sz w:val="20"/>
          <w:szCs w:val="20"/>
          <w:color w:val="auto"/>
        </w:rPr>
      </w:pPr>
      <w:r>
        <w:rPr>
          <w:rFonts w:ascii="Arial" w:cs="Arial" w:eastAsia="Arial" w:hAnsi="Arial"/>
          <w:sz w:val="16"/>
          <w:szCs w:val="16"/>
          <w:color w:val="000750"/>
        </w:rPr>
        <w:t>$7.7M NOI after interest + $45.1M total</w:t>
      </w:r>
    </w:p>
    <w:p>
      <w:pPr>
        <w:spacing w:after="0" w:line="17" w:lineRule="exact"/>
        <w:rPr>
          <w:sz w:val="20"/>
          <w:szCs w:val="20"/>
          <w:color w:val="auto"/>
        </w:rPr>
      </w:pPr>
    </w:p>
    <w:p>
      <w:pPr>
        <w:ind w:left="3460"/>
        <w:spacing w:after="0"/>
        <w:rPr>
          <w:sz w:val="20"/>
          <w:szCs w:val="20"/>
          <w:color w:val="auto"/>
        </w:rPr>
      </w:pPr>
      <w:r>
        <w:rPr>
          <w:rFonts w:ascii="Arial" w:cs="Arial" w:eastAsia="Arial" w:hAnsi="Arial"/>
          <w:sz w:val="16"/>
          <w:szCs w:val="16"/>
          <w:color w:val="000750"/>
        </w:rPr>
        <w:t>equity invested. Strong unlevered cash</w:t>
      </w:r>
    </w:p>
    <w:p>
      <w:pPr>
        <w:spacing w:after="0" w:line="16" w:lineRule="exact"/>
        <w:rPr>
          <w:sz w:val="20"/>
          <w:szCs w:val="20"/>
          <w:color w:val="auto"/>
        </w:rPr>
      </w:pPr>
    </w:p>
    <w:p>
      <w:pPr>
        <w:ind w:left="3460"/>
        <w:spacing w:after="0"/>
        <w:rPr>
          <w:sz w:val="20"/>
          <w:szCs w:val="20"/>
          <w:color w:val="auto"/>
        </w:rPr>
      </w:pPr>
      <w:r>
        <w:rPr>
          <w:rFonts w:ascii="Arial" w:cs="Arial" w:eastAsia="Arial" w:hAnsi="Arial"/>
          <w:sz w:val="16"/>
          <w:szCs w:val="16"/>
          <w:color w:val="000750"/>
        </w:rPr>
        <w:t>generation from the portfolio.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left="1440"/>
        <w:spacing w:after="0" w:line="290" w:lineRule="auto"/>
        <w:rPr>
          <w:sz w:val="20"/>
          <w:szCs w:val="20"/>
          <w:color w:val="auto"/>
        </w:rPr>
      </w:pPr>
      <w:r>
        <w:rPr>
          <w:rFonts w:ascii="Arial" w:cs="Arial" w:eastAsia="Arial" w:hAnsi="Arial"/>
          <w:sz w:val="20"/>
          <w:szCs w:val="20"/>
          <w:color w:val="auto"/>
        </w:rPr>
        <w:t>The portfolio is built on predictable income from high-quality, long-term tenants. Office assets, including Center 53, drive this performance with strong occupancy and institutional tenants such as R1 RCM, Beyond, Henkel, Arizona College of Nursing, and Code Corporation.</w:t>
      </w:r>
    </w:p>
    <w:p>
      <w:pPr>
        <w:spacing w:after="0" w:line="200" w:lineRule="exact"/>
        <w:rPr>
          <w:sz w:val="20"/>
          <w:szCs w:val="20"/>
          <w:color w:val="auto"/>
        </w:rPr>
      </w:pPr>
    </w:p>
    <w:p>
      <w:pPr>
        <w:spacing w:after="0" w:line="371" w:lineRule="exact"/>
        <w:rPr>
          <w:sz w:val="20"/>
          <w:szCs w:val="20"/>
          <w:color w:val="auto"/>
        </w:rPr>
      </w:pPr>
    </w:p>
    <w:p>
      <w:pPr>
        <w:jc w:val="both"/>
        <w:ind w:left="1440"/>
        <w:spacing w:after="0" w:line="287" w:lineRule="auto"/>
        <w:rPr>
          <w:sz w:val="20"/>
          <w:szCs w:val="20"/>
          <w:color w:val="auto"/>
        </w:rPr>
      </w:pPr>
      <w:r>
        <w:rPr>
          <w:rFonts w:ascii="Arial" w:cs="Arial" w:eastAsia="Arial" w:hAnsi="Arial"/>
          <w:sz w:val="20"/>
          <w:szCs w:val="20"/>
          <w:color w:val="auto"/>
        </w:rPr>
        <w:t>Other assets include a Cabela’s building in Farmington, Utah, backed by a 25-year triple-net lease with minimal landlord expense. Across the portfolio, long-term leases and annual rent increases provide consistent cash flow with built-in growth.</w:t>
      </w:r>
    </w:p>
    <w:p>
      <w:pPr>
        <w:sectPr>
          <w:pgSz w:w="12240" w:h="15840" w:orient="portrait"/>
          <w:cols w:equalWidth="0" w:num="2">
            <w:col w:w="3800" w:space="720"/>
            <w:col w:w="6840"/>
          </w:cols>
          <w:pgMar w:left="420" w:top="287" w:right="460" w:bottom="84" w:gutter="0" w:footer="0" w:header="0"/>
        </w:sectPr>
      </w:pPr>
    </w:p>
    <w:bookmarkStart w:id="17" w:name="page18"/>
    <w:bookmarkEnd w:id="17"/>
    <w:p>
      <w:pPr>
        <w:jc w:val="center"/>
        <w:ind w:right="780"/>
        <w:spacing w:after="0"/>
        <w:rPr>
          <w:sz w:val="20"/>
          <w:szCs w:val="20"/>
          <w:color w:val="auto"/>
        </w:rPr>
      </w:pPr>
      <w:r>
        <w:rPr>
          <w:rFonts w:ascii="Times New Roman" w:cs="Times New Roman" w:eastAsia="Times New Roman" w:hAnsi="Times New Roman"/>
          <w:sz w:val="52"/>
          <w:szCs w:val="52"/>
          <w:color w:val="FFFFFF"/>
        </w:rPr>
        <w:t>Our Investment</w:t>
      </w:r>
    </w:p>
    <w:p>
      <w:pPr>
        <w:jc w:val="center"/>
        <w:ind w:right="780"/>
        <w:spacing w:after="0"/>
        <w:rPr>
          <w:sz w:val="20"/>
          <w:szCs w:val="20"/>
          <w:color w:val="auto"/>
        </w:rPr>
      </w:pPr>
      <w:r>
        <w:rPr>
          <w:rFonts w:ascii="Times New Roman" w:cs="Times New Roman" w:eastAsia="Times New Roman" w:hAnsi="Times New Roman"/>
          <w:sz w:val="52"/>
          <w:szCs w:val="52"/>
          <w:color w:val="FFFFFF"/>
        </w:rPr>
        <w:t>Strategy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8"/>
          <w:szCs w:val="28"/>
          <w:color w:val="FFFFFF"/>
        </w:rPr>
        <w:t>Inflation Hedge</w:t>
      </w:r>
    </w:p>
    <w:p>
      <w:pPr>
        <w:spacing w:after="0" w:line="56" w:lineRule="exact"/>
        <w:rPr>
          <w:sz w:val="20"/>
          <w:szCs w:val="20"/>
          <w:color w:val="auto"/>
        </w:rPr>
      </w:pPr>
    </w:p>
    <w:p>
      <w:pPr>
        <w:ind w:left="440" w:right="660"/>
        <w:spacing w:after="0" w:line="241" w:lineRule="auto"/>
        <w:rPr>
          <w:sz w:val="20"/>
          <w:szCs w:val="20"/>
          <w:color w:val="auto"/>
        </w:rPr>
      </w:pPr>
      <w:r>
        <w:rPr>
          <w:rFonts w:ascii="Arial" w:cs="Arial" w:eastAsia="Arial" w:hAnsi="Arial"/>
          <w:sz w:val="22"/>
          <w:szCs w:val="22"/>
          <w:color w:val="FFFFFF"/>
        </w:rPr>
        <w:t>Annual rent escalators built into every lease. Fixed-rate debt preserves leverage efficiency as rents rise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8"/>
          <w:szCs w:val="28"/>
          <w:color w:val="FFFFFF"/>
        </w:rPr>
        <w:t>Credit Tenants</w:t>
      </w:r>
    </w:p>
    <w:p>
      <w:pPr>
        <w:spacing w:after="0" w:line="56" w:lineRule="exact"/>
        <w:rPr>
          <w:sz w:val="20"/>
          <w:szCs w:val="20"/>
          <w:color w:val="auto"/>
        </w:rPr>
      </w:pPr>
    </w:p>
    <w:p>
      <w:pPr>
        <w:ind w:left="440" w:right="60"/>
        <w:spacing w:after="0" w:line="241" w:lineRule="auto"/>
        <w:rPr>
          <w:sz w:val="20"/>
          <w:szCs w:val="20"/>
          <w:color w:val="auto"/>
        </w:rPr>
      </w:pPr>
      <w:r>
        <w:rPr>
          <w:rFonts w:ascii="Arial" w:cs="Arial" w:eastAsia="Arial" w:hAnsi="Arial"/>
          <w:sz w:val="22"/>
          <w:szCs w:val="22"/>
          <w:color w:val="FFFFFF"/>
        </w:rPr>
        <w:t>Long-term leases with national credit tenants. Cabela's: 25-yr NNN. R1 RCM, Beyond, Henkle, Arizona College of Nursing, and Code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The portfolio is positioned to manage risk through conservative leverage and strong asset backing. It maintains a 59.3% loan-to-value ratio, supported by approximately $164 million in assets, providing solid downside protection while preserving flexibility.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-4012565</wp:posOffset>
            </wp:positionH>
            <wp:positionV relativeFrom="paragraph">
              <wp:posOffset>-3102610</wp:posOffset>
            </wp:positionV>
            <wp:extent cx="7772400" cy="76809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72400" cy="7680960"/>
                    </a:xfrm>
                    <a:prstGeom prst="rect">
                      <a:avLst/>
                    </a:prstGeom>
                    <a:noFill/>
                  </pic:spPr>
                </pic:pic>
              </a:graphicData>
            </a:graphic>
          </wp:anchor>
        </w:drawing>
      </w:r>
    </w:p>
    <w:p>
      <w:pPr>
        <w:spacing w:after="0" w:line="28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Overall, the combination of high-quality tenants, long-term leases, built-in rent growth, and disciplined leverage makes the portfolio a stable and reliable contributor to shareholder value.</w:t>
      </w:r>
    </w:p>
    <w:p>
      <w:pPr>
        <w:spacing w:after="0" w:line="200" w:lineRule="exact"/>
        <w:rPr>
          <w:sz w:val="20"/>
          <w:szCs w:val="20"/>
          <w:color w:val="auto"/>
        </w:rPr>
      </w:pPr>
    </w:p>
    <w:p>
      <w:pPr>
        <w:sectPr>
          <w:pgSz w:w="12240" w:h="15840" w:orient="portrait"/>
          <w:cols w:equalWidth="0" w:num="2">
            <w:col w:w="4620" w:space="720"/>
            <w:col w:w="5200"/>
          </w:cols>
          <w:pgMar w:left="980" w:top="539" w:right="720" w:bottom="695" w:gutter="0" w:footer="0" w:header="0"/>
        </w:sectPr>
      </w:pPr>
    </w:p>
    <w:p>
      <w:pPr>
        <w:spacing w:after="0" w:line="200" w:lineRule="exact"/>
        <w:rPr>
          <w:sz w:val="20"/>
          <w:szCs w:val="20"/>
          <w:color w:val="auto"/>
        </w:rPr>
      </w:pP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8"/>
          <w:szCs w:val="28"/>
          <w:color w:val="FFFFFF"/>
        </w:rPr>
        <w:t>Leverage Strategy</w:t>
      </w:r>
    </w:p>
    <w:p>
      <w:pPr>
        <w:spacing w:after="0" w:line="56" w:lineRule="exact"/>
        <w:rPr>
          <w:sz w:val="20"/>
          <w:szCs w:val="20"/>
          <w:color w:val="auto"/>
        </w:rPr>
      </w:pPr>
    </w:p>
    <w:p>
      <w:pPr>
        <w:ind w:left="440" w:right="6100"/>
        <w:spacing w:after="0" w:line="241" w:lineRule="auto"/>
        <w:rPr>
          <w:sz w:val="20"/>
          <w:szCs w:val="20"/>
          <w:color w:val="auto"/>
        </w:rPr>
      </w:pPr>
      <w:r>
        <w:rPr>
          <w:rFonts w:ascii="Arial" w:cs="Arial" w:eastAsia="Arial" w:hAnsi="Arial"/>
          <w:sz w:val="22"/>
          <w:szCs w:val="22"/>
          <w:color w:val="FFFFFF"/>
        </w:rPr>
        <w:t>59.3% LTV on $159M asset base amplifies equity returns on $45.1M invested capital — a structural advantage in commercial real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8"/>
          <w:szCs w:val="28"/>
          <w:color w:val="FFFFFF"/>
        </w:rPr>
        <w:t>Wasatch Front Position</w:t>
      </w:r>
    </w:p>
    <w:p>
      <w:pPr>
        <w:spacing w:after="0" w:line="56" w:lineRule="exact"/>
        <w:rPr>
          <w:sz w:val="20"/>
          <w:szCs w:val="20"/>
          <w:color w:val="auto"/>
        </w:rPr>
      </w:pPr>
    </w:p>
    <w:p>
      <w:pPr>
        <w:ind w:left="440" w:right="6120"/>
        <w:spacing w:after="0" w:line="241" w:lineRule="auto"/>
        <w:rPr>
          <w:sz w:val="20"/>
          <w:szCs w:val="20"/>
          <w:color w:val="auto"/>
        </w:rPr>
      </w:pPr>
      <w:r>
        <w:rPr>
          <w:rFonts w:ascii="Arial" w:cs="Arial" w:eastAsia="Arial" w:hAnsi="Arial"/>
          <w:sz w:val="22"/>
          <w:szCs w:val="22"/>
          <w:color w:val="FFFFFF"/>
        </w:rPr>
        <w:t>20-acre Center 53 campus in central Salt Lake Valley — 30 min from anywhere along the Wasatch Front, with 1M SF development potential.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52"/>
          <w:szCs w:val="52"/>
          <w:b w:val="1"/>
          <w:bCs w:val="1"/>
          <w:color w:val="000750"/>
        </w:rPr>
        <w:t>2025 Results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406"/>
        </w:trPr>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16"/>
                <w:szCs w:val="116"/>
                <w:b w:val="1"/>
                <w:bCs w:val="1"/>
                <w:color w:val="000750"/>
                <w:vertAlign w:val="superscript"/>
              </w:rPr>
              <w:t>$</w:t>
            </w:r>
            <w:r>
              <w:rPr>
                <w:rFonts w:ascii="Times New Roman" w:cs="Times New Roman" w:eastAsia="Times New Roman" w:hAnsi="Times New Roman"/>
                <w:sz w:val="100"/>
                <w:szCs w:val="100"/>
                <w:b w:val="1"/>
                <w:bCs w:val="1"/>
                <w:color w:val="000750"/>
              </w:rPr>
              <w:t xml:space="preserve">15.2 </w:t>
            </w:r>
            <w:r>
              <w:rPr>
                <w:rFonts w:ascii="Times New Roman" w:cs="Times New Roman" w:eastAsia="Times New Roman" w:hAnsi="Times New Roman"/>
                <w:sz w:val="66"/>
                <w:szCs w:val="66"/>
                <w:b w:val="1"/>
                <w:bCs w:val="1"/>
                <w:color w:val="000750"/>
              </w:rPr>
              <w:t>M</w:t>
            </w:r>
          </w:p>
        </w:tc>
        <w:tc>
          <w:tcPr>
            <w:tcW w:w="20" w:type="dxa"/>
            <w:vAlign w:val="bottom"/>
          </w:tcPr>
          <w:p>
            <w:pPr>
              <w:spacing w:after="0"/>
              <w:rPr>
                <w:sz w:val="24"/>
                <w:szCs w:val="24"/>
                <w:color w:val="auto"/>
              </w:rPr>
            </w:pPr>
          </w:p>
        </w:tc>
        <w:tc>
          <w:tcPr>
            <w:tcW w:w="3620" w:type="dxa"/>
            <w:vAlign w:val="bottom"/>
            <w:vMerge w:val="restart"/>
          </w:tcPr>
          <w:p>
            <w:pPr>
              <w:ind w:left="360"/>
              <w:spacing w:after="0"/>
              <w:rPr>
                <w:sz w:val="20"/>
                <w:szCs w:val="20"/>
                <w:color w:val="auto"/>
              </w:rPr>
            </w:pPr>
            <w:r>
              <w:rPr>
                <w:rFonts w:ascii="Times New Roman" w:cs="Times New Roman" w:eastAsia="Times New Roman" w:hAnsi="Times New Roman"/>
                <w:sz w:val="116"/>
                <w:szCs w:val="116"/>
                <w:b w:val="1"/>
                <w:bCs w:val="1"/>
                <w:color w:val="000750"/>
                <w:vertAlign w:val="superscript"/>
              </w:rPr>
              <w:t>$</w:t>
            </w:r>
            <w:r>
              <w:rPr>
                <w:rFonts w:ascii="Times New Roman" w:cs="Times New Roman" w:eastAsia="Times New Roman" w:hAnsi="Times New Roman"/>
                <w:sz w:val="100"/>
                <w:szCs w:val="100"/>
                <w:b w:val="1"/>
                <w:bCs w:val="1"/>
                <w:color w:val="000750"/>
              </w:rPr>
              <w:t xml:space="preserve">11.9 </w:t>
            </w:r>
            <w:r>
              <w:rPr>
                <w:rFonts w:ascii="Times New Roman" w:cs="Times New Roman" w:eastAsia="Times New Roman" w:hAnsi="Times New Roman"/>
                <w:sz w:val="66"/>
                <w:szCs w:val="66"/>
                <w:b w:val="1"/>
                <w:bCs w:val="1"/>
                <w:color w:val="000750"/>
              </w:rPr>
              <w:t>M</w:t>
            </w:r>
          </w:p>
        </w:tc>
        <w:tc>
          <w:tcPr>
            <w:tcW w:w="20" w:type="dxa"/>
            <w:vAlign w:val="bottom"/>
          </w:tcPr>
          <w:p>
            <w:pPr>
              <w:spacing w:after="0"/>
              <w:rPr>
                <w:sz w:val="24"/>
                <w:szCs w:val="24"/>
                <w:color w:val="auto"/>
              </w:rPr>
            </w:pPr>
          </w:p>
        </w:tc>
        <w:tc>
          <w:tcPr>
            <w:tcW w:w="3020" w:type="dxa"/>
            <w:vAlign w:val="bottom"/>
            <w:vMerge w:val="restart"/>
          </w:tcPr>
          <w:p>
            <w:pPr>
              <w:jc w:val="center"/>
              <w:ind w:left="250"/>
              <w:spacing w:after="0"/>
              <w:rPr>
                <w:sz w:val="20"/>
                <w:szCs w:val="20"/>
                <w:color w:val="auto"/>
              </w:rPr>
            </w:pPr>
            <w:r>
              <w:rPr>
                <w:rFonts w:ascii="Times New Roman" w:cs="Times New Roman" w:eastAsia="Times New Roman" w:hAnsi="Times New Roman"/>
                <w:sz w:val="116"/>
                <w:szCs w:val="116"/>
                <w:b w:val="1"/>
                <w:bCs w:val="1"/>
                <w:color w:val="000750"/>
                <w:w w:val="97"/>
                <w:vertAlign w:val="superscript"/>
              </w:rPr>
              <w:t>$</w:t>
            </w:r>
            <w:r>
              <w:rPr>
                <w:rFonts w:ascii="Times New Roman" w:cs="Times New Roman" w:eastAsia="Times New Roman" w:hAnsi="Times New Roman"/>
                <w:sz w:val="100"/>
                <w:szCs w:val="100"/>
                <w:b w:val="1"/>
                <w:bCs w:val="1"/>
                <w:color w:val="000750"/>
                <w:w w:val="97"/>
              </w:rPr>
              <w:t xml:space="preserve">7.7 </w:t>
            </w:r>
            <w:r>
              <w:rPr>
                <w:rFonts w:ascii="Times New Roman" w:cs="Times New Roman" w:eastAsia="Times New Roman" w:hAnsi="Times New Roman"/>
                <w:sz w:val="66"/>
                <w:szCs w:val="66"/>
                <w:b w:val="1"/>
                <w:bCs w:val="1"/>
                <w:color w:val="000750"/>
                <w:w w:val="97"/>
              </w:rPr>
              <w:t>M</w:t>
            </w:r>
          </w:p>
        </w:tc>
        <w:tc>
          <w:tcPr>
            <w:tcW w:w="0" w:type="dxa"/>
            <w:vAlign w:val="bottom"/>
          </w:tcPr>
          <w:p>
            <w:pPr>
              <w:spacing w:after="0"/>
              <w:rPr>
                <w:sz w:val="1"/>
                <w:szCs w:val="1"/>
                <w:color w:val="auto"/>
              </w:rPr>
            </w:pPr>
          </w:p>
        </w:tc>
      </w:tr>
      <w:tr>
        <w:trPr>
          <w:trHeight w:val="928"/>
        </w:trPr>
        <w:tc>
          <w:tcPr>
            <w:tcW w:w="3320" w:type="dxa"/>
            <w:vAlign w:val="bottom"/>
            <w:vMerge w:val="continue"/>
          </w:tcPr>
          <w:p>
            <w:pPr>
              <w:spacing w:after="0"/>
              <w:rPr>
                <w:sz w:val="24"/>
                <w:szCs w:val="24"/>
                <w:color w:val="auto"/>
              </w:rPr>
            </w:pPr>
          </w:p>
        </w:tc>
        <w:tc>
          <w:tcPr>
            <w:tcW w:w="20" w:type="dxa"/>
            <w:vAlign w:val="bottom"/>
            <w:shd w:val="clear" w:color="auto" w:fill="000750"/>
          </w:tcPr>
          <w:p>
            <w:pPr>
              <w:spacing w:after="0"/>
              <w:rPr>
                <w:sz w:val="24"/>
                <w:szCs w:val="24"/>
                <w:color w:val="auto"/>
              </w:rPr>
            </w:pPr>
          </w:p>
        </w:tc>
        <w:tc>
          <w:tcPr>
            <w:tcW w:w="3620" w:type="dxa"/>
            <w:vAlign w:val="bottom"/>
            <w:vMerge w:val="continue"/>
          </w:tcPr>
          <w:p>
            <w:pPr>
              <w:spacing w:after="0"/>
              <w:rPr>
                <w:sz w:val="24"/>
                <w:szCs w:val="24"/>
                <w:color w:val="auto"/>
              </w:rPr>
            </w:pPr>
          </w:p>
        </w:tc>
        <w:tc>
          <w:tcPr>
            <w:tcW w:w="20" w:type="dxa"/>
            <w:vAlign w:val="bottom"/>
            <w:shd w:val="clear" w:color="auto" w:fill="000750"/>
          </w:tcPr>
          <w:p>
            <w:pPr>
              <w:spacing w:after="0"/>
              <w:rPr>
                <w:sz w:val="24"/>
                <w:szCs w:val="24"/>
                <w:color w:val="auto"/>
              </w:rPr>
            </w:pPr>
          </w:p>
        </w:tc>
        <w:tc>
          <w:tcPr>
            <w:tcW w:w="30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320" w:type="dxa"/>
            <w:vAlign w:val="bottom"/>
          </w:tcPr>
          <w:p>
            <w:pPr>
              <w:jc w:val="center"/>
              <w:spacing w:after="0"/>
              <w:rPr>
                <w:sz w:val="20"/>
                <w:szCs w:val="20"/>
                <w:color w:val="auto"/>
              </w:rPr>
            </w:pPr>
            <w:r>
              <w:rPr>
                <w:rFonts w:ascii="Times New Roman" w:cs="Times New Roman" w:eastAsia="Times New Roman" w:hAnsi="Times New Roman"/>
                <w:sz w:val="24"/>
                <w:szCs w:val="24"/>
                <w:b w:val="1"/>
                <w:bCs w:val="1"/>
                <w:color w:val="000750"/>
              </w:rPr>
              <w:t>Gross Revenue</w:t>
            </w:r>
          </w:p>
        </w:tc>
        <w:tc>
          <w:tcPr>
            <w:tcW w:w="20" w:type="dxa"/>
            <w:vAlign w:val="bottom"/>
            <w:shd w:val="clear" w:color="auto" w:fill="000750"/>
          </w:tcPr>
          <w:p>
            <w:pPr>
              <w:spacing w:after="0"/>
              <w:rPr>
                <w:sz w:val="24"/>
                <w:szCs w:val="24"/>
                <w:color w:val="auto"/>
              </w:rPr>
            </w:pPr>
          </w:p>
        </w:tc>
        <w:tc>
          <w:tcPr>
            <w:tcW w:w="3620" w:type="dxa"/>
            <w:vAlign w:val="bottom"/>
          </w:tcPr>
          <w:p>
            <w:pPr>
              <w:ind w:left="440"/>
              <w:spacing w:after="0"/>
              <w:rPr>
                <w:sz w:val="20"/>
                <w:szCs w:val="20"/>
                <w:color w:val="auto"/>
              </w:rPr>
            </w:pPr>
            <w:r>
              <w:rPr>
                <w:rFonts w:ascii="Times New Roman" w:cs="Times New Roman" w:eastAsia="Times New Roman" w:hAnsi="Times New Roman"/>
                <w:sz w:val="24"/>
                <w:szCs w:val="24"/>
                <w:b w:val="1"/>
                <w:bCs w:val="1"/>
                <w:color w:val="000750"/>
              </w:rPr>
              <w:t>Operating Income (NOI)</w:t>
            </w:r>
          </w:p>
        </w:tc>
        <w:tc>
          <w:tcPr>
            <w:tcW w:w="20" w:type="dxa"/>
            <w:vAlign w:val="bottom"/>
            <w:shd w:val="clear" w:color="auto" w:fill="000750"/>
          </w:tcPr>
          <w:p>
            <w:pPr>
              <w:spacing w:after="0"/>
              <w:rPr>
                <w:sz w:val="24"/>
                <w:szCs w:val="24"/>
                <w:color w:val="auto"/>
              </w:rPr>
            </w:pPr>
          </w:p>
        </w:tc>
        <w:tc>
          <w:tcPr>
            <w:tcW w:w="3020" w:type="dxa"/>
            <w:vAlign w:val="bottom"/>
          </w:tcPr>
          <w:p>
            <w:pPr>
              <w:jc w:val="center"/>
              <w:ind w:left="250"/>
              <w:spacing w:after="0"/>
              <w:rPr>
                <w:sz w:val="20"/>
                <w:szCs w:val="20"/>
                <w:color w:val="auto"/>
              </w:rPr>
            </w:pPr>
            <w:r>
              <w:rPr>
                <w:rFonts w:ascii="Times New Roman" w:cs="Times New Roman" w:eastAsia="Times New Roman" w:hAnsi="Times New Roman"/>
                <w:sz w:val="24"/>
                <w:szCs w:val="24"/>
                <w:b w:val="1"/>
                <w:bCs w:val="1"/>
                <w:color w:val="000750"/>
              </w:rPr>
              <w:t>NOI After Interest</w:t>
            </w:r>
          </w:p>
        </w:tc>
        <w:tc>
          <w:tcPr>
            <w:tcW w:w="0" w:type="dxa"/>
            <w:vAlign w:val="bottom"/>
          </w:tcPr>
          <w:p>
            <w:pPr>
              <w:spacing w:after="0"/>
              <w:rPr>
                <w:sz w:val="1"/>
                <w:szCs w:val="1"/>
                <w:color w:val="auto"/>
              </w:rPr>
            </w:pPr>
          </w:p>
        </w:tc>
      </w:tr>
      <w:tr>
        <w:trPr>
          <w:trHeight w:val="220"/>
        </w:trPr>
        <w:tc>
          <w:tcPr>
            <w:tcW w:w="3320" w:type="dxa"/>
            <w:vAlign w:val="bottom"/>
          </w:tcPr>
          <w:p>
            <w:pPr>
              <w:spacing w:after="0"/>
              <w:rPr>
                <w:sz w:val="19"/>
                <w:szCs w:val="19"/>
                <w:color w:val="auto"/>
              </w:rPr>
            </w:pPr>
          </w:p>
        </w:tc>
        <w:tc>
          <w:tcPr>
            <w:tcW w:w="20" w:type="dxa"/>
            <w:vAlign w:val="bottom"/>
            <w:shd w:val="clear" w:color="auto" w:fill="000750"/>
          </w:tcPr>
          <w:p>
            <w:pPr>
              <w:spacing w:after="0"/>
              <w:rPr>
                <w:sz w:val="19"/>
                <w:szCs w:val="19"/>
                <w:color w:val="auto"/>
              </w:rPr>
            </w:pPr>
          </w:p>
        </w:tc>
        <w:tc>
          <w:tcPr>
            <w:tcW w:w="3620" w:type="dxa"/>
            <w:vAlign w:val="bottom"/>
          </w:tcPr>
          <w:p>
            <w:pPr>
              <w:spacing w:after="0"/>
              <w:rPr>
                <w:sz w:val="19"/>
                <w:szCs w:val="19"/>
                <w:color w:val="auto"/>
              </w:rPr>
            </w:pPr>
          </w:p>
        </w:tc>
        <w:tc>
          <w:tcPr>
            <w:tcW w:w="20" w:type="dxa"/>
            <w:vAlign w:val="bottom"/>
            <w:shd w:val="clear" w:color="auto" w:fill="000750"/>
          </w:tcPr>
          <w:p>
            <w:pPr>
              <w:spacing w:after="0"/>
              <w:rPr>
                <w:sz w:val="19"/>
                <w:szCs w:val="19"/>
                <w:color w:val="auto"/>
              </w:rPr>
            </w:pPr>
          </w:p>
        </w:tc>
        <w:tc>
          <w:tcPr>
            <w:tcW w:w="3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2240" w:h="15840" w:orient="portrait"/>
          <w:cols w:equalWidth="0" w:num="1">
            <w:col w:w="10540"/>
          </w:cols>
          <w:pgMar w:left="980" w:top="539" w:right="720" w:bottom="695"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1468120</wp:posOffset>
            </wp:positionH>
            <wp:positionV relativeFrom="page">
              <wp:posOffset>430530</wp:posOffset>
            </wp:positionV>
            <wp:extent cx="4835525" cy="7600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835525" cy="76009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color w:val="000750"/>
        </w:rPr>
        <w:t>Our passion is commercial and residential real estate finance.</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0"/>
          <w:szCs w:val="30"/>
          <w:color w:val="000750"/>
        </w:rPr>
        <w:t>We are your commercial and residential loan source.</w:t>
      </w:r>
    </w:p>
    <w:p>
      <w:pPr>
        <w:sectPr>
          <w:pgSz w:w="12240" w:h="15840" w:orient="portrait"/>
          <w:cols w:equalWidth="0" w:num="1">
            <w:col w:w="10920"/>
          </w:cols>
          <w:pgMar w:left="660" w:top="1440" w:right="660" w:bottom="0" w:gutter="0" w:footer="0" w:header="0"/>
        </w:sectPr>
      </w:pPr>
    </w:p>
    <w:p>
      <w:pPr>
        <w:spacing w:after="0" w:line="359" w:lineRule="exact"/>
        <w:rPr>
          <w:sz w:val="20"/>
          <w:szCs w:val="20"/>
          <w:color w:val="auto"/>
        </w:rPr>
      </w:pPr>
    </w:p>
    <w:p>
      <w:pPr>
        <w:jc w:val="both"/>
        <w:ind w:left="40" w:firstLine="21"/>
        <w:spacing w:after="0" w:line="269" w:lineRule="auto"/>
        <w:rPr>
          <w:sz w:val="20"/>
          <w:szCs w:val="20"/>
          <w:color w:val="auto"/>
        </w:rPr>
      </w:pPr>
      <w:r>
        <w:rPr>
          <w:rFonts w:ascii="Arial" w:cs="Arial" w:eastAsia="Arial" w:hAnsi="Arial"/>
          <w:sz w:val="20"/>
          <w:szCs w:val="20"/>
          <w:color w:val="auto"/>
        </w:rPr>
        <w:t>Security National Commercial Capital (SNCC) deploys capital across real estate credit and development to generate attractive, risk-adjusted returns. Our commercial lending platform includes interim and bridge loans, as well as SBA 504 second-lien financing, providing fast, flexible capital until properties qualify for conventional long-term debt. These loans support the acquisition, refinance, and transfer of ownership of residential and commercial real estate across both investor-owned and owner-occupied assets.</w:t>
      </w:r>
    </w:p>
    <w:p>
      <w:pPr>
        <w:spacing w:after="0" w:line="200" w:lineRule="exact"/>
        <w:rPr>
          <w:sz w:val="20"/>
          <w:szCs w:val="20"/>
          <w:color w:val="auto"/>
        </w:rPr>
      </w:pPr>
    </w:p>
    <w:p>
      <w:pPr>
        <w:spacing w:after="0" w:line="342" w:lineRule="exact"/>
        <w:rPr>
          <w:sz w:val="20"/>
          <w:szCs w:val="20"/>
          <w:color w:val="auto"/>
        </w:rPr>
      </w:pPr>
    </w:p>
    <w:p>
      <w:pPr>
        <w:jc w:val="both"/>
        <w:ind w:left="60" w:right="60" w:hanging="8"/>
        <w:spacing w:after="0" w:line="267" w:lineRule="auto"/>
        <w:rPr>
          <w:sz w:val="20"/>
          <w:szCs w:val="20"/>
          <w:color w:val="auto"/>
        </w:rPr>
      </w:pPr>
      <w:r>
        <w:rPr>
          <w:rFonts w:ascii="Arial" w:cs="Arial" w:eastAsia="Arial" w:hAnsi="Arial"/>
          <w:sz w:val="20"/>
          <w:szCs w:val="20"/>
          <w:color w:val="auto"/>
        </w:rPr>
        <w:t>We also finance home builders through construction lending, along with land acquisition and development financing, in coordination with SecurityNational Mortgage. This integrated approach allows us to participate across multiple stages of the real estate lifecycle while maintaining disciplined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130810</wp:posOffset>
            </wp:positionV>
            <wp:extent cx="6858000" cy="20840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00" cy="20840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jc w:val="both"/>
        <w:ind w:hanging="20"/>
        <w:spacing w:after="0" w:line="268" w:lineRule="auto"/>
        <w:rPr>
          <w:sz w:val="20"/>
          <w:szCs w:val="20"/>
          <w:color w:val="auto"/>
        </w:rPr>
      </w:pPr>
      <w:r>
        <w:rPr>
          <w:rFonts w:ascii="Arial" w:cs="Arial" w:eastAsia="Arial" w:hAnsi="Arial"/>
          <w:sz w:val="20"/>
          <w:szCs w:val="20"/>
          <w:color w:val="auto"/>
        </w:rPr>
        <w:t>A core component of our strategy is building long-term relationships with high-quality builders and developers, enabling repeat business across projects and market cycles. In select cases, we deepen these relationships through structured partnerships that allow us to participate directly in project-level profits, further aligning returns with performance.</w:t>
      </w:r>
    </w:p>
    <w:p>
      <w:pPr>
        <w:spacing w:after="0" w:line="282" w:lineRule="exact"/>
        <w:rPr>
          <w:sz w:val="20"/>
          <w:szCs w:val="20"/>
          <w:color w:val="auto"/>
        </w:rPr>
      </w:pPr>
    </w:p>
    <w:p>
      <w:pPr>
        <w:jc w:val="both"/>
        <w:ind w:right="20" w:firstLine="3"/>
        <w:spacing w:after="0" w:line="269" w:lineRule="auto"/>
        <w:rPr>
          <w:sz w:val="20"/>
          <w:szCs w:val="20"/>
          <w:color w:val="auto"/>
        </w:rPr>
      </w:pPr>
      <w:r>
        <w:rPr>
          <w:rFonts w:ascii="Arial" w:cs="Arial" w:eastAsia="Arial" w:hAnsi="Arial"/>
          <w:sz w:val="20"/>
          <w:szCs w:val="20"/>
          <w:color w:val="auto"/>
        </w:rPr>
        <w:t>In addition, SNCC has placed a strategic emphasis on growing its SBA 504 second lien lending activity. By participating as the interim/bridge lender behind SBA 504 first mortgage financing, SNCC is able to serve owner/occupied borrowers seeking long-term, fixed rate. SBA financing while providing the speed and flexibility that conventional SBA timelines often cannot accommodate.</w:t>
      </w:r>
    </w:p>
    <w:p>
      <w:pPr>
        <w:spacing w:after="0" w:line="970" w:lineRule="exact"/>
        <w:rPr>
          <w:sz w:val="20"/>
          <w:szCs w:val="20"/>
          <w:color w:val="auto"/>
        </w:rPr>
      </w:pPr>
    </w:p>
    <w:p>
      <w:pPr>
        <w:sectPr>
          <w:pgSz w:w="12240" w:h="15840" w:orient="portrait"/>
          <w:cols w:equalWidth="0" w:num="2">
            <w:col w:w="5320" w:space="340"/>
            <w:col w:w="5260"/>
          </w:cols>
          <w:pgMar w:left="660" w:top="1440" w:right="660" w:bottom="0" w:gutter="0" w:footer="0" w:header="0"/>
          <w:type w:val="continuous"/>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2"/>
          <w:szCs w:val="42"/>
          <w:color w:val="FFFFFF"/>
        </w:rPr>
        <w:t>Our Competitive Differentiation</w:t>
      </w:r>
    </w:p>
    <w:p>
      <w:pPr>
        <w:sectPr>
          <w:pgSz w:w="12240" w:h="15840" w:orient="portrait"/>
          <w:cols w:equalWidth="0" w:num="1">
            <w:col w:w="10920"/>
          </w:cols>
          <w:pgMar w:left="660" w:top="1440" w:right="660" w:bottom="0" w:gutter="0" w:footer="0" w:header="0"/>
          <w:type w:val="continuous"/>
        </w:sectPr>
      </w:pPr>
    </w:p>
    <w:p>
      <w:pPr>
        <w:spacing w:after="0" w:line="293"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4"/>
          <w:szCs w:val="24"/>
          <w:color w:val="FFFFFF"/>
        </w:rPr>
        <w:t>Speed to Close</w:t>
      </w:r>
    </w:p>
    <w:p>
      <w:pPr>
        <w:spacing w:after="0" w:line="33" w:lineRule="exact"/>
        <w:rPr>
          <w:sz w:val="20"/>
          <w:szCs w:val="20"/>
          <w:color w:val="auto"/>
        </w:rPr>
      </w:pPr>
    </w:p>
    <w:p>
      <w:pPr>
        <w:jc w:val="both"/>
        <w:ind w:left="1200" w:right="260"/>
        <w:spacing w:after="0" w:line="228" w:lineRule="auto"/>
        <w:rPr>
          <w:sz w:val="20"/>
          <w:szCs w:val="20"/>
          <w:color w:val="auto"/>
        </w:rPr>
      </w:pPr>
      <w:r>
        <w:rPr>
          <w:rFonts w:ascii="Arial" w:cs="Arial" w:eastAsia="Arial" w:hAnsi="Arial"/>
          <w:sz w:val="18"/>
          <w:szCs w:val="18"/>
          <w:color w:val="FFFFFF"/>
        </w:rPr>
        <w:t>Fast, flexible closings. A key advantage over bank and CMBS timelines.</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Loan Size Focus</w:t>
      </w:r>
    </w:p>
    <w:p>
      <w:pPr>
        <w:spacing w:after="0" w:line="33" w:lineRule="exact"/>
        <w:rPr>
          <w:sz w:val="20"/>
          <w:szCs w:val="20"/>
          <w:color w:val="auto"/>
        </w:rPr>
      </w:pPr>
    </w:p>
    <w:p>
      <w:pPr>
        <w:ind w:right="440"/>
        <w:spacing w:after="0" w:line="228" w:lineRule="auto"/>
        <w:rPr>
          <w:sz w:val="20"/>
          <w:szCs w:val="20"/>
          <w:color w:val="auto"/>
        </w:rPr>
      </w:pPr>
      <w:r>
        <w:rPr>
          <w:rFonts w:ascii="Arial" w:cs="Arial" w:eastAsia="Arial" w:hAnsi="Arial"/>
          <w:sz w:val="18"/>
          <w:szCs w:val="18"/>
          <w:color w:val="FFFFFF"/>
        </w:rPr>
        <w:t>$1M-$4.5M loans fill the gap between community banks and the CMBS floor.</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FFFFFF"/>
        </w:rPr>
        <w:t>SBA Specialization</w:t>
      </w:r>
    </w:p>
    <w:p>
      <w:pPr>
        <w:spacing w:after="0" w:line="33" w:lineRule="exact"/>
        <w:rPr>
          <w:sz w:val="20"/>
          <w:szCs w:val="20"/>
          <w:color w:val="auto"/>
        </w:rPr>
      </w:pPr>
    </w:p>
    <w:p>
      <w:pPr>
        <w:ind w:right="580"/>
        <w:spacing w:after="0" w:line="228" w:lineRule="auto"/>
        <w:rPr>
          <w:sz w:val="20"/>
          <w:szCs w:val="20"/>
          <w:color w:val="auto"/>
        </w:rPr>
      </w:pPr>
      <w:r>
        <w:rPr>
          <w:rFonts w:ascii="Arial" w:cs="Arial" w:eastAsia="Arial" w:hAnsi="Arial"/>
          <w:sz w:val="18"/>
          <w:szCs w:val="18"/>
          <w:color w:val="FFFFFF"/>
        </w:rPr>
        <w:t>1st and 2nd Lien SBA 504 interim — specialized niche product.</w:t>
      </w:r>
    </w:p>
    <w:p>
      <w:pPr>
        <w:spacing w:after="0" w:line="215" w:lineRule="exact"/>
        <w:rPr>
          <w:sz w:val="20"/>
          <w:szCs w:val="20"/>
          <w:color w:val="auto"/>
        </w:rPr>
      </w:pPr>
    </w:p>
    <w:p>
      <w:pPr>
        <w:sectPr>
          <w:pgSz w:w="12240" w:h="15840" w:orient="portrait"/>
          <w:cols w:equalWidth="0" w:num="3">
            <w:col w:w="3680" w:space="720"/>
            <w:col w:w="2800" w:space="720"/>
            <w:col w:w="3000"/>
          </w:cols>
          <w:pgMar w:left="660" w:top="1440" w:right="660" w:bottom="0" w:gutter="0" w:footer="0" w:header="0"/>
          <w:type w:val="continuous"/>
        </w:sectPr>
      </w:pPr>
    </w:p>
    <w:p>
      <w:pPr>
        <w:spacing w:after="0" w:line="82" w:lineRule="exact"/>
        <w:rPr>
          <w:sz w:val="20"/>
          <w:szCs w:val="20"/>
          <w:color w:val="auto"/>
        </w:rPr>
      </w:pPr>
    </w:p>
    <w:tbl>
      <w:tblPr>
        <w:tblLayout w:type="fixed"/>
        <w:tblInd w:w="1200" w:type="dxa"/>
        <w:tblCellMar>
          <w:top w:w="0" w:type="dxa"/>
          <w:left w:w="0" w:type="dxa"/>
          <w:bottom w:w="0" w:type="dxa"/>
          <w:right w:w="0" w:type="dxa"/>
        </w:tblCellMar>
      </w:tblPr>
      <w:tr>
        <w:trPr>
          <w:trHeight w:val="286"/>
        </w:trPr>
        <w:tc>
          <w:tcPr>
            <w:tcW w:w="2760" w:type="dxa"/>
            <w:vAlign w:val="bottom"/>
          </w:tcPr>
          <w:p>
            <w:pPr>
              <w:spacing w:after="0"/>
              <w:rPr>
                <w:sz w:val="20"/>
                <w:szCs w:val="20"/>
                <w:color w:val="auto"/>
              </w:rPr>
            </w:pPr>
            <w:r>
              <w:rPr>
                <w:rFonts w:ascii="Times New Roman" w:cs="Times New Roman" w:eastAsia="Times New Roman" w:hAnsi="Times New Roman"/>
                <w:sz w:val="22"/>
                <w:szCs w:val="22"/>
                <w:color w:val="FFFFFF"/>
              </w:rPr>
              <w:t>SNFC Capital</w:t>
            </w:r>
          </w:p>
        </w:tc>
        <w:tc>
          <w:tcPr>
            <w:tcW w:w="3420" w:type="dxa"/>
            <w:vAlign w:val="bottom"/>
          </w:tcPr>
          <w:p>
            <w:pPr>
              <w:ind w:left="440"/>
              <w:spacing w:after="0"/>
              <w:rPr>
                <w:sz w:val="20"/>
                <w:szCs w:val="20"/>
                <w:color w:val="auto"/>
              </w:rPr>
            </w:pPr>
            <w:r>
              <w:rPr>
                <w:rFonts w:ascii="Times New Roman" w:cs="Times New Roman" w:eastAsia="Times New Roman" w:hAnsi="Times New Roman"/>
                <w:sz w:val="22"/>
                <w:szCs w:val="22"/>
                <w:color w:val="FFFFFF"/>
              </w:rPr>
              <w:t>Secondary Market</w:t>
            </w:r>
          </w:p>
        </w:tc>
        <w:tc>
          <w:tcPr>
            <w:tcW w:w="3220" w:type="dxa"/>
            <w:vAlign w:val="bottom"/>
          </w:tcPr>
          <w:p>
            <w:pPr>
              <w:ind w:left="540"/>
              <w:spacing w:after="0"/>
              <w:rPr>
                <w:sz w:val="20"/>
                <w:szCs w:val="20"/>
                <w:color w:val="auto"/>
              </w:rPr>
            </w:pPr>
            <w:r>
              <w:rPr>
                <w:rFonts w:ascii="Times New Roman" w:cs="Times New Roman" w:eastAsia="Times New Roman" w:hAnsi="Times New Roman"/>
                <w:sz w:val="22"/>
                <w:szCs w:val="22"/>
                <w:color w:val="FFFFFF"/>
              </w:rPr>
              <w:t>Mortgage Origination</w:t>
            </w:r>
          </w:p>
        </w:tc>
      </w:tr>
      <w:tr>
        <w:trPr>
          <w:trHeight w:val="191"/>
        </w:trPr>
        <w:tc>
          <w:tcPr>
            <w:tcW w:w="2760" w:type="dxa"/>
            <w:vAlign w:val="bottom"/>
          </w:tcPr>
          <w:p>
            <w:pPr>
              <w:spacing w:after="0" w:line="191" w:lineRule="exact"/>
              <w:rPr>
                <w:sz w:val="20"/>
                <w:szCs w:val="20"/>
                <w:color w:val="auto"/>
              </w:rPr>
            </w:pPr>
            <w:r>
              <w:rPr>
                <w:rFonts w:ascii="Arial" w:cs="Arial" w:eastAsia="Arial" w:hAnsi="Arial"/>
                <w:sz w:val="18"/>
                <w:szCs w:val="18"/>
                <w:color w:val="FFFFFF"/>
              </w:rPr>
              <w:t>Access to affiliated life</w:t>
            </w:r>
          </w:p>
        </w:tc>
        <w:tc>
          <w:tcPr>
            <w:tcW w:w="3420" w:type="dxa"/>
            <w:vAlign w:val="bottom"/>
          </w:tcPr>
          <w:p>
            <w:pPr>
              <w:ind w:left="440"/>
              <w:spacing w:after="0" w:line="191" w:lineRule="exact"/>
              <w:rPr>
                <w:sz w:val="20"/>
                <w:szCs w:val="20"/>
                <w:color w:val="auto"/>
              </w:rPr>
            </w:pPr>
            <w:r>
              <w:rPr>
                <w:rFonts w:ascii="Arial" w:cs="Arial" w:eastAsia="Arial" w:hAnsi="Arial"/>
                <w:sz w:val="18"/>
                <w:szCs w:val="18"/>
                <w:color w:val="FFFFFF"/>
              </w:rPr>
              <w:t>SBA 504 participation/sale</w:t>
            </w:r>
          </w:p>
        </w:tc>
        <w:tc>
          <w:tcPr>
            <w:tcW w:w="3220" w:type="dxa"/>
            <w:vAlign w:val="bottom"/>
          </w:tcPr>
          <w:p>
            <w:pPr>
              <w:ind w:left="540"/>
              <w:spacing w:after="0" w:line="191" w:lineRule="exact"/>
              <w:rPr>
                <w:sz w:val="20"/>
                <w:szCs w:val="20"/>
                <w:color w:val="auto"/>
              </w:rPr>
            </w:pPr>
            <w:r>
              <w:rPr>
                <w:rFonts w:ascii="Arial" w:cs="Arial" w:eastAsia="Arial" w:hAnsi="Arial"/>
                <w:sz w:val="18"/>
                <w:szCs w:val="18"/>
                <w:color w:val="FFFFFF"/>
              </w:rPr>
              <w:t>SNMC long-term relationships</w:t>
            </w:r>
          </w:p>
        </w:tc>
      </w:tr>
      <w:tr>
        <w:trPr>
          <w:trHeight w:val="200"/>
        </w:trPr>
        <w:tc>
          <w:tcPr>
            <w:tcW w:w="2760" w:type="dxa"/>
            <w:vAlign w:val="bottom"/>
          </w:tcPr>
          <w:p>
            <w:pPr>
              <w:spacing w:after="0" w:line="200" w:lineRule="exact"/>
              <w:rPr>
                <w:sz w:val="20"/>
                <w:szCs w:val="20"/>
                <w:color w:val="auto"/>
              </w:rPr>
            </w:pPr>
            <w:r>
              <w:rPr>
                <w:rFonts w:ascii="Arial" w:cs="Arial" w:eastAsia="Arial" w:hAnsi="Arial"/>
                <w:sz w:val="18"/>
                <w:szCs w:val="18"/>
                <w:color w:val="FFFFFF"/>
              </w:rPr>
              <w:t>company capital, a stable,</w:t>
            </w:r>
          </w:p>
        </w:tc>
        <w:tc>
          <w:tcPr>
            <w:tcW w:w="3420" w:type="dxa"/>
            <w:vAlign w:val="bottom"/>
          </w:tcPr>
          <w:p>
            <w:pPr>
              <w:ind w:left="440"/>
              <w:spacing w:after="0" w:line="200" w:lineRule="exact"/>
              <w:rPr>
                <w:sz w:val="20"/>
                <w:szCs w:val="20"/>
                <w:color w:val="auto"/>
              </w:rPr>
            </w:pPr>
            <w:r>
              <w:rPr>
                <w:rFonts w:ascii="Arial" w:cs="Arial" w:eastAsia="Arial" w:hAnsi="Arial"/>
                <w:sz w:val="18"/>
                <w:szCs w:val="18"/>
                <w:color w:val="FFFFFF"/>
              </w:rPr>
              <w:t>capability adds pricing and</w:t>
            </w:r>
          </w:p>
        </w:tc>
        <w:tc>
          <w:tcPr>
            <w:tcW w:w="3220" w:type="dxa"/>
            <w:vAlign w:val="bottom"/>
          </w:tcPr>
          <w:p>
            <w:pPr>
              <w:ind w:left="540"/>
              <w:spacing w:after="0" w:line="200" w:lineRule="exact"/>
              <w:rPr>
                <w:sz w:val="20"/>
                <w:szCs w:val="20"/>
                <w:color w:val="auto"/>
              </w:rPr>
            </w:pPr>
            <w:r>
              <w:rPr>
                <w:rFonts w:ascii="Arial" w:cs="Arial" w:eastAsia="Arial" w:hAnsi="Arial"/>
                <w:sz w:val="18"/>
                <w:szCs w:val="18"/>
                <w:color w:val="FFFFFF"/>
              </w:rPr>
              <w:t>a create referral pipeline for</w:t>
            </w:r>
          </w:p>
        </w:tc>
      </w:tr>
      <w:tr>
        <w:trPr>
          <w:trHeight w:val="200"/>
        </w:trPr>
        <w:tc>
          <w:tcPr>
            <w:tcW w:w="2760" w:type="dxa"/>
            <w:vAlign w:val="bottom"/>
          </w:tcPr>
          <w:p>
            <w:pPr>
              <w:spacing w:after="0" w:line="200" w:lineRule="exact"/>
              <w:rPr>
                <w:sz w:val="20"/>
                <w:szCs w:val="20"/>
                <w:color w:val="auto"/>
              </w:rPr>
            </w:pPr>
            <w:r>
              <w:rPr>
                <w:rFonts w:ascii="Arial" w:cs="Arial" w:eastAsia="Arial" w:hAnsi="Arial"/>
                <w:sz w:val="18"/>
                <w:szCs w:val="18"/>
                <w:color w:val="FFFFFF"/>
              </w:rPr>
              <w:t>patient funding source.</w:t>
            </w:r>
          </w:p>
        </w:tc>
        <w:tc>
          <w:tcPr>
            <w:tcW w:w="3420" w:type="dxa"/>
            <w:vAlign w:val="bottom"/>
          </w:tcPr>
          <w:p>
            <w:pPr>
              <w:ind w:left="440"/>
              <w:spacing w:after="0" w:line="200" w:lineRule="exact"/>
              <w:rPr>
                <w:sz w:val="20"/>
                <w:szCs w:val="20"/>
                <w:color w:val="auto"/>
              </w:rPr>
            </w:pPr>
            <w:r>
              <w:rPr>
                <w:rFonts w:ascii="Arial" w:cs="Arial" w:eastAsia="Arial" w:hAnsi="Arial"/>
                <w:sz w:val="18"/>
                <w:szCs w:val="18"/>
                <w:color w:val="FFFFFF"/>
              </w:rPr>
              <w:t>liquidity tools</w:t>
            </w:r>
          </w:p>
        </w:tc>
        <w:tc>
          <w:tcPr>
            <w:tcW w:w="3220" w:type="dxa"/>
            <w:vAlign w:val="bottom"/>
          </w:tcPr>
          <w:p>
            <w:pPr>
              <w:ind w:left="540"/>
              <w:spacing w:after="0" w:line="200" w:lineRule="exact"/>
              <w:rPr>
                <w:sz w:val="20"/>
                <w:szCs w:val="20"/>
                <w:color w:val="auto"/>
              </w:rPr>
            </w:pPr>
            <w:r>
              <w:rPr>
                <w:rFonts w:ascii="Arial" w:cs="Arial" w:eastAsia="Arial" w:hAnsi="Arial"/>
                <w:sz w:val="18"/>
                <w:szCs w:val="18"/>
                <w:color w:val="FFFFFF"/>
              </w:rPr>
              <w:t>bridge deals</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2"/>
          <w:szCs w:val="42"/>
          <w:color w:val="000750"/>
        </w:rPr>
        <w:t>Built to Reduce Risk &amp; Protect Capital</w:t>
      </w:r>
    </w:p>
    <w:p>
      <w:pPr>
        <w:sectPr>
          <w:pgSz w:w="12240" w:h="15840" w:orient="portrait"/>
          <w:cols w:equalWidth="0" w:num="1">
            <w:col w:w="10920"/>
          </w:cols>
          <w:pgMar w:left="660" w:top="1440" w:right="660" w:bottom="0" w:gutter="0" w:footer="0" w:header="0"/>
          <w:type w:val="continuous"/>
        </w:sect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000750"/>
        </w:rPr>
        <w:t>• Proprietary Market Intelligence</w:t>
      </w:r>
    </w:p>
    <w:p>
      <w:pPr>
        <w:spacing w:after="0" w:line="75" w:lineRule="exact"/>
        <w:rPr>
          <w:sz w:val="20"/>
          <w:szCs w:val="20"/>
          <w:color w:val="auto"/>
        </w:rPr>
      </w:pPr>
    </w:p>
    <w:p>
      <w:pPr>
        <w:jc w:val="both"/>
        <w:ind w:left="60" w:firstLine="1"/>
        <w:spacing w:after="0" w:line="262" w:lineRule="auto"/>
        <w:rPr>
          <w:sz w:val="20"/>
          <w:szCs w:val="20"/>
          <w:color w:val="auto"/>
        </w:rPr>
      </w:pPr>
      <w:r>
        <w:rPr>
          <w:rFonts w:ascii="Arial" w:cs="Arial" w:eastAsia="Arial" w:hAnsi="Arial"/>
          <w:sz w:val="20"/>
          <w:szCs w:val="20"/>
          <w:color w:val="auto"/>
        </w:rPr>
        <w:t>Relationship derived market insights which surpasses any publicly available market data. This complements and expands the Underwritten market data.</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000750"/>
        </w:rPr>
        <w:t>• Strong Market Analysis</w:t>
      </w:r>
    </w:p>
    <w:p>
      <w:pPr>
        <w:spacing w:after="0" w:line="75" w:lineRule="exact"/>
        <w:rPr>
          <w:sz w:val="20"/>
          <w:szCs w:val="20"/>
          <w:color w:val="auto"/>
        </w:rPr>
      </w:pPr>
    </w:p>
    <w:p>
      <w:pPr>
        <w:jc w:val="both"/>
        <w:ind w:left="80" w:hanging="2"/>
        <w:spacing w:after="0" w:line="262" w:lineRule="auto"/>
        <w:rPr>
          <w:sz w:val="20"/>
          <w:szCs w:val="20"/>
          <w:color w:val="auto"/>
        </w:rPr>
      </w:pPr>
      <w:r>
        <w:rPr>
          <w:rFonts w:ascii="Arial" w:cs="Arial" w:eastAsia="Arial" w:hAnsi="Arial"/>
          <w:sz w:val="20"/>
          <w:szCs w:val="20"/>
          <w:color w:val="auto"/>
        </w:rPr>
        <w:t>Detailed review of sub-market data by various resources available to company which will confidently project viability of a project.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000750"/>
        </w:rPr>
        <w:t>• Fiduciary Discipline</w:t>
      </w:r>
    </w:p>
    <w:p>
      <w:pPr>
        <w:spacing w:after="0" w:line="75" w:lineRule="exact"/>
        <w:rPr>
          <w:sz w:val="20"/>
          <w:szCs w:val="20"/>
          <w:color w:val="auto"/>
        </w:rPr>
      </w:pPr>
    </w:p>
    <w:p>
      <w:pPr>
        <w:ind w:left="60" w:right="380" w:firstLine="7"/>
        <w:spacing w:after="0" w:line="254" w:lineRule="auto"/>
        <w:rPr>
          <w:sz w:val="20"/>
          <w:szCs w:val="20"/>
          <w:color w:val="auto"/>
        </w:rPr>
      </w:pPr>
      <w:r>
        <w:rPr>
          <w:rFonts w:ascii="Arial" w:cs="Arial" w:eastAsia="Arial" w:hAnsi="Arial"/>
          <w:sz w:val="20"/>
          <w:szCs w:val="20"/>
          <w:color w:val="auto"/>
        </w:rPr>
        <w:t>Life co. affiliate standard applied— secure higher yield for policyholders and shareholders.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000750"/>
        </w:rPr>
        <w:t>• SBA Gov. Guarantee</w:t>
      </w:r>
    </w:p>
    <w:p>
      <w:pPr>
        <w:spacing w:after="0" w:line="58" w:lineRule="exact"/>
        <w:rPr>
          <w:sz w:val="20"/>
          <w:szCs w:val="20"/>
          <w:color w:val="auto"/>
        </w:rPr>
      </w:pPr>
    </w:p>
    <w:p>
      <w:pPr>
        <w:ind w:left="80"/>
        <w:spacing w:after="0"/>
        <w:tabs>
          <w:tab w:leader="none" w:pos="1000" w:val="left"/>
          <w:tab w:leader="none" w:pos="2100" w:val="left"/>
          <w:tab w:leader="none" w:pos="2560" w:val="left"/>
          <w:tab w:leader="none" w:pos="3180" w:val="left"/>
          <w:tab w:leader="none" w:pos="3760" w:val="left"/>
          <w:tab w:leader="none" w:pos="4540" w:val="left"/>
          <w:tab w:leader="none" w:pos="4920" w:val="left"/>
        </w:tabs>
        <w:rPr>
          <w:sz w:val="20"/>
          <w:szCs w:val="20"/>
          <w:color w:val="auto"/>
        </w:rPr>
      </w:pPr>
      <w:r>
        <w:rPr>
          <w:rFonts w:ascii="Arial" w:cs="Arial" w:eastAsia="Arial" w:hAnsi="Arial"/>
          <w:sz w:val="20"/>
          <w:szCs w:val="20"/>
          <w:color w:val="auto"/>
        </w:rPr>
        <w:t>Federal</w:t>
        <w:tab/>
        <w:t>backstop</w:t>
        <w:tab/>
        <w:t>on</w:t>
        <w:tab/>
        <w:t>SBA</w:t>
        <w:tab/>
        <w:t>504</w:t>
        <w:tab/>
        <w:t>paper</w:t>
        <w:tab/>
        <w:t>—</w:t>
      </w:r>
      <w:r>
        <w:rPr>
          <w:sz w:val="20"/>
          <w:szCs w:val="20"/>
          <w:color w:val="auto"/>
        </w:rPr>
        <w:tab/>
      </w:r>
      <w:r>
        <w:rPr>
          <w:rFonts w:ascii="Arial" w:cs="Arial" w:eastAsia="Arial" w:hAnsi="Arial"/>
          <w:sz w:val="18"/>
          <w:szCs w:val="18"/>
          <w:color w:val="auto"/>
        </w:rPr>
        <w:t>U.S.</w:t>
      </w:r>
    </w:p>
    <w:p>
      <w:pPr>
        <w:spacing w:after="0" w:line="58" w:lineRule="exact"/>
        <w:rPr>
          <w:sz w:val="20"/>
          <w:szCs w:val="20"/>
          <w:color w:val="auto"/>
        </w:rPr>
      </w:pPr>
    </w:p>
    <w:p>
      <w:pPr>
        <w:ind w:left="80"/>
        <w:spacing w:after="0"/>
        <w:rPr>
          <w:sz w:val="20"/>
          <w:szCs w:val="20"/>
          <w:color w:val="auto"/>
        </w:rPr>
      </w:pPr>
      <w:r>
        <w:rPr>
          <w:rFonts w:ascii="Arial" w:cs="Arial" w:eastAsia="Arial" w:hAnsi="Arial"/>
          <w:sz w:val="20"/>
          <w:szCs w:val="20"/>
          <w:color w:val="auto"/>
        </w:rPr>
        <w:t>government reduces credit risk.</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000750"/>
        </w:rPr>
        <w:t>• Bridge to Stabilize</w:t>
      </w:r>
    </w:p>
    <w:p>
      <w:pPr>
        <w:spacing w:after="0" w:line="75" w:lineRule="exact"/>
        <w:rPr>
          <w:sz w:val="20"/>
          <w:szCs w:val="20"/>
          <w:color w:val="auto"/>
        </w:rPr>
      </w:pPr>
    </w:p>
    <w:p>
      <w:pPr>
        <w:jc w:val="both"/>
        <w:ind w:left="80" w:right="60" w:hanging="5"/>
        <w:spacing w:after="0" w:line="254" w:lineRule="auto"/>
        <w:rPr>
          <w:sz w:val="20"/>
          <w:szCs w:val="20"/>
          <w:color w:val="auto"/>
        </w:rPr>
      </w:pPr>
      <w:r>
        <w:rPr>
          <w:rFonts w:ascii="Arial" w:cs="Arial" w:eastAsia="Arial" w:hAnsi="Arial"/>
          <w:sz w:val="20"/>
          <w:szCs w:val="20"/>
          <w:color w:val="auto"/>
        </w:rPr>
        <w:t>Clear exit via conventional or sale at maturity — not open-ended exposure.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000750"/>
        </w:rPr>
        <w:t>• Secondary Liquidity</w:t>
      </w:r>
    </w:p>
    <w:p>
      <w:pPr>
        <w:spacing w:after="0" w:line="75" w:lineRule="exact"/>
        <w:rPr>
          <w:sz w:val="20"/>
          <w:szCs w:val="20"/>
          <w:color w:val="auto"/>
        </w:rPr>
      </w:pPr>
    </w:p>
    <w:p>
      <w:pPr>
        <w:jc w:val="both"/>
        <w:ind w:left="80" w:right="60" w:hanging="4"/>
        <w:spacing w:after="0" w:line="270" w:lineRule="auto"/>
        <w:rPr>
          <w:sz w:val="20"/>
          <w:szCs w:val="20"/>
          <w:color w:val="auto"/>
        </w:rPr>
      </w:pPr>
      <w:r>
        <w:rPr>
          <w:rFonts w:ascii="Arial" w:cs="Arial" w:eastAsia="Arial" w:hAnsi="Arial"/>
          <w:sz w:val="20"/>
          <w:szCs w:val="20"/>
          <w:color w:val="auto"/>
        </w:rPr>
        <w:t>SBA 504 loans sellable through secondary market sources — provides additional portfolio management flexibility.</w:t>
      </w:r>
    </w:p>
    <w:p>
      <w:pPr>
        <w:sectPr>
          <w:pgSz w:w="12240" w:h="15840" w:orient="portrait"/>
          <w:cols w:equalWidth="0" w:num="2">
            <w:col w:w="5260" w:space="320"/>
            <w:col w:w="5340"/>
          </w:cols>
          <w:pgMar w:left="660" w:top="1440" w:right="660" w:bottom="0" w:gutter="0" w:footer="0" w:header="0"/>
          <w:type w:val="continuous"/>
        </w:sectPr>
      </w:pPr>
    </w:p>
    <w:bookmarkStart w:id="19" w:name="page20"/>
    <w:bookmarkEnd w:id="19"/>
    <w:p>
      <w:pPr>
        <w:spacing w:after="0" w:line="308" w:lineRule="exact"/>
        <w:rPr>
          <w:sz w:val="20"/>
          <w:szCs w:val="20"/>
          <w:color w:val="auto"/>
        </w:rPr>
      </w:pPr>
    </w:p>
    <w:p>
      <w:pPr>
        <w:jc w:val="center"/>
        <w:ind w:right="40"/>
        <w:spacing w:after="0" w:line="238" w:lineRule="auto"/>
        <w:rPr>
          <w:sz w:val="20"/>
          <w:szCs w:val="20"/>
          <w:color w:val="auto"/>
        </w:rPr>
      </w:pPr>
      <w:r>
        <w:rPr>
          <w:rFonts w:ascii="Arial" w:cs="Arial" w:eastAsia="Arial" w:hAnsi="Arial"/>
          <w:sz w:val="34"/>
          <w:szCs w:val="34"/>
          <w:color w:val="000750"/>
        </w:rPr>
        <w:t>2025 Commercial and Construction Lending Originations &amp; Land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240665</wp:posOffset>
            </wp:positionV>
            <wp:extent cx="4236720" cy="26295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36720" cy="2629535"/>
                    </a:xfrm>
                    <a:prstGeom prst="rect">
                      <a:avLst/>
                    </a:prstGeom>
                    <a:noFill/>
                  </pic:spPr>
                </pic:pic>
              </a:graphicData>
            </a:graphic>
          </wp:anchor>
        </w:drawing>
      </w:r>
    </w:p>
    <w:p>
      <w:pPr>
        <w:spacing w:after="0" w:line="354" w:lineRule="exact"/>
        <w:rPr>
          <w:sz w:val="20"/>
          <w:szCs w:val="20"/>
          <w:color w:val="auto"/>
        </w:rPr>
      </w:pPr>
    </w:p>
    <w:p>
      <w:pPr>
        <w:ind w:left="3480"/>
        <w:spacing w:after="0"/>
        <w:rPr>
          <w:sz w:val="20"/>
          <w:szCs w:val="20"/>
          <w:color w:val="auto"/>
        </w:rPr>
      </w:pPr>
      <w:r>
        <w:rPr>
          <w:rFonts w:ascii="Arial" w:cs="Arial" w:eastAsia="Arial" w:hAnsi="Arial"/>
          <w:sz w:val="26"/>
          <w:szCs w:val="26"/>
          <w:color w:val="FFFFFF"/>
        </w:rPr>
        <w:t>$73M</w:t>
      </w:r>
    </w:p>
    <w:p>
      <w:pPr>
        <w:ind w:left="3480"/>
        <w:spacing w:after="0"/>
        <w:rPr>
          <w:sz w:val="20"/>
          <w:szCs w:val="20"/>
          <w:color w:val="auto"/>
        </w:rPr>
      </w:pPr>
      <w:r>
        <w:rPr>
          <w:rFonts w:ascii="Arial" w:cs="Arial" w:eastAsia="Arial" w:hAnsi="Arial"/>
          <w:sz w:val="26"/>
          <w:szCs w:val="26"/>
          <w:color w:val="FFFFFF"/>
        </w:rPr>
        <w:t>Residential Land Investment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00"/>
        <w:spacing w:after="0"/>
        <w:rPr>
          <w:sz w:val="20"/>
          <w:szCs w:val="20"/>
          <w:color w:val="auto"/>
        </w:rPr>
      </w:pPr>
      <w:r>
        <w:rPr>
          <w:rFonts w:ascii="Arial" w:cs="Arial" w:eastAsia="Arial" w:hAnsi="Arial"/>
          <w:sz w:val="26"/>
          <w:szCs w:val="26"/>
          <w:color w:val="FFFFFF"/>
        </w:rPr>
        <w:t>$25M Interim SBA/</w:t>
      </w:r>
    </w:p>
    <w:p>
      <w:pPr>
        <w:ind w:left="4800"/>
        <w:spacing w:after="0"/>
        <w:rPr>
          <w:sz w:val="20"/>
          <w:szCs w:val="20"/>
          <w:color w:val="auto"/>
        </w:rPr>
      </w:pPr>
      <w:r>
        <w:rPr>
          <w:rFonts w:ascii="Arial" w:cs="Arial" w:eastAsia="Arial" w:hAnsi="Arial"/>
          <w:sz w:val="26"/>
          <w:szCs w:val="26"/>
          <w:color w:val="FFFFFF"/>
        </w:rPr>
        <w:t>504 Bridge</w:t>
      </w:r>
    </w:p>
    <w:p>
      <w:pPr>
        <w:spacing w:after="0" w:line="320" w:lineRule="exact"/>
        <w:rPr>
          <w:sz w:val="20"/>
          <w:szCs w:val="20"/>
          <w:color w:val="auto"/>
        </w:rPr>
      </w:pPr>
    </w:p>
    <w:p>
      <w:pPr>
        <w:ind w:left="4040"/>
        <w:spacing w:after="0"/>
        <w:rPr>
          <w:sz w:val="20"/>
          <w:szCs w:val="20"/>
          <w:color w:val="auto"/>
        </w:rPr>
      </w:pPr>
      <w:r>
        <w:rPr>
          <w:rFonts w:ascii="Arial" w:cs="Arial" w:eastAsia="Arial" w:hAnsi="Arial"/>
          <w:sz w:val="26"/>
          <w:szCs w:val="26"/>
          <w:color w:val="FFFFFF"/>
        </w:rPr>
        <w:t>$53M</w:t>
      </w:r>
    </w:p>
    <w:p>
      <w:pPr>
        <w:ind w:left="360" w:right="1120"/>
        <w:spacing w:after="0" w:line="231" w:lineRule="auto"/>
        <w:rPr>
          <w:sz w:val="20"/>
          <w:szCs w:val="20"/>
          <w:color w:val="auto"/>
        </w:rPr>
      </w:pPr>
      <w:r>
        <w:rPr>
          <w:rFonts w:ascii="Arial" w:cs="Arial" w:eastAsia="Arial" w:hAnsi="Arial"/>
          <w:sz w:val="51"/>
          <w:szCs w:val="51"/>
          <w:color w:val="FFFFFF"/>
          <w:vertAlign w:val="subscript"/>
        </w:rPr>
        <w:t>$197M</w:t>
      </w:r>
      <w:r>
        <w:rPr>
          <w:rFonts w:ascii="Arial" w:cs="Arial" w:eastAsia="Arial" w:hAnsi="Arial"/>
          <w:sz w:val="26"/>
          <w:szCs w:val="26"/>
          <w:color w:val="FFFFFF"/>
        </w:rPr>
        <w:t xml:space="preserve"> Commercial Bridge Residential Construction</w:t>
      </w:r>
    </w:p>
    <w:p>
      <w:pPr>
        <w:ind w:left="3300"/>
        <w:spacing w:after="0" w:line="225" w:lineRule="auto"/>
        <w:rPr>
          <w:sz w:val="20"/>
          <w:szCs w:val="20"/>
          <w:color w:val="auto"/>
        </w:rPr>
      </w:pPr>
      <w:r>
        <w:rPr>
          <w:rFonts w:ascii="Arial" w:cs="Arial" w:eastAsia="Arial" w:hAnsi="Arial"/>
          <w:sz w:val="26"/>
          <w:szCs w:val="26"/>
          <w:color w:val="FFFFFF"/>
        </w:rPr>
        <w:t>$41M</w:t>
      </w:r>
    </w:p>
    <w:p>
      <w:pPr>
        <w:ind w:left="3300"/>
        <w:spacing w:after="0"/>
        <w:rPr>
          <w:sz w:val="20"/>
          <w:szCs w:val="20"/>
          <w:color w:val="auto"/>
        </w:rPr>
      </w:pPr>
      <w:r>
        <w:rPr>
          <w:rFonts w:ascii="Arial" w:cs="Arial" w:eastAsia="Arial" w:hAnsi="Arial"/>
          <w:sz w:val="26"/>
          <w:szCs w:val="26"/>
          <w:color w:val="FFFFFF"/>
        </w:rPr>
        <w:t>Acquisition &amp;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000750"/>
        </w:rPr>
        <w:t>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-305435</wp:posOffset>
            </wp:positionV>
            <wp:extent cx="4316095" cy="4349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16095" cy="434975"/>
                    </a:xfrm>
                    <a:prstGeom prst="rect">
                      <a:avLst/>
                    </a:prstGeom>
                    <a:noFill/>
                  </pic:spPr>
                </pic:pic>
              </a:graphicData>
            </a:graphic>
          </wp:anchor>
        </w:drawing>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9"/>
          <w:szCs w:val="149"/>
          <w:b w:val="1"/>
          <w:bCs w:val="1"/>
          <w:color w:val="000750"/>
          <w:highlight w:val="black"/>
          <w:vertAlign w:val="superscript"/>
        </w:rPr>
        <w:t>$</w:t>
      </w:r>
      <w:r>
        <w:rPr>
          <w:rFonts w:ascii="Times New Roman" w:cs="Times New Roman" w:eastAsia="Times New Roman" w:hAnsi="Times New Roman"/>
          <w:sz w:val="128"/>
          <w:szCs w:val="128"/>
          <w:b w:val="1"/>
          <w:bCs w:val="1"/>
          <w:color w:val="000750"/>
          <w:highlight w:val="black"/>
        </w:rPr>
        <w:t xml:space="preserve">236.6 </w:t>
      </w:r>
      <w:r>
        <w:rPr>
          <w:rFonts w:ascii="Times New Roman" w:cs="Times New Roman" w:eastAsia="Times New Roman" w:hAnsi="Times New Roman"/>
          <w:sz w:val="80"/>
          <w:szCs w:val="80"/>
          <w:b w:val="1"/>
          <w:bCs w:val="1"/>
          <w:color w:val="000750"/>
          <w:highlight w:val="black"/>
        </w:rPr>
        <w:t>M</w:t>
      </w:r>
    </w:p>
    <w:p>
      <w:pPr>
        <w:ind w:left="1760"/>
        <w:spacing w:after="0"/>
        <w:rPr>
          <w:sz w:val="20"/>
          <w:szCs w:val="20"/>
          <w:color w:val="auto"/>
        </w:rPr>
      </w:pPr>
      <w:r>
        <w:rPr>
          <w:rFonts w:ascii="Times New Roman" w:cs="Times New Roman" w:eastAsia="Times New Roman" w:hAnsi="Times New Roman"/>
          <w:sz w:val="40"/>
          <w:szCs w:val="40"/>
          <w:b w:val="1"/>
          <w:bCs w:val="1"/>
          <w:color w:val="000750"/>
        </w:rPr>
        <w:t>Total Loan Balance</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1069"/>
        </w:trPr>
        <w:tc>
          <w:tcPr>
            <w:tcW w:w="3060" w:type="dxa"/>
            <w:vAlign w:val="bottom"/>
          </w:tcPr>
          <w:p>
            <w:pPr>
              <w:jc w:val="center"/>
              <w:ind w:right="147"/>
              <w:spacing w:after="0"/>
              <w:rPr>
                <w:sz w:val="20"/>
                <w:szCs w:val="20"/>
                <w:color w:val="auto"/>
              </w:rPr>
            </w:pPr>
            <w:r>
              <w:rPr>
                <w:rFonts w:ascii="Times New Roman" w:cs="Times New Roman" w:eastAsia="Times New Roman" w:hAnsi="Times New Roman"/>
                <w:sz w:val="93"/>
                <w:szCs w:val="93"/>
                <w:b w:val="1"/>
                <w:bCs w:val="1"/>
                <w:color w:val="000750"/>
                <w:w w:val="95"/>
                <w:vertAlign w:val="superscript"/>
              </w:rPr>
              <w:t>$</w:t>
            </w:r>
            <w:r>
              <w:rPr>
                <w:rFonts w:ascii="Times New Roman" w:cs="Times New Roman" w:eastAsia="Times New Roman" w:hAnsi="Times New Roman"/>
                <w:sz w:val="80"/>
                <w:szCs w:val="80"/>
                <w:b w:val="1"/>
                <w:bCs w:val="1"/>
                <w:color w:val="000750"/>
                <w:w w:val="95"/>
              </w:rPr>
              <w:t xml:space="preserve">7.1 </w:t>
            </w:r>
            <w:r>
              <w:rPr>
                <w:rFonts w:ascii="Times New Roman" w:cs="Times New Roman" w:eastAsia="Times New Roman" w:hAnsi="Times New Roman"/>
                <w:sz w:val="60"/>
                <w:szCs w:val="60"/>
                <w:b w:val="1"/>
                <w:bCs w:val="1"/>
                <w:color w:val="000750"/>
                <w:w w:val="95"/>
              </w:rPr>
              <w:t>M</w:t>
            </w:r>
          </w:p>
        </w:tc>
        <w:tc>
          <w:tcPr>
            <w:tcW w:w="3180" w:type="dxa"/>
            <w:vAlign w:val="bottom"/>
          </w:tcPr>
          <w:p>
            <w:pPr>
              <w:jc w:val="center"/>
              <w:ind w:left="222"/>
              <w:spacing w:after="0"/>
              <w:rPr>
                <w:sz w:val="20"/>
                <w:szCs w:val="20"/>
                <w:color w:val="auto"/>
              </w:rPr>
            </w:pPr>
            <w:r>
              <w:rPr>
                <w:rFonts w:ascii="Times New Roman" w:cs="Times New Roman" w:eastAsia="Times New Roman" w:hAnsi="Times New Roman"/>
                <w:sz w:val="47"/>
                <w:szCs w:val="47"/>
                <w:b w:val="1"/>
                <w:bCs w:val="1"/>
                <w:color w:val="000750"/>
              </w:rPr>
              <w:t>$</w:t>
            </w:r>
            <w:r>
              <w:rPr>
                <w:rFonts w:ascii="Times New Roman" w:cs="Times New Roman" w:eastAsia="Times New Roman" w:hAnsi="Times New Roman"/>
                <w:sz w:val="80"/>
                <w:szCs w:val="80"/>
                <w:b w:val="1"/>
                <w:bCs w:val="1"/>
                <w:color w:val="000750"/>
              </w:rPr>
              <w:t>24.6</w:t>
            </w:r>
            <w:r>
              <w:rPr>
                <w:rFonts w:ascii="Times New Roman" w:cs="Times New Roman" w:eastAsia="Times New Roman" w:hAnsi="Times New Roman"/>
                <w:sz w:val="47"/>
                <w:szCs w:val="47"/>
                <w:b w:val="1"/>
                <w:bCs w:val="1"/>
                <w:color w:val="000750"/>
              </w:rPr>
              <w:t xml:space="preserve"> </w:t>
            </w:r>
            <w:r>
              <w:rPr>
                <w:rFonts w:ascii="Times New Roman" w:cs="Times New Roman" w:eastAsia="Times New Roman" w:hAnsi="Times New Roman"/>
                <w:sz w:val="60"/>
                <w:szCs w:val="60"/>
                <w:b w:val="1"/>
                <w:bCs w:val="1"/>
                <w:color w:val="000750"/>
              </w:rPr>
              <w:t>M</w:t>
            </w:r>
          </w:p>
        </w:tc>
      </w:tr>
      <w:tr>
        <w:trPr>
          <w:trHeight w:val="282"/>
        </w:trPr>
        <w:tc>
          <w:tcPr>
            <w:tcW w:w="3060" w:type="dxa"/>
            <w:vAlign w:val="bottom"/>
          </w:tcPr>
          <w:p>
            <w:pPr>
              <w:jc w:val="center"/>
              <w:ind w:right="167"/>
              <w:spacing w:after="0"/>
              <w:rPr>
                <w:sz w:val="20"/>
                <w:szCs w:val="20"/>
                <w:color w:val="auto"/>
              </w:rPr>
            </w:pPr>
            <w:r>
              <w:rPr>
                <w:rFonts w:ascii="Times New Roman" w:cs="Times New Roman" w:eastAsia="Times New Roman" w:hAnsi="Times New Roman"/>
                <w:sz w:val="24"/>
                <w:szCs w:val="24"/>
                <w:b w:val="1"/>
                <w:bCs w:val="1"/>
                <w:color w:val="000750"/>
              </w:rPr>
              <w:t>Commercial Investment</w:t>
            </w:r>
          </w:p>
        </w:tc>
        <w:tc>
          <w:tcPr>
            <w:tcW w:w="3180" w:type="dxa"/>
            <w:vAlign w:val="bottom"/>
          </w:tcPr>
          <w:p>
            <w:pPr>
              <w:jc w:val="center"/>
              <w:ind w:left="222"/>
              <w:spacing w:after="0"/>
              <w:rPr>
                <w:sz w:val="20"/>
                <w:szCs w:val="20"/>
                <w:color w:val="auto"/>
              </w:rPr>
            </w:pPr>
            <w:r>
              <w:rPr>
                <w:rFonts w:ascii="Times New Roman" w:cs="Times New Roman" w:eastAsia="Times New Roman" w:hAnsi="Times New Roman"/>
                <w:sz w:val="24"/>
                <w:szCs w:val="24"/>
                <w:b w:val="1"/>
                <w:bCs w:val="1"/>
                <w:color w:val="000750"/>
              </w:rPr>
              <w:t>Construction Investment</w:t>
            </w:r>
          </w:p>
        </w:tc>
      </w:tr>
      <w:tr>
        <w:trPr>
          <w:trHeight w:val="264"/>
        </w:trPr>
        <w:tc>
          <w:tcPr>
            <w:tcW w:w="3060" w:type="dxa"/>
            <w:vAlign w:val="bottom"/>
          </w:tcPr>
          <w:p>
            <w:pPr>
              <w:jc w:val="center"/>
              <w:ind w:right="167"/>
              <w:spacing w:after="0" w:line="264" w:lineRule="exact"/>
              <w:rPr>
                <w:sz w:val="20"/>
                <w:szCs w:val="20"/>
                <w:color w:val="auto"/>
              </w:rPr>
            </w:pPr>
            <w:r>
              <w:rPr>
                <w:rFonts w:ascii="Times New Roman" w:cs="Times New Roman" w:eastAsia="Times New Roman" w:hAnsi="Times New Roman"/>
                <w:sz w:val="24"/>
                <w:szCs w:val="24"/>
                <w:b w:val="1"/>
                <w:bCs w:val="1"/>
                <w:color w:val="000750"/>
              </w:rPr>
              <w:t>Income</w:t>
            </w:r>
          </w:p>
        </w:tc>
        <w:tc>
          <w:tcPr>
            <w:tcW w:w="3180" w:type="dxa"/>
            <w:vAlign w:val="bottom"/>
          </w:tcPr>
          <w:p>
            <w:pPr>
              <w:jc w:val="center"/>
              <w:ind w:left="222"/>
              <w:spacing w:after="0" w:line="264" w:lineRule="exact"/>
              <w:rPr>
                <w:sz w:val="20"/>
                <w:szCs w:val="20"/>
                <w:color w:val="auto"/>
              </w:rPr>
            </w:pPr>
            <w:r>
              <w:rPr>
                <w:rFonts w:ascii="Times New Roman" w:cs="Times New Roman" w:eastAsia="Times New Roman" w:hAnsi="Times New Roman"/>
                <w:sz w:val="24"/>
                <w:szCs w:val="24"/>
                <w:b w:val="1"/>
                <w:bCs w:val="1"/>
                <w:color w:val="000750"/>
              </w:rPr>
              <w:t>Income</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2247265</wp:posOffset>
                </wp:positionH>
                <wp:positionV relativeFrom="paragraph">
                  <wp:posOffset>-897255</wp:posOffset>
                </wp:positionV>
                <wp:extent cx="0" cy="959485"/>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9485"/>
                        </a:xfrm>
                        <a:prstGeom prst="line">
                          <a:avLst/>
                        </a:prstGeom>
                        <a:solidFill>
                          <a:srgbClr val="FFFFFF"/>
                        </a:solidFill>
                        <a:ln w="12700">
                          <a:solidFill>
                            <a:srgbClr val="000750"/>
                          </a:solidFill>
                          <a:miter lim="800000"/>
                          <a:headEnd/>
                          <a:tailEnd/>
                        </a:ln>
                      </wps:spPr>
                      <wps:bodyPr/>
                    </wps:wsp>
                  </a:graphicData>
                </a:graphic>
              </wp:anchor>
            </w:drawing>
          </mc:Choice>
          <mc:Fallback>
            <w:pict>
              <v:line id="Shape 61" o:spid="_x0000_s10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6.95pt,-70.6499pt" to="176.95pt,4.9pt" o:allowincell="f" strokecolor="#000750" strokeweight="1pt"/>
            </w:pict>
          </mc:Fallback>
        </mc:AlternateContent>
      </w:r>
    </w:p>
    <w:p>
      <w:pPr>
        <w:jc w:val="center"/>
        <w:ind w:right="20"/>
        <w:spacing w:after="0" w:line="228" w:lineRule="auto"/>
        <w:rPr>
          <w:sz w:val="20"/>
          <w:szCs w:val="20"/>
          <w:color w:val="auto"/>
        </w:rPr>
      </w:pPr>
      <w:r>
        <w:rPr>
          <w:rFonts w:ascii="Times New Roman" w:cs="Times New Roman" w:eastAsia="Times New Roman" w:hAnsi="Times New Roman"/>
          <w:sz w:val="149"/>
          <w:szCs w:val="149"/>
          <w:b w:val="1"/>
          <w:bCs w:val="1"/>
          <w:color w:val="000750"/>
          <w:highlight w:val="black"/>
          <w:vertAlign w:val="superscript"/>
        </w:rPr>
        <w:t>$</w:t>
      </w:r>
      <w:r>
        <w:rPr>
          <w:rFonts w:ascii="Times New Roman" w:cs="Times New Roman" w:eastAsia="Times New Roman" w:hAnsi="Times New Roman"/>
          <w:sz w:val="128"/>
          <w:szCs w:val="128"/>
          <w:b w:val="1"/>
          <w:bCs w:val="1"/>
          <w:color w:val="000750"/>
          <w:highlight w:val="black"/>
        </w:rPr>
        <w:t xml:space="preserve">31.7 </w:t>
      </w:r>
      <w:r>
        <w:rPr>
          <w:rFonts w:ascii="Times New Roman" w:cs="Times New Roman" w:eastAsia="Times New Roman" w:hAnsi="Times New Roman"/>
          <w:sz w:val="80"/>
          <w:szCs w:val="80"/>
          <w:b w:val="1"/>
          <w:bCs w:val="1"/>
          <w:color w:val="000750"/>
          <w:highlight w:val="black"/>
        </w:rPr>
        <w:t>M</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000750"/>
        </w:rPr>
        <w:t>Gross Investment Income</w:t>
      </w:r>
    </w:p>
    <w:p>
      <w:pPr>
        <w:spacing w:after="0" w:line="53" w:lineRule="exact"/>
        <w:rPr>
          <w:sz w:val="20"/>
          <w:szCs w:val="20"/>
          <w:color w:val="auto"/>
        </w:rPr>
      </w:pPr>
    </w:p>
    <w:p>
      <w:pPr>
        <w:ind w:left="2640"/>
        <w:spacing w:after="0"/>
        <w:rPr>
          <w:sz w:val="20"/>
          <w:szCs w:val="20"/>
          <w:color w:val="auto"/>
        </w:rPr>
      </w:pPr>
      <w:r>
        <w:rPr>
          <w:rFonts w:ascii="Arial" w:cs="Arial" w:eastAsia="Arial" w:hAnsi="Arial"/>
          <w:sz w:val="16"/>
          <w:szCs w:val="16"/>
          <w:color w:val="000750"/>
        </w:rPr>
        <w:t>Interest • Fees • Other</w:t>
      </w:r>
    </w:p>
    <w:p>
      <w:pPr>
        <w:spacing w:after="0" w:line="251" w:lineRule="exact"/>
        <w:rPr>
          <w:sz w:val="20"/>
          <w:szCs w:val="20"/>
          <w:color w:val="auto"/>
        </w:rPr>
      </w:pPr>
    </w:p>
    <w:tbl>
      <w:tblPr>
        <w:tblLayout w:type="fixed"/>
        <w:tblInd w:w="640" w:type="dxa"/>
        <w:tblCellMar>
          <w:top w:w="0" w:type="dxa"/>
          <w:left w:w="0" w:type="dxa"/>
          <w:bottom w:w="0" w:type="dxa"/>
          <w:right w:w="0" w:type="dxa"/>
        </w:tblCellMar>
      </w:tblPr>
      <w:tr>
        <w:trPr>
          <w:trHeight w:val="146"/>
        </w:trPr>
        <w:tc>
          <w:tcPr>
            <w:tcW w:w="1680" w:type="dxa"/>
            <w:vAlign w:val="bottom"/>
            <w:vMerge w:val="restart"/>
          </w:tcPr>
          <w:p>
            <w:pPr>
              <w:jc w:val="center"/>
              <w:ind w:right="353"/>
              <w:spacing w:after="0"/>
              <w:rPr>
                <w:sz w:val="20"/>
                <w:szCs w:val="20"/>
                <w:color w:val="auto"/>
              </w:rPr>
            </w:pPr>
            <w:r>
              <w:rPr>
                <w:rFonts w:ascii="Times New Roman" w:cs="Times New Roman" w:eastAsia="Times New Roman" w:hAnsi="Times New Roman"/>
                <w:sz w:val="60"/>
                <w:szCs w:val="60"/>
                <w:b w:val="1"/>
                <w:bCs w:val="1"/>
                <w:color w:val="000750"/>
              </w:rPr>
              <w:t>9.8</w:t>
            </w:r>
            <w:r>
              <w:rPr>
                <w:rFonts w:ascii="Times New Roman" w:cs="Times New Roman" w:eastAsia="Times New Roman" w:hAnsi="Times New Roman"/>
                <w:sz w:val="40"/>
                <w:szCs w:val="40"/>
                <w:b w:val="1"/>
                <w:bCs w:val="1"/>
                <w:color w:val="000750"/>
              </w:rPr>
              <w:t>%</w:t>
            </w:r>
          </w:p>
        </w:tc>
        <w:tc>
          <w:tcPr>
            <w:tcW w:w="20" w:type="dxa"/>
            <w:vAlign w:val="bottom"/>
          </w:tcPr>
          <w:p>
            <w:pPr>
              <w:spacing w:after="0"/>
              <w:rPr>
                <w:sz w:val="12"/>
                <w:szCs w:val="12"/>
                <w:color w:val="auto"/>
              </w:rPr>
            </w:pPr>
          </w:p>
        </w:tc>
        <w:tc>
          <w:tcPr>
            <w:tcW w:w="2480" w:type="dxa"/>
            <w:vAlign w:val="bottom"/>
            <w:vMerge w:val="restart"/>
          </w:tcPr>
          <w:p>
            <w:pPr>
              <w:jc w:val="center"/>
              <w:spacing w:after="0"/>
              <w:rPr>
                <w:sz w:val="20"/>
                <w:szCs w:val="20"/>
                <w:color w:val="auto"/>
              </w:rPr>
            </w:pPr>
            <w:r>
              <w:rPr>
                <w:rFonts w:ascii="Times New Roman" w:cs="Times New Roman" w:eastAsia="Times New Roman" w:hAnsi="Times New Roman"/>
                <w:sz w:val="69"/>
                <w:szCs w:val="69"/>
                <w:b w:val="1"/>
                <w:bCs w:val="1"/>
                <w:color w:val="000750"/>
                <w:w w:val="98"/>
                <w:vertAlign w:val="superscript"/>
              </w:rPr>
              <w:t>$</w:t>
            </w:r>
            <w:r>
              <w:rPr>
                <w:rFonts w:ascii="Times New Roman" w:cs="Times New Roman" w:eastAsia="Times New Roman" w:hAnsi="Times New Roman"/>
                <w:sz w:val="60"/>
                <w:szCs w:val="60"/>
                <w:b w:val="1"/>
                <w:bCs w:val="1"/>
                <w:color w:val="000750"/>
                <w:w w:val="98"/>
              </w:rPr>
              <w:t xml:space="preserve">17.9 </w:t>
            </w:r>
            <w:r>
              <w:rPr>
                <w:rFonts w:ascii="Times New Roman" w:cs="Times New Roman" w:eastAsia="Times New Roman" w:hAnsi="Times New Roman"/>
                <w:sz w:val="40"/>
                <w:szCs w:val="40"/>
                <w:b w:val="1"/>
                <w:bCs w:val="1"/>
                <w:color w:val="000750"/>
                <w:w w:val="98"/>
              </w:rPr>
              <w:t>M</w:t>
            </w:r>
          </w:p>
        </w:tc>
        <w:tc>
          <w:tcPr>
            <w:tcW w:w="20" w:type="dxa"/>
            <w:vAlign w:val="bottom"/>
          </w:tcPr>
          <w:p>
            <w:pPr>
              <w:spacing w:after="0"/>
              <w:rPr>
                <w:sz w:val="12"/>
                <w:szCs w:val="12"/>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69"/>
                <w:szCs w:val="69"/>
                <w:b w:val="1"/>
                <w:bCs w:val="1"/>
                <w:color w:val="000750"/>
                <w:vertAlign w:val="superscript"/>
              </w:rPr>
              <w:t>$</w:t>
            </w:r>
            <w:r>
              <w:rPr>
                <w:rFonts w:ascii="Times New Roman" w:cs="Times New Roman" w:eastAsia="Times New Roman" w:hAnsi="Times New Roman"/>
                <w:sz w:val="60"/>
                <w:szCs w:val="60"/>
                <w:b w:val="1"/>
                <w:bCs w:val="1"/>
                <w:color w:val="000750"/>
              </w:rPr>
              <w:t xml:space="preserve">13.8 </w:t>
            </w:r>
            <w:r>
              <w:rPr>
                <w:rFonts w:ascii="Times New Roman" w:cs="Times New Roman" w:eastAsia="Times New Roman" w:hAnsi="Times New Roman"/>
                <w:sz w:val="40"/>
                <w:szCs w:val="40"/>
                <w:b w:val="1"/>
                <w:bCs w:val="1"/>
                <w:color w:val="000750"/>
              </w:rPr>
              <w:t>M</w:t>
            </w:r>
          </w:p>
        </w:tc>
        <w:tc>
          <w:tcPr>
            <w:tcW w:w="0" w:type="dxa"/>
            <w:vAlign w:val="bottom"/>
          </w:tcPr>
          <w:p>
            <w:pPr>
              <w:spacing w:after="0"/>
              <w:rPr>
                <w:sz w:val="1"/>
                <w:szCs w:val="1"/>
                <w:color w:val="auto"/>
              </w:rPr>
            </w:pPr>
          </w:p>
        </w:tc>
      </w:tr>
      <w:tr>
        <w:trPr>
          <w:trHeight w:val="647"/>
        </w:trPr>
        <w:tc>
          <w:tcPr>
            <w:tcW w:w="1680" w:type="dxa"/>
            <w:vAlign w:val="bottom"/>
            <w:vMerge w:val="continue"/>
          </w:tcPr>
          <w:p>
            <w:pPr>
              <w:spacing w:after="0"/>
              <w:rPr>
                <w:sz w:val="24"/>
                <w:szCs w:val="24"/>
                <w:color w:val="auto"/>
              </w:rPr>
            </w:pPr>
          </w:p>
        </w:tc>
        <w:tc>
          <w:tcPr>
            <w:tcW w:w="20" w:type="dxa"/>
            <w:vAlign w:val="bottom"/>
            <w:shd w:val="clear" w:color="auto" w:fill="000750"/>
          </w:tcPr>
          <w:p>
            <w:pPr>
              <w:spacing w:after="0"/>
              <w:rPr>
                <w:sz w:val="24"/>
                <w:szCs w:val="24"/>
                <w:color w:val="auto"/>
              </w:rPr>
            </w:pPr>
          </w:p>
        </w:tc>
        <w:tc>
          <w:tcPr>
            <w:tcW w:w="2480" w:type="dxa"/>
            <w:vAlign w:val="bottom"/>
            <w:vMerge w:val="continue"/>
          </w:tcPr>
          <w:p>
            <w:pPr>
              <w:spacing w:after="0"/>
              <w:rPr>
                <w:sz w:val="24"/>
                <w:szCs w:val="24"/>
                <w:color w:val="auto"/>
              </w:rPr>
            </w:pPr>
          </w:p>
        </w:tc>
        <w:tc>
          <w:tcPr>
            <w:tcW w:w="20" w:type="dxa"/>
            <w:vAlign w:val="bottom"/>
            <w:shd w:val="clear" w:color="auto" w:fill="000750"/>
          </w:tcPr>
          <w:p>
            <w:pPr>
              <w:spacing w:after="0"/>
              <w:rPr>
                <w:sz w:val="24"/>
                <w:szCs w:val="24"/>
                <w:color w:val="auto"/>
              </w:rPr>
            </w:pPr>
          </w:p>
        </w:tc>
        <w:tc>
          <w:tcPr>
            <w:tcW w:w="19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1680" w:type="dxa"/>
            <w:vAlign w:val="bottom"/>
          </w:tcPr>
          <w:p>
            <w:pPr>
              <w:jc w:val="center"/>
              <w:ind w:right="353"/>
              <w:spacing w:after="0"/>
              <w:rPr>
                <w:sz w:val="20"/>
                <w:szCs w:val="20"/>
                <w:color w:val="auto"/>
              </w:rPr>
            </w:pPr>
            <w:r>
              <w:rPr>
                <w:rFonts w:ascii="Times New Roman" w:cs="Times New Roman" w:eastAsia="Times New Roman" w:hAnsi="Times New Roman"/>
                <w:sz w:val="20"/>
                <w:szCs w:val="20"/>
                <w:b w:val="1"/>
                <w:bCs w:val="1"/>
                <w:color w:val="000750"/>
              </w:rPr>
              <w:t>Combined</w:t>
            </w:r>
          </w:p>
        </w:tc>
        <w:tc>
          <w:tcPr>
            <w:tcW w:w="20" w:type="dxa"/>
            <w:vAlign w:val="bottom"/>
            <w:shd w:val="clear" w:color="auto" w:fill="000750"/>
          </w:tcPr>
          <w:p>
            <w:pPr>
              <w:spacing w:after="0"/>
              <w:rPr>
                <w:sz w:val="20"/>
                <w:szCs w:val="20"/>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000750"/>
              </w:rPr>
              <w:t>Interest Income</w:t>
            </w:r>
          </w:p>
        </w:tc>
        <w:tc>
          <w:tcPr>
            <w:tcW w:w="20" w:type="dxa"/>
            <w:vAlign w:val="bottom"/>
            <w:shd w:val="clear" w:color="auto" w:fill="000750"/>
          </w:tcPr>
          <w:p>
            <w:pPr>
              <w:spacing w:after="0"/>
              <w:rPr>
                <w:sz w:val="20"/>
                <w:szCs w:val="20"/>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000750"/>
              </w:rPr>
              <w:t>Fees &amp; Other</w:t>
            </w:r>
          </w:p>
        </w:tc>
        <w:tc>
          <w:tcPr>
            <w:tcW w:w="0" w:type="dxa"/>
            <w:vAlign w:val="bottom"/>
          </w:tcPr>
          <w:p>
            <w:pPr>
              <w:spacing w:after="0"/>
              <w:rPr>
                <w:sz w:val="1"/>
                <w:szCs w:val="1"/>
                <w:color w:val="auto"/>
              </w:rPr>
            </w:pPr>
          </w:p>
        </w:tc>
      </w:tr>
      <w:tr>
        <w:trPr>
          <w:trHeight w:val="198"/>
        </w:trPr>
        <w:tc>
          <w:tcPr>
            <w:tcW w:w="1680" w:type="dxa"/>
            <w:vAlign w:val="bottom"/>
            <w:vMerge w:val="restart"/>
          </w:tcPr>
          <w:p>
            <w:pPr>
              <w:jc w:val="center"/>
              <w:ind w:right="353"/>
              <w:spacing w:after="0"/>
              <w:rPr>
                <w:sz w:val="20"/>
                <w:szCs w:val="20"/>
                <w:color w:val="auto"/>
              </w:rPr>
            </w:pPr>
            <w:r>
              <w:rPr>
                <w:rFonts w:ascii="Times New Roman" w:cs="Times New Roman" w:eastAsia="Times New Roman" w:hAnsi="Times New Roman"/>
                <w:sz w:val="20"/>
                <w:szCs w:val="20"/>
                <w:b w:val="1"/>
                <w:bCs w:val="1"/>
                <w:color w:val="000750"/>
              </w:rPr>
              <w:t>Net Yield</w:t>
            </w:r>
          </w:p>
        </w:tc>
        <w:tc>
          <w:tcPr>
            <w:tcW w:w="20" w:type="dxa"/>
            <w:vAlign w:val="bottom"/>
            <w:shd w:val="clear" w:color="auto" w:fill="000750"/>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shd w:val="clear" w:color="auto" w:fill="000750"/>
          </w:tcPr>
          <w:p>
            <w:pPr>
              <w:spacing w:after="0"/>
              <w:rPr>
                <w:sz w:val="17"/>
                <w:szCs w:val="17"/>
                <w:color w:val="auto"/>
              </w:rPr>
            </w:pPr>
          </w:p>
        </w:tc>
        <w:tc>
          <w:tcPr>
            <w:tcW w:w="19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000750"/>
              </w:rPr>
              <w:t>Income</w:t>
            </w:r>
          </w:p>
        </w:tc>
        <w:tc>
          <w:tcPr>
            <w:tcW w:w="0" w:type="dxa"/>
            <w:vAlign w:val="bottom"/>
          </w:tcPr>
          <w:p>
            <w:pPr>
              <w:spacing w:after="0"/>
              <w:rPr>
                <w:sz w:val="1"/>
                <w:szCs w:val="1"/>
                <w:color w:val="auto"/>
              </w:rPr>
            </w:pPr>
          </w:p>
        </w:tc>
      </w:tr>
      <w:tr>
        <w:trPr>
          <w:trHeight w:val="105"/>
        </w:trPr>
        <w:tc>
          <w:tcPr>
            <w:tcW w:w="16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90170</wp:posOffset>
            </wp:positionV>
            <wp:extent cx="4316095" cy="45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8">
                      <a:extLst>
                        <a:ext uri="{28A0092B-C50C-407E-A947-70E740481C1C}"/>
                      </a:extLst>
                    </a:blip>
                    <a:srcRect/>
                    <a:stretch>
                      <a:fillRect/>
                    </a:stretch>
                  </pic:blipFill>
                  <pic:spPr bwMode="auto">
                    <a:xfrm>
                      <a:off x="0" y="0"/>
                      <a:ext cx="4316095" cy="45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6"/>
          <w:szCs w:val="36"/>
          <w:color w:val="000750"/>
        </w:rPr>
        <w:t>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-444500</wp:posOffset>
            </wp:positionV>
            <wp:extent cx="2823210" cy="10058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9">
                      <a:extLst>
                        <a:ext uri="{28A0092B-C50C-407E-A947-70E740481C1C}"/>
                      </a:extLst>
                    </a:blip>
                    <a:srcRect/>
                    <a:stretch>
                      <a:fillRect/>
                    </a:stretch>
                  </pic:blipFill>
                  <pic:spPr bwMode="auto">
                    <a:xfrm>
                      <a:off x="0" y="0"/>
                      <a:ext cx="282321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FFFFFF"/>
        </w:rPr>
        <w:t>Jason Overbaugh</w:t>
      </w:r>
    </w:p>
    <w:p>
      <w:pPr>
        <w:jc w:val="center"/>
        <w:ind w:right="20"/>
        <w:spacing w:after="0" w:line="227" w:lineRule="auto"/>
        <w:rPr>
          <w:sz w:val="20"/>
          <w:szCs w:val="20"/>
          <w:color w:val="auto"/>
        </w:rPr>
      </w:pPr>
      <w:r>
        <w:rPr>
          <w:rFonts w:ascii="Arial" w:cs="Arial" w:eastAsia="Arial" w:hAnsi="Arial"/>
          <w:sz w:val="17"/>
          <w:szCs w:val="17"/>
          <w:color w:val="FFFFFF"/>
        </w:rPr>
        <w:t>President</w:t>
      </w:r>
    </w:p>
    <w:p>
      <w:pPr>
        <w:jc w:val="center"/>
        <w:spacing w:after="0" w:line="238" w:lineRule="auto"/>
        <w:rPr>
          <w:sz w:val="20"/>
          <w:szCs w:val="20"/>
          <w:color w:val="auto"/>
        </w:rPr>
      </w:pPr>
      <w:r>
        <w:rPr>
          <w:rFonts w:ascii="Arial" w:cs="Arial" w:eastAsia="Arial" w:hAnsi="Arial"/>
          <w:sz w:val="17"/>
          <w:szCs w:val="17"/>
          <w:color w:val="FFFFFF"/>
        </w:rPr>
        <w:t>Real Estate Services Division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Shane Wilson</w:t>
      </w:r>
    </w:p>
    <w:p>
      <w:pPr>
        <w:jc w:val="center"/>
        <w:spacing w:after="0" w:line="227" w:lineRule="auto"/>
        <w:rPr>
          <w:sz w:val="20"/>
          <w:szCs w:val="20"/>
          <w:color w:val="auto"/>
        </w:rPr>
      </w:pPr>
      <w:r>
        <w:rPr>
          <w:rFonts w:ascii="Arial" w:cs="Arial" w:eastAsia="Arial" w:hAnsi="Arial"/>
          <w:sz w:val="17"/>
          <w:szCs w:val="17"/>
          <w:color w:val="FFFFFF"/>
        </w:rPr>
        <w:t>Senior Vice President</w:t>
      </w:r>
    </w:p>
    <w:p>
      <w:pPr>
        <w:jc w:val="center"/>
        <w:spacing w:after="0" w:line="238" w:lineRule="auto"/>
        <w:rPr>
          <w:sz w:val="20"/>
          <w:szCs w:val="20"/>
          <w:color w:val="auto"/>
        </w:rPr>
      </w:pPr>
      <w:r>
        <w:rPr>
          <w:rFonts w:ascii="Arial" w:cs="Arial" w:eastAsia="Arial" w:hAnsi="Arial"/>
          <w:sz w:val="17"/>
          <w:szCs w:val="17"/>
          <w:color w:val="FFFFFF"/>
        </w:rPr>
        <w:t>SNCC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Jeffrey Degraffenried</w:t>
      </w:r>
    </w:p>
    <w:p>
      <w:pPr>
        <w:jc w:val="center"/>
        <w:spacing w:after="0" w:line="227" w:lineRule="auto"/>
        <w:rPr>
          <w:sz w:val="20"/>
          <w:szCs w:val="20"/>
          <w:color w:val="auto"/>
        </w:rPr>
      </w:pPr>
      <w:r>
        <w:rPr>
          <w:rFonts w:ascii="Arial" w:cs="Arial" w:eastAsia="Arial" w:hAnsi="Arial"/>
          <w:sz w:val="17"/>
          <w:szCs w:val="17"/>
          <w:color w:val="FFFFFF"/>
        </w:rPr>
        <w:t>Vice President</w:t>
      </w:r>
    </w:p>
    <w:p>
      <w:pPr>
        <w:jc w:val="center"/>
        <w:spacing w:after="0" w:line="238" w:lineRule="auto"/>
        <w:rPr>
          <w:sz w:val="20"/>
          <w:szCs w:val="20"/>
          <w:color w:val="auto"/>
        </w:rPr>
      </w:pPr>
      <w:r>
        <w:rPr>
          <w:rFonts w:ascii="Arial" w:cs="Arial" w:eastAsia="Arial" w:hAnsi="Arial"/>
          <w:sz w:val="17"/>
          <w:szCs w:val="17"/>
          <w:color w:val="FFFFFF"/>
        </w:rPr>
        <w:t>Construction Lending &amp; Builder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Todd Guymon</w:t>
      </w:r>
    </w:p>
    <w:p>
      <w:pPr>
        <w:jc w:val="center"/>
        <w:spacing w:after="0" w:line="227" w:lineRule="auto"/>
        <w:rPr>
          <w:sz w:val="20"/>
          <w:szCs w:val="20"/>
          <w:color w:val="auto"/>
        </w:rPr>
      </w:pPr>
      <w:r>
        <w:rPr>
          <w:rFonts w:ascii="Arial" w:cs="Arial" w:eastAsia="Arial" w:hAnsi="Arial"/>
          <w:sz w:val="17"/>
          <w:szCs w:val="17"/>
          <w:color w:val="FFFFFF"/>
        </w:rPr>
        <w:t>Vice President</w:t>
      </w:r>
    </w:p>
    <w:p>
      <w:pPr>
        <w:jc w:val="center"/>
        <w:spacing w:after="0" w:line="238" w:lineRule="auto"/>
        <w:rPr>
          <w:sz w:val="20"/>
          <w:szCs w:val="20"/>
          <w:color w:val="auto"/>
        </w:rPr>
      </w:pPr>
      <w:r>
        <w:rPr>
          <w:rFonts w:ascii="Arial" w:cs="Arial" w:eastAsia="Arial" w:hAnsi="Arial"/>
          <w:sz w:val="17"/>
          <w:szCs w:val="17"/>
          <w:color w:val="FFFFFF"/>
        </w:rPr>
        <w:t>Commercial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FFFFFF"/>
        </w:rPr>
        <w:t>Brian Nelsen</w:t>
      </w:r>
    </w:p>
    <w:p>
      <w:pPr>
        <w:ind w:left="1200"/>
        <w:spacing w:after="0" w:line="227" w:lineRule="auto"/>
        <w:rPr>
          <w:sz w:val="20"/>
          <w:szCs w:val="20"/>
          <w:color w:val="auto"/>
        </w:rPr>
      </w:pPr>
      <w:r>
        <w:rPr>
          <w:rFonts w:ascii="Arial" w:cs="Arial" w:eastAsia="Arial" w:hAnsi="Arial"/>
          <w:sz w:val="17"/>
          <w:szCs w:val="17"/>
          <w:color w:val="FFFFFF"/>
        </w:rPr>
        <w:t>SNCC Manager</w:t>
      </w:r>
    </w:p>
    <w:p>
      <w:pPr>
        <w:sectPr>
          <w:pgSz w:w="12240" w:h="15840" w:orient="portrait"/>
          <w:cols w:equalWidth="0" w:num="2">
            <w:col w:w="7100" w:space="720"/>
            <w:col w:w="3600"/>
          </w:cols>
          <w:pgMar w:left="400" w:top="287" w:right="420" w:bottom="369"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70"/>
          <w:szCs w:val="70"/>
          <w:b w:val="1"/>
          <w:bCs w:val="1"/>
          <w:color w:val="000750"/>
        </w:rPr>
        <w:drawing>
          <wp:anchor simplePos="0" relativeHeight="251657728" behindDoc="1" locked="0" layoutInCell="0" allowOverlap="1">
            <wp:simplePos x="0" y="0"/>
            <wp:positionH relativeFrom="page">
              <wp:posOffset>2775585</wp:posOffset>
            </wp:positionH>
            <wp:positionV relativeFrom="page">
              <wp:posOffset>0</wp:posOffset>
            </wp:positionV>
            <wp:extent cx="2219960" cy="2501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0">
                      <a:extLst>
                        <a:ext uri="{28A0092B-C50C-407E-A947-70E740481C1C}"/>
                      </a:extLst>
                    </a:blip>
                    <a:srcRect/>
                    <a:stretch>
                      <a:fillRect/>
                    </a:stretch>
                  </pic:blipFill>
                  <pic:spPr bwMode="auto">
                    <a:xfrm>
                      <a:off x="0" y="0"/>
                      <a:ext cx="2219960" cy="250190"/>
                    </a:xfrm>
                    <a:prstGeom prst="rect">
                      <a:avLst/>
                    </a:prstGeom>
                    <a:noFill/>
                  </pic:spPr>
                </pic:pic>
              </a:graphicData>
            </a:graphic>
          </wp:anchor>
        </w:drawing>
        <w:t>Residential Construction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wp:posOffset>
            </wp:positionH>
            <wp:positionV relativeFrom="paragraph">
              <wp:posOffset>341630</wp:posOffset>
            </wp:positionV>
            <wp:extent cx="7772400" cy="891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1">
                      <a:extLst>
                        <a:ext uri="{28A0092B-C50C-407E-A947-70E740481C1C}"/>
                      </a:extLst>
                    </a:blip>
                    <a:srcRect/>
                    <a:stretch>
                      <a:fillRect/>
                    </a:stretch>
                  </pic:blipFill>
                  <pic:spPr bwMode="auto">
                    <a:xfrm>
                      <a:off x="0" y="0"/>
                      <a:ext cx="7772400" cy="8915400"/>
                    </a:xfrm>
                    <a:prstGeom prst="rect">
                      <a:avLst/>
                    </a:prstGeom>
                    <a:noFill/>
                  </pic:spPr>
                </pic:pic>
              </a:graphicData>
            </a:graphic>
          </wp:anchor>
        </w:drawing>
      </w:r>
    </w:p>
    <w:p>
      <w:pPr>
        <w:sectPr>
          <w:pgSz w:w="12240" w:h="15840" w:orient="portrait"/>
          <w:cols w:equalWidth="0" w:num="1">
            <w:col w:w="10760"/>
          </w:cols>
          <w:pgMar w:left="800" w:top="457" w:right="680" w:bottom="3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60" w:type="dxa"/>
        <w:tblCellMar>
          <w:top w:w="0" w:type="dxa"/>
          <w:left w:w="0" w:type="dxa"/>
          <w:bottom w:w="0" w:type="dxa"/>
          <w:right w:w="0" w:type="dxa"/>
        </w:tblCellMar>
      </w:tblPr>
      <w:tr>
        <w:trPr>
          <w:trHeight w:val="397"/>
        </w:trPr>
        <w:tc>
          <w:tcPr>
            <w:tcW w:w="20" w:type="dxa"/>
            <w:vAlign w:val="bottom"/>
          </w:tcPr>
          <w:p>
            <w:pPr>
              <w:spacing w:after="0"/>
              <w:rPr>
                <w:sz w:val="24"/>
                <w:szCs w:val="24"/>
                <w:color w:val="auto"/>
              </w:rPr>
            </w:pPr>
          </w:p>
        </w:tc>
        <w:tc>
          <w:tcPr>
            <w:tcW w:w="342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FFFFFF"/>
              </w:rPr>
              <w:t>Single Family Residential</w:t>
            </w:r>
          </w:p>
        </w:tc>
        <w:tc>
          <w:tcPr>
            <w:tcW w:w="240" w:type="dxa"/>
            <w:vAlign w:val="bottom"/>
          </w:tcPr>
          <w:p>
            <w:pPr>
              <w:spacing w:after="0"/>
              <w:rPr>
                <w:sz w:val="24"/>
                <w:szCs w:val="24"/>
                <w:color w:val="auto"/>
              </w:rPr>
            </w:pP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28"/>
                <w:szCs w:val="28"/>
                <w:color w:val="FFFFFF"/>
              </w:rPr>
              <w:t>Multi Family Residential</w:t>
            </w:r>
          </w:p>
        </w:tc>
      </w:tr>
      <w:tr>
        <w:trPr>
          <w:trHeight w:val="570"/>
        </w:trPr>
        <w:tc>
          <w:tcPr>
            <w:tcW w:w="3440" w:type="dxa"/>
            <w:vAlign w:val="bottom"/>
            <w:gridSpan w:val="3"/>
          </w:tcPr>
          <w:p>
            <w:pPr>
              <w:spacing w:after="0"/>
              <w:rPr>
                <w:sz w:val="20"/>
                <w:szCs w:val="20"/>
                <w:color w:val="auto"/>
              </w:rPr>
            </w:pPr>
            <w:r>
              <w:rPr>
                <w:rFonts w:ascii="Arial" w:cs="Arial" w:eastAsia="Arial" w:hAnsi="Arial"/>
                <w:sz w:val="14"/>
                <w:szCs w:val="14"/>
                <w:color w:val="FFFFFF"/>
              </w:rPr>
              <w:t>COLLATERAL TYPE</w:t>
            </w:r>
          </w:p>
        </w:tc>
        <w:tc>
          <w:tcPr>
            <w:tcW w:w="3380" w:type="dxa"/>
            <w:vAlign w:val="bottom"/>
            <w:gridSpan w:val="3"/>
          </w:tcPr>
          <w:p>
            <w:pPr>
              <w:ind w:left="220"/>
              <w:spacing w:after="0"/>
              <w:rPr>
                <w:sz w:val="20"/>
                <w:szCs w:val="20"/>
                <w:color w:val="auto"/>
              </w:rPr>
            </w:pPr>
            <w:r>
              <w:rPr>
                <w:rFonts w:ascii="Arial" w:cs="Arial" w:eastAsia="Arial" w:hAnsi="Arial"/>
                <w:sz w:val="14"/>
                <w:szCs w:val="14"/>
                <w:color w:val="FFFFFF"/>
              </w:rPr>
              <w:t>COLLATERAL TYPE</w:t>
            </w:r>
          </w:p>
        </w:tc>
      </w:tr>
      <w:tr>
        <w:trPr>
          <w:trHeight w:val="206"/>
        </w:trPr>
        <w:tc>
          <w:tcPr>
            <w:tcW w:w="3440" w:type="dxa"/>
            <w:vAlign w:val="bottom"/>
            <w:gridSpan w:val="3"/>
          </w:tcPr>
          <w:p>
            <w:pPr>
              <w:spacing w:after="0"/>
              <w:rPr>
                <w:sz w:val="20"/>
                <w:szCs w:val="20"/>
                <w:color w:val="auto"/>
              </w:rPr>
            </w:pPr>
            <w:r>
              <w:rPr>
                <w:rFonts w:ascii="Arial" w:cs="Arial" w:eastAsia="Arial" w:hAnsi="Arial"/>
                <w:sz w:val="18"/>
                <w:szCs w:val="18"/>
                <w:color w:val="FFFFFF"/>
              </w:rPr>
              <w:t>First lien deed of trust on</w:t>
            </w:r>
          </w:p>
        </w:tc>
        <w:tc>
          <w:tcPr>
            <w:tcW w:w="3380" w:type="dxa"/>
            <w:vAlign w:val="bottom"/>
            <w:gridSpan w:val="3"/>
          </w:tcPr>
          <w:p>
            <w:pPr>
              <w:ind w:left="220"/>
              <w:spacing w:after="0"/>
              <w:rPr>
                <w:sz w:val="20"/>
                <w:szCs w:val="20"/>
                <w:color w:val="auto"/>
              </w:rPr>
            </w:pPr>
            <w:r>
              <w:rPr>
                <w:rFonts w:ascii="Arial" w:cs="Arial" w:eastAsia="Arial" w:hAnsi="Arial"/>
                <w:sz w:val="18"/>
                <w:szCs w:val="18"/>
                <w:color w:val="FFFFFF"/>
              </w:rPr>
              <w:t>First lien deed of trust on attached</w:t>
            </w:r>
          </w:p>
        </w:tc>
      </w:tr>
      <w:tr>
        <w:trPr>
          <w:trHeight w:val="200"/>
        </w:trPr>
        <w:tc>
          <w:tcPr>
            <w:tcW w:w="3440" w:type="dxa"/>
            <w:vAlign w:val="bottom"/>
            <w:gridSpan w:val="3"/>
          </w:tcPr>
          <w:p>
            <w:pPr>
              <w:spacing w:after="0" w:line="200" w:lineRule="exact"/>
              <w:rPr>
                <w:sz w:val="20"/>
                <w:szCs w:val="20"/>
                <w:color w:val="auto"/>
              </w:rPr>
            </w:pPr>
            <w:r>
              <w:rPr>
                <w:rFonts w:ascii="Arial" w:cs="Arial" w:eastAsia="Arial" w:hAnsi="Arial"/>
                <w:sz w:val="18"/>
                <w:szCs w:val="18"/>
                <w:color w:val="FFFFFF"/>
              </w:rPr>
              <w:t>residential real property</w:t>
            </w:r>
          </w:p>
        </w:tc>
        <w:tc>
          <w:tcPr>
            <w:tcW w:w="3380" w:type="dxa"/>
            <w:vAlign w:val="bottom"/>
            <w:gridSpan w:val="3"/>
          </w:tcPr>
          <w:p>
            <w:pPr>
              <w:ind w:left="220"/>
              <w:spacing w:after="0" w:line="200" w:lineRule="exact"/>
              <w:rPr>
                <w:sz w:val="20"/>
                <w:szCs w:val="20"/>
                <w:color w:val="auto"/>
              </w:rPr>
            </w:pPr>
            <w:r>
              <w:rPr>
                <w:rFonts w:ascii="Arial" w:cs="Arial" w:eastAsia="Arial" w:hAnsi="Arial"/>
                <w:sz w:val="18"/>
                <w:szCs w:val="18"/>
                <w:color w:val="FFFFFF"/>
              </w:rPr>
              <w:t>residential project</w:t>
            </w:r>
          </w:p>
        </w:tc>
      </w:tr>
      <w:tr>
        <w:trPr>
          <w:trHeight w:val="200"/>
        </w:trPr>
        <w:tc>
          <w:tcPr>
            <w:tcW w:w="3440" w:type="dxa"/>
            <w:vAlign w:val="bottom"/>
            <w:gridSpan w:val="3"/>
          </w:tcPr>
          <w:p>
            <w:pPr>
              <w:spacing w:after="0" w:line="200" w:lineRule="exact"/>
              <w:rPr>
                <w:sz w:val="20"/>
                <w:szCs w:val="20"/>
                <w:color w:val="auto"/>
              </w:rPr>
            </w:pPr>
            <w:r>
              <w:rPr>
                <w:rFonts w:ascii="Arial" w:cs="Arial" w:eastAsia="Arial" w:hAnsi="Arial"/>
                <w:sz w:val="18"/>
                <w:szCs w:val="18"/>
                <w:color w:val="FFFFFF"/>
              </w:rPr>
              <w:t>under construction</w:t>
            </w:r>
          </w:p>
        </w:tc>
        <w:tc>
          <w:tcPr>
            <w:tcW w:w="3380" w:type="dxa"/>
            <w:vAlign w:val="bottom"/>
            <w:gridSpan w:val="3"/>
          </w:tcPr>
          <w:p>
            <w:pPr>
              <w:ind w:left="220"/>
              <w:spacing w:after="0" w:line="200" w:lineRule="exact"/>
              <w:rPr>
                <w:sz w:val="20"/>
                <w:szCs w:val="20"/>
                <w:color w:val="auto"/>
              </w:rPr>
            </w:pPr>
            <w:r>
              <w:rPr>
                <w:rFonts w:ascii="Arial" w:cs="Arial" w:eastAsia="Arial" w:hAnsi="Arial"/>
                <w:sz w:val="18"/>
                <w:szCs w:val="18"/>
                <w:color w:val="FFFFFF"/>
              </w:rPr>
              <w:t>under construction</w:t>
            </w:r>
          </w:p>
        </w:tc>
      </w:tr>
      <w:tr>
        <w:trPr>
          <w:trHeight w:val="273"/>
        </w:trPr>
        <w:tc>
          <w:tcPr>
            <w:tcW w:w="20" w:type="dxa"/>
            <w:vAlign w:val="bottom"/>
          </w:tcPr>
          <w:p>
            <w:pPr>
              <w:spacing w:after="0"/>
              <w:rPr>
                <w:sz w:val="23"/>
                <w:szCs w:val="23"/>
                <w:color w:val="auto"/>
              </w:rPr>
            </w:pPr>
          </w:p>
        </w:tc>
        <w:tc>
          <w:tcPr>
            <w:tcW w:w="3060" w:type="dxa"/>
            <w:vAlign w:val="bottom"/>
            <w:tcBorders>
              <w:bottom w:val="single" w:sz="8" w:color="000010"/>
            </w:tcBorders>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80" w:type="dxa"/>
            <w:vAlign w:val="bottom"/>
            <w:tcBorders>
              <w:bottom w:val="single" w:sz="8" w:color="000010"/>
            </w:tcBorders>
          </w:tcPr>
          <w:p>
            <w:pPr>
              <w:spacing w:after="0"/>
              <w:rPr>
                <w:sz w:val="23"/>
                <w:szCs w:val="23"/>
                <w:color w:val="auto"/>
              </w:rPr>
            </w:pPr>
          </w:p>
        </w:tc>
        <w:tc>
          <w:tcPr>
            <w:tcW w:w="60" w:type="dxa"/>
            <w:vAlign w:val="bottom"/>
          </w:tcPr>
          <w:p>
            <w:pPr>
              <w:spacing w:after="0"/>
              <w:rPr>
                <w:sz w:val="23"/>
                <w:szCs w:val="23"/>
                <w:color w:val="auto"/>
              </w:rPr>
            </w:pPr>
          </w:p>
        </w:tc>
      </w:tr>
      <w:tr>
        <w:trPr>
          <w:trHeight w:val="439"/>
        </w:trPr>
        <w:tc>
          <w:tcPr>
            <w:tcW w:w="3440" w:type="dxa"/>
            <w:vAlign w:val="bottom"/>
            <w:gridSpan w:val="3"/>
          </w:tcPr>
          <w:p>
            <w:pPr>
              <w:spacing w:after="0"/>
              <w:rPr>
                <w:sz w:val="20"/>
                <w:szCs w:val="20"/>
                <w:color w:val="auto"/>
              </w:rPr>
            </w:pPr>
            <w:r>
              <w:rPr>
                <w:rFonts w:ascii="Arial" w:cs="Arial" w:eastAsia="Arial" w:hAnsi="Arial"/>
                <w:sz w:val="14"/>
                <w:szCs w:val="14"/>
                <w:color w:val="FFFFFF"/>
              </w:rPr>
              <w:t>LTV</w:t>
            </w:r>
          </w:p>
        </w:tc>
        <w:tc>
          <w:tcPr>
            <w:tcW w:w="3380" w:type="dxa"/>
            <w:vAlign w:val="bottom"/>
            <w:gridSpan w:val="3"/>
          </w:tcPr>
          <w:p>
            <w:pPr>
              <w:ind w:left="220"/>
              <w:spacing w:after="0"/>
              <w:rPr>
                <w:sz w:val="20"/>
                <w:szCs w:val="20"/>
                <w:color w:val="auto"/>
              </w:rPr>
            </w:pPr>
            <w:r>
              <w:rPr>
                <w:rFonts w:ascii="Arial" w:cs="Arial" w:eastAsia="Arial" w:hAnsi="Arial"/>
                <w:sz w:val="14"/>
                <w:szCs w:val="14"/>
                <w:color w:val="FFFFFF"/>
              </w:rPr>
              <w:t>LTV</w:t>
            </w:r>
          </w:p>
        </w:tc>
      </w:tr>
      <w:tr>
        <w:trPr>
          <w:trHeight w:val="385"/>
        </w:trPr>
        <w:tc>
          <w:tcPr>
            <w:tcW w:w="3440" w:type="dxa"/>
            <w:vAlign w:val="bottom"/>
            <w:gridSpan w:val="3"/>
          </w:tcPr>
          <w:p>
            <w:pPr>
              <w:spacing w:after="0"/>
              <w:rPr>
                <w:sz w:val="20"/>
                <w:szCs w:val="20"/>
                <w:color w:val="auto"/>
              </w:rPr>
            </w:pPr>
            <w:r>
              <w:rPr>
                <w:rFonts w:ascii="Arial" w:cs="Arial" w:eastAsia="Arial" w:hAnsi="Arial"/>
                <w:sz w:val="30"/>
                <w:szCs w:val="30"/>
                <w:color w:val="FFFFFF"/>
              </w:rPr>
              <w:t>UP TO 80%</w:t>
            </w:r>
          </w:p>
        </w:tc>
        <w:tc>
          <w:tcPr>
            <w:tcW w:w="3380" w:type="dxa"/>
            <w:vAlign w:val="bottom"/>
            <w:gridSpan w:val="3"/>
          </w:tcPr>
          <w:p>
            <w:pPr>
              <w:ind w:left="220"/>
              <w:spacing w:after="0"/>
              <w:rPr>
                <w:sz w:val="20"/>
                <w:szCs w:val="20"/>
                <w:color w:val="auto"/>
              </w:rPr>
            </w:pPr>
            <w:r>
              <w:rPr>
                <w:rFonts w:ascii="Arial" w:cs="Arial" w:eastAsia="Arial" w:hAnsi="Arial"/>
                <w:sz w:val="30"/>
                <w:szCs w:val="30"/>
                <w:color w:val="FFFFFF"/>
              </w:rPr>
              <w:t>UP TO 80%</w:t>
            </w:r>
          </w:p>
        </w:tc>
      </w:tr>
      <w:tr>
        <w:trPr>
          <w:trHeight w:val="171"/>
        </w:trPr>
        <w:tc>
          <w:tcPr>
            <w:tcW w:w="3440" w:type="dxa"/>
            <w:vAlign w:val="bottom"/>
            <w:gridSpan w:val="3"/>
          </w:tcPr>
          <w:p>
            <w:pPr>
              <w:spacing w:after="0" w:line="171" w:lineRule="exact"/>
              <w:rPr>
                <w:sz w:val="20"/>
                <w:szCs w:val="20"/>
                <w:color w:val="auto"/>
              </w:rPr>
            </w:pPr>
            <w:r>
              <w:rPr>
                <w:rFonts w:ascii="Arial" w:cs="Arial" w:eastAsia="Arial" w:hAnsi="Arial"/>
                <w:sz w:val="16"/>
                <w:szCs w:val="16"/>
                <w:color w:val="FFFFFF"/>
              </w:rPr>
              <w:t>of appraised completion value</w:t>
            </w:r>
          </w:p>
        </w:tc>
        <w:tc>
          <w:tcPr>
            <w:tcW w:w="3380" w:type="dxa"/>
            <w:vAlign w:val="bottom"/>
            <w:gridSpan w:val="3"/>
          </w:tcPr>
          <w:p>
            <w:pPr>
              <w:ind w:left="220"/>
              <w:spacing w:after="0" w:line="171" w:lineRule="exact"/>
              <w:rPr>
                <w:sz w:val="20"/>
                <w:szCs w:val="20"/>
                <w:color w:val="auto"/>
              </w:rPr>
            </w:pPr>
            <w:r>
              <w:rPr>
                <w:rFonts w:ascii="Arial" w:cs="Arial" w:eastAsia="Arial" w:hAnsi="Arial"/>
                <w:sz w:val="16"/>
                <w:szCs w:val="16"/>
                <w:color w:val="FFFFFF"/>
              </w:rPr>
              <w:t>of appraised completion value</w:t>
            </w:r>
          </w:p>
        </w:tc>
      </w:tr>
      <w:tr>
        <w:trPr>
          <w:trHeight w:val="275"/>
        </w:trPr>
        <w:tc>
          <w:tcPr>
            <w:tcW w:w="20" w:type="dxa"/>
            <w:vAlign w:val="bottom"/>
          </w:tcPr>
          <w:p>
            <w:pPr>
              <w:spacing w:after="0"/>
              <w:rPr>
                <w:sz w:val="23"/>
                <w:szCs w:val="23"/>
                <w:color w:val="auto"/>
              </w:rPr>
            </w:pPr>
          </w:p>
        </w:tc>
        <w:tc>
          <w:tcPr>
            <w:tcW w:w="3060" w:type="dxa"/>
            <w:vAlign w:val="bottom"/>
            <w:tcBorders>
              <w:bottom w:val="single" w:sz="8" w:color="000010"/>
            </w:tcBorders>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80" w:type="dxa"/>
            <w:vAlign w:val="bottom"/>
            <w:tcBorders>
              <w:bottom w:val="single" w:sz="8" w:color="000010"/>
            </w:tcBorders>
          </w:tcPr>
          <w:p>
            <w:pPr>
              <w:spacing w:after="0"/>
              <w:rPr>
                <w:sz w:val="23"/>
                <w:szCs w:val="23"/>
                <w:color w:val="auto"/>
              </w:rPr>
            </w:pPr>
          </w:p>
        </w:tc>
        <w:tc>
          <w:tcPr>
            <w:tcW w:w="60" w:type="dxa"/>
            <w:vAlign w:val="bottom"/>
          </w:tcPr>
          <w:p>
            <w:pPr>
              <w:spacing w:after="0"/>
              <w:rPr>
                <w:sz w:val="23"/>
                <w:szCs w:val="23"/>
                <w:color w:val="auto"/>
              </w:rPr>
            </w:pPr>
          </w:p>
        </w:tc>
      </w:tr>
      <w:tr>
        <w:trPr>
          <w:trHeight w:val="439"/>
        </w:trPr>
        <w:tc>
          <w:tcPr>
            <w:tcW w:w="3440" w:type="dxa"/>
            <w:vAlign w:val="bottom"/>
            <w:gridSpan w:val="3"/>
          </w:tcPr>
          <w:p>
            <w:pPr>
              <w:spacing w:after="0"/>
              <w:rPr>
                <w:sz w:val="20"/>
                <w:szCs w:val="20"/>
                <w:color w:val="auto"/>
              </w:rPr>
            </w:pPr>
            <w:r>
              <w:rPr>
                <w:rFonts w:ascii="Arial" w:cs="Arial" w:eastAsia="Arial" w:hAnsi="Arial"/>
                <w:sz w:val="14"/>
                <w:szCs w:val="14"/>
                <w:color w:val="FFFFFF"/>
              </w:rPr>
              <w:t>TERM</w:t>
            </w:r>
          </w:p>
        </w:tc>
        <w:tc>
          <w:tcPr>
            <w:tcW w:w="3380" w:type="dxa"/>
            <w:vAlign w:val="bottom"/>
            <w:gridSpan w:val="3"/>
          </w:tcPr>
          <w:p>
            <w:pPr>
              <w:ind w:left="220"/>
              <w:spacing w:after="0"/>
              <w:rPr>
                <w:sz w:val="20"/>
                <w:szCs w:val="20"/>
                <w:color w:val="auto"/>
              </w:rPr>
            </w:pPr>
            <w:r>
              <w:rPr>
                <w:rFonts w:ascii="Arial" w:cs="Arial" w:eastAsia="Arial" w:hAnsi="Arial"/>
                <w:sz w:val="14"/>
                <w:szCs w:val="14"/>
                <w:color w:val="FFFFFF"/>
              </w:rPr>
              <w:t>TERM</w:t>
            </w:r>
          </w:p>
        </w:tc>
      </w:tr>
      <w:tr>
        <w:trPr>
          <w:trHeight w:val="386"/>
        </w:trPr>
        <w:tc>
          <w:tcPr>
            <w:tcW w:w="3440" w:type="dxa"/>
            <w:vAlign w:val="bottom"/>
            <w:gridSpan w:val="3"/>
          </w:tcPr>
          <w:p>
            <w:pPr>
              <w:spacing w:after="0"/>
              <w:rPr>
                <w:sz w:val="20"/>
                <w:szCs w:val="20"/>
                <w:color w:val="auto"/>
              </w:rPr>
            </w:pPr>
            <w:r>
              <w:rPr>
                <w:rFonts w:ascii="Arial" w:cs="Arial" w:eastAsia="Arial" w:hAnsi="Arial"/>
                <w:sz w:val="30"/>
                <w:szCs w:val="30"/>
                <w:color w:val="FFFFFF"/>
              </w:rPr>
              <w:t>6 - 12 months</w:t>
            </w:r>
          </w:p>
        </w:tc>
        <w:tc>
          <w:tcPr>
            <w:tcW w:w="3380" w:type="dxa"/>
            <w:vAlign w:val="bottom"/>
            <w:gridSpan w:val="3"/>
          </w:tcPr>
          <w:p>
            <w:pPr>
              <w:ind w:left="220"/>
              <w:spacing w:after="0"/>
              <w:rPr>
                <w:sz w:val="20"/>
                <w:szCs w:val="20"/>
                <w:color w:val="auto"/>
              </w:rPr>
            </w:pPr>
            <w:r>
              <w:rPr>
                <w:rFonts w:ascii="Arial" w:cs="Arial" w:eastAsia="Arial" w:hAnsi="Arial"/>
                <w:sz w:val="30"/>
                <w:szCs w:val="30"/>
                <w:color w:val="FFFFFF"/>
              </w:rPr>
              <w:t>12 - 18 months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40" w:right="880"/>
        <w:spacing w:after="0" w:line="264" w:lineRule="auto"/>
        <w:rPr>
          <w:sz w:val="20"/>
          <w:szCs w:val="20"/>
          <w:color w:val="auto"/>
        </w:rPr>
      </w:pPr>
      <w:r>
        <w:rPr>
          <w:rFonts w:ascii="Times New Roman" w:cs="Times New Roman" w:eastAsia="Times New Roman" w:hAnsi="Times New Roman"/>
          <w:sz w:val="28"/>
          <w:szCs w:val="28"/>
          <w:color w:val="FFFFFF"/>
        </w:rPr>
        <w:t>Land Acquisition &amp; Development</w:t>
      </w: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FFFFFF"/>
        </w:rPr>
        <w:t>COLLATERAL TYPE</w:t>
      </w:r>
    </w:p>
    <w:p>
      <w:pPr>
        <w:spacing w:after="0" w:line="15" w:lineRule="exact"/>
        <w:rPr>
          <w:sz w:val="20"/>
          <w:szCs w:val="20"/>
          <w:color w:val="auto"/>
        </w:rPr>
      </w:pPr>
    </w:p>
    <w:p>
      <w:pPr>
        <w:ind w:right="480"/>
        <w:spacing w:after="0" w:line="226" w:lineRule="auto"/>
        <w:rPr>
          <w:sz w:val="20"/>
          <w:szCs w:val="20"/>
          <w:color w:val="auto"/>
        </w:rPr>
      </w:pPr>
      <w:r>
        <w:rPr>
          <w:rFonts w:ascii="Arial" w:cs="Arial" w:eastAsia="Arial" w:hAnsi="Arial"/>
          <w:sz w:val="18"/>
          <w:szCs w:val="18"/>
          <w:color w:val="FFFFFF"/>
        </w:rPr>
        <w:t>First lien deed of trust on raw or partially developed land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FFFFFF"/>
        </w:rPr>
        <w:t>LTV</w:t>
      </w:r>
    </w:p>
    <w:p>
      <w:pPr>
        <w:spacing w:after="0" w:line="40" w:lineRule="exact"/>
        <w:rPr>
          <w:sz w:val="20"/>
          <w:szCs w:val="20"/>
          <w:color w:val="auto"/>
        </w:rPr>
      </w:pPr>
    </w:p>
    <w:p>
      <w:pPr>
        <w:spacing w:after="0"/>
        <w:rPr>
          <w:sz w:val="20"/>
          <w:szCs w:val="20"/>
          <w:color w:val="auto"/>
        </w:rPr>
      </w:pPr>
      <w:r>
        <w:rPr>
          <w:rFonts w:ascii="Arial" w:cs="Arial" w:eastAsia="Arial" w:hAnsi="Arial"/>
          <w:sz w:val="30"/>
          <w:szCs w:val="30"/>
          <w:color w:val="FFFFFF"/>
        </w:rPr>
        <w:t>UP TO 65%</w:t>
      </w:r>
    </w:p>
    <w:p>
      <w:pPr>
        <w:jc w:val="center"/>
        <w:ind w:right="520"/>
        <w:spacing w:after="0" w:line="223" w:lineRule="auto"/>
        <w:rPr>
          <w:sz w:val="20"/>
          <w:szCs w:val="20"/>
          <w:color w:val="auto"/>
        </w:rPr>
      </w:pPr>
      <w:r>
        <w:rPr>
          <w:rFonts w:ascii="Arial" w:cs="Arial" w:eastAsia="Arial" w:hAnsi="Arial"/>
          <w:sz w:val="16"/>
          <w:szCs w:val="16"/>
          <w:color w:val="FFFFFF"/>
        </w:rPr>
        <w:t>of appraised as-developed lot value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FFFFFF"/>
        </w:rPr>
        <w:t>TERM</w:t>
      </w:r>
    </w:p>
    <w:p>
      <w:pPr>
        <w:spacing w:after="0" w:line="41" w:lineRule="exact"/>
        <w:rPr>
          <w:sz w:val="20"/>
          <w:szCs w:val="20"/>
          <w:color w:val="auto"/>
        </w:rPr>
      </w:pPr>
    </w:p>
    <w:p>
      <w:pPr>
        <w:spacing w:after="0"/>
        <w:rPr>
          <w:sz w:val="20"/>
          <w:szCs w:val="20"/>
          <w:color w:val="auto"/>
        </w:rPr>
      </w:pPr>
      <w:r>
        <w:rPr>
          <w:rFonts w:ascii="Arial" w:cs="Arial" w:eastAsia="Arial" w:hAnsi="Arial"/>
          <w:sz w:val="30"/>
          <w:szCs w:val="30"/>
          <w:color w:val="FFFFFF"/>
        </w:rPr>
        <w:t>12 - 24 months</w:t>
      </w:r>
    </w:p>
    <w:p>
      <w:pPr>
        <w:spacing w:after="0" w:line="200" w:lineRule="exact"/>
        <w:rPr>
          <w:sz w:val="20"/>
          <w:szCs w:val="20"/>
          <w:color w:val="auto"/>
        </w:rPr>
      </w:pPr>
    </w:p>
    <w:p>
      <w:pPr>
        <w:sectPr>
          <w:pgSz w:w="12240" w:h="15840" w:orient="portrait"/>
          <w:cols w:equalWidth="0" w:num="2">
            <w:col w:w="6880" w:space="520"/>
            <w:col w:w="3360"/>
          </w:cols>
          <w:pgMar w:left="800" w:top="457" w:right="680" w:bottom="364" w:gutter="0" w:footer="0" w:header="0"/>
          <w:type w:val="continuous"/>
        </w:sectPr>
      </w:pPr>
    </w:p>
    <w:p>
      <w:pPr>
        <w:spacing w:after="0" w:line="39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40"/>
          <w:szCs w:val="40"/>
          <w:b w:val="1"/>
          <w:bCs w:val="1"/>
          <w:color w:val="FFFFFF"/>
        </w:rPr>
        <w:t>Loan Activity</w:t>
      </w:r>
    </w:p>
    <w:p>
      <w:pPr>
        <w:ind w:left="1100"/>
        <w:spacing w:after="0"/>
        <w:tabs>
          <w:tab w:leader="none" w:pos="4340" w:val="left"/>
          <w:tab w:leader="none" w:pos="8080" w:val="left"/>
        </w:tabs>
        <w:rPr>
          <w:sz w:val="20"/>
          <w:szCs w:val="20"/>
          <w:color w:val="auto"/>
        </w:rPr>
      </w:pPr>
      <w:r>
        <w:rPr>
          <w:rFonts w:ascii="Times New Roman" w:cs="Times New Roman" w:eastAsia="Times New Roman" w:hAnsi="Times New Roman"/>
          <w:sz w:val="108"/>
          <w:szCs w:val="108"/>
          <w:b w:val="1"/>
          <w:bCs w:val="1"/>
          <w:color w:val="FFFFFF"/>
          <w:highlight w:val="black"/>
        </w:rPr>
        <w:t>31</w:t>
      </w:r>
      <w:r>
        <w:rPr>
          <w:sz w:val="20"/>
          <w:szCs w:val="20"/>
          <w:color w:val="auto"/>
        </w:rPr>
        <w:tab/>
      </w:r>
      <w:r>
        <w:rPr>
          <w:rFonts w:ascii="Times New Roman" w:cs="Times New Roman" w:eastAsia="Times New Roman" w:hAnsi="Times New Roman"/>
          <w:sz w:val="108"/>
          <w:szCs w:val="108"/>
          <w:b w:val="1"/>
          <w:bCs w:val="1"/>
          <w:color w:val="FFFFFF"/>
          <w:highlight w:val="black"/>
        </w:rPr>
        <w:t>289</w:t>
        <w:tab/>
        <w:t>414</w:t>
      </w:r>
    </w:p>
    <w:p>
      <w:pPr>
        <w:spacing w:after="0" w:line="169" w:lineRule="exact"/>
        <w:rPr>
          <w:sz w:val="20"/>
          <w:szCs w:val="20"/>
          <w:color w:val="auto"/>
        </w:rPr>
      </w:pPr>
    </w:p>
    <w:p>
      <w:pPr>
        <w:ind w:left="300"/>
        <w:spacing w:after="0"/>
        <w:tabs>
          <w:tab w:leader="none" w:pos="4100" w:val="left"/>
          <w:tab w:leader="none" w:pos="8120" w:val="left"/>
        </w:tabs>
        <w:rPr>
          <w:sz w:val="20"/>
          <w:szCs w:val="20"/>
          <w:color w:val="auto"/>
        </w:rPr>
      </w:pPr>
      <w:r>
        <w:rPr>
          <w:rFonts w:ascii="Arial" w:cs="Arial" w:eastAsia="Arial" w:hAnsi="Arial"/>
          <w:sz w:val="30"/>
          <w:szCs w:val="30"/>
          <w:b w:val="1"/>
          <w:bCs w:val="1"/>
          <w:color w:val="FFFFFF"/>
        </w:rPr>
        <w:t>Active Subdivisions</w:t>
      </w:r>
      <w:r>
        <w:rPr>
          <w:sz w:val="20"/>
          <w:szCs w:val="20"/>
          <w:color w:val="auto"/>
        </w:rPr>
        <w:tab/>
      </w:r>
      <w:r>
        <w:rPr>
          <w:rFonts w:ascii="Arial" w:cs="Arial" w:eastAsia="Arial" w:hAnsi="Arial"/>
          <w:sz w:val="30"/>
          <w:szCs w:val="30"/>
          <w:b w:val="1"/>
          <w:bCs w:val="1"/>
          <w:color w:val="FFFFFF"/>
        </w:rPr>
        <w:t>Loans Originated</w:t>
      </w:r>
      <w:r>
        <w:rPr>
          <w:sz w:val="20"/>
          <w:szCs w:val="20"/>
          <w:color w:val="auto"/>
        </w:rPr>
        <w:tab/>
      </w:r>
      <w:r>
        <w:rPr>
          <w:rFonts w:ascii="Arial" w:cs="Arial" w:eastAsia="Arial" w:hAnsi="Arial"/>
          <w:sz w:val="29"/>
          <w:szCs w:val="29"/>
          <w:b w:val="1"/>
          <w:bCs w:val="1"/>
          <w:color w:val="FFFFFF"/>
        </w:rPr>
        <w:t>Homes Built</w:t>
      </w:r>
    </w:p>
    <w:p>
      <w:pPr>
        <w:spacing w:after="0" w:line="200" w:lineRule="exact"/>
        <w:rPr>
          <w:sz w:val="20"/>
          <w:szCs w:val="20"/>
          <w:color w:val="auto"/>
        </w:rPr>
      </w:pPr>
    </w:p>
    <w:p>
      <w:pPr>
        <w:spacing w:after="0" w:line="331"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48"/>
          <w:szCs w:val="48"/>
          <w:b w:val="1"/>
          <w:bCs w:val="1"/>
          <w:color w:val="000750"/>
        </w:rPr>
        <w:t>Gross Investment</w:t>
      </w:r>
    </w:p>
    <w:p>
      <w:pPr>
        <w:jc w:val="center"/>
        <w:ind w:left="6160"/>
        <w:spacing w:after="0"/>
        <w:rPr>
          <w:sz w:val="20"/>
          <w:szCs w:val="20"/>
          <w:color w:val="auto"/>
        </w:rPr>
      </w:pPr>
      <w:r>
        <w:rPr>
          <w:rFonts w:ascii="Times New Roman" w:cs="Times New Roman" w:eastAsia="Times New Roman" w:hAnsi="Times New Roman"/>
          <w:sz w:val="48"/>
          <w:szCs w:val="48"/>
          <w:b w:val="1"/>
          <w:bCs w:val="1"/>
          <w:color w:val="000750"/>
        </w:rPr>
        <w:t>Income &amp; Yield</w:t>
      </w:r>
    </w:p>
    <w:p>
      <w:pPr>
        <w:spacing w:after="0" w:line="87" w:lineRule="exact"/>
        <w:rPr>
          <w:sz w:val="20"/>
          <w:szCs w:val="20"/>
          <w:color w:val="auto"/>
        </w:rPr>
      </w:pPr>
    </w:p>
    <w:p>
      <w:pPr>
        <w:jc w:val="right"/>
        <w:ind w:right="380"/>
        <w:spacing w:after="0"/>
        <w:rPr>
          <w:sz w:val="20"/>
          <w:szCs w:val="20"/>
          <w:color w:val="auto"/>
        </w:rPr>
      </w:pPr>
      <w:r>
        <w:rPr>
          <w:rFonts w:ascii="Arial" w:cs="Arial" w:eastAsia="Arial" w:hAnsi="Arial"/>
          <w:sz w:val="22"/>
          <w:szCs w:val="22"/>
          <w:color w:val="000750"/>
        </w:rPr>
        <w:t>with SNL Land Investment Expenses</w:t>
      </w:r>
    </w:p>
    <w:p>
      <w:pPr>
        <w:spacing w:after="0" w:line="55" w:lineRule="exact"/>
        <w:rPr>
          <w:sz w:val="20"/>
          <w:szCs w:val="20"/>
          <w:color w:val="auto"/>
        </w:rPr>
      </w:pPr>
    </w:p>
    <w:tbl>
      <w:tblPr>
        <w:tblLayout w:type="fixed"/>
        <w:tblInd w:w="5880" w:type="dxa"/>
        <w:tblCellMar>
          <w:top w:w="0" w:type="dxa"/>
          <w:left w:w="0" w:type="dxa"/>
          <w:bottom w:w="0" w:type="dxa"/>
          <w:right w:w="0" w:type="dxa"/>
        </w:tblCellMar>
      </w:tblPr>
      <w:tr>
        <w:trPr>
          <w:trHeight w:val="206"/>
        </w:trPr>
        <w:tc>
          <w:tcPr>
            <w:tcW w:w="2500" w:type="dxa"/>
            <w:vAlign w:val="bottom"/>
            <w:vMerge w:val="restart"/>
          </w:tcPr>
          <w:p>
            <w:pPr>
              <w:jc w:val="center"/>
              <w:ind w:right="255"/>
              <w:spacing w:after="0"/>
              <w:rPr>
                <w:sz w:val="20"/>
                <w:szCs w:val="20"/>
                <w:color w:val="auto"/>
              </w:rPr>
            </w:pPr>
            <w:r>
              <w:rPr>
                <w:rFonts w:ascii="Times New Roman" w:cs="Times New Roman" w:eastAsia="Times New Roman" w:hAnsi="Times New Roman"/>
                <w:sz w:val="35"/>
                <w:szCs w:val="35"/>
                <w:b w:val="1"/>
                <w:bCs w:val="1"/>
                <w:color w:val="000750"/>
              </w:rPr>
              <w:t>$</w:t>
            </w:r>
            <w:r>
              <w:rPr>
                <w:rFonts w:ascii="Times New Roman" w:cs="Times New Roman" w:eastAsia="Times New Roman" w:hAnsi="Times New Roman"/>
                <w:sz w:val="60"/>
                <w:szCs w:val="60"/>
                <w:b w:val="1"/>
                <w:bCs w:val="1"/>
                <w:color w:val="000750"/>
              </w:rPr>
              <w:t>157.4</w:t>
            </w:r>
            <w:r>
              <w:rPr>
                <w:rFonts w:ascii="Times New Roman" w:cs="Times New Roman" w:eastAsia="Times New Roman" w:hAnsi="Times New Roman"/>
                <w:sz w:val="35"/>
                <w:szCs w:val="35"/>
                <w:b w:val="1"/>
                <w:bCs w:val="1"/>
                <w:color w:val="000750"/>
              </w:rPr>
              <w:t xml:space="preserve"> </w:t>
            </w:r>
            <w:r>
              <w:rPr>
                <w:rFonts w:ascii="Times New Roman" w:cs="Times New Roman" w:eastAsia="Times New Roman" w:hAnsi="Times New Roman"/>
                <w:sz w:val="40"/>
                <w:szCs w:val="40"/>
                <w:b w:val="1"/>
                <w:bCs w:val="1"/>
                <w:color w:val="000750"/>
              </w:rPr>
              <w:t>M</w:t>
            </w:r>
          </w:p>
        </w:tc>
        <w:tc>
          <w:tcPr>
            <w:tcW w:w="20" w:type="dxa"/>
            <w:vAlign w:val="bottom"/>
          </w:tcPr>
          <w:p>
            <w:pPr>
              <w:spacing w:after="0"/>
              <w:rPr>
                <w:sz w:val="17"/>
                <w:szCs w:val="17"/>
                <w:color w:val="auto"/>
              </w:rPr>
            </w:pPr>
          </w:p>
        </w:tc>
        <w:tc>
          <w:tcPr>
            <w:tcW w:w="2360" w:type="dxa"/>
            <w:vAlign w:val="bottom"/>
            <w:vMerge w:val="restart"/>
          </w:tcPr>
          <w:p>
            <w:pPr>
              <w:jc w:val="center"/>
              <w:ind w:left="393"/>
              <w:spacing w:after="0"/>
              <w:rPr>
                <w:sz w:val="20"/>
                <w:szCs w:val="20"/>
                <w:color w:val="auto"/>
              </w:rPr>
            </w:pPr>
            <w:r>
              <w:rPr>
                <w:rFonts w:ascii="Times New Roman" w:cs="Times New Roman" w:eastAsia="Times New Roman" w:hAnsi="Times New Roman"/>
                <w:sz w:val="69"/>
                <w:szCs w:val="69"/>
                <w:b w:val="1"/>
                <w:bCs w:val="1"/>
                <w:color w:val="000750"/>
                <w:vertAlign w:val="superscript"/>
              </w:rPr>
              <w:t>$</w:t>
            </w:r>
            <w:r>
              <w:rPr>
                <w:rFonts w:ascii="Times New Roman" w:cs="Times New Roman" w:eastAsia="Times New Roman" w:hAnsi="Times New Roman"/>
                <w:sz w:val="60"/>
                <w:szCs w:val="60"/>
                <w:b w:val="1"/>
                <w:bCs w:val="1"/>
                <w:color w:val="000750"/>
              </w:rPr>
              <w:t xml:space="preserve">242 </w:t>
            </w:r>
            <w:r>
              <w:rPr>
                <w:rFonts w:ascii="Times New Roman" w:cs="Times New Roman" w:eastAsia="Times New Roman" w:hAnsi="Times New Roman"/>
                <w:sz w:val="40"/>
                <w:szCs w:val="40"/>
                <w:b w:val="1"/>
                <w:bCs w:val="1"/>
                <w:color w:val="000750"/>
              </w:rPr>
              <w:t>M</w:t>
            </w:r>
          </w:p>
        </w:tc>
        <w:tc>
          <w:tcPr>
            <w:tcW w:w="0" w:type="dxa"/>
            <w:vAlign w:val="bottom"/>
          </w:tcPr>
          <w:p>
            <w:pPr>
              <w:spacing w:after="0"/>
              <w:rPr>
                <w:sz w:val="1"/>
                <w:szCs w:val="1"/>
                <w:color w:val="auto"/>
              </w:rPr>
            </w:pPr>
          </w:p>
        </w:tc>
      </w:tr>
      <w:tr>
        <w:trPr>
          <w:trHeight w:val="587"/>
        </w:trPr>
        <w:tc>
          <w:tcPr>
            <w:tcW w:w="2500" w:type="dxa"/>
            <w:vAlign w:val="bottom"/>
            <w:vMerge w:val="continue"/>
          </w:tcPr>
          <w:p>
            <w:pPr>
              <w:spacing w:after="0"/>
              <w:rPr>
                <w:sz w:val="24"/>
                <w:szCs w:val="24"/>
                <w:color w:val="auto"/>
              </w:rPr>
            </w:pPr>
          </w:p>
        </w:tc>
        <w:tc>
          <w:tcPr>
            <w:tcW w:w="20" w:type="dxa"/>
            <w:vAlign w:val="bottom"/>
            <w:shd w:val="clear" w:color="auto" w:fill="CCCCCC"/>
          </w:tcPr>
          <w:p>
            <w:pPr>
              <w:spacing w:after="0"/>
              <w:rPr>
                <w:sz w:val="24"/>
                <w:szCs w:val="24"/>
                <w:color w:val="auto"/>
              </w:rPr>
            </w:pPr>
          </w:p>
        </w:tc>
        <w:tc>
          <w:tcPr>
            <w:tcW w:w="23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500" w:type="dxa"/>
            <w:vAlign w:val="bottom"/>
          </w:tcPr>
          <w:p>
            <w:pPr>
              <w:jc w:val="center"/>
              <w:ind w:right="255"/>
              <w:spacing w:after="0"/>
              <w:rPr>
                <w:sz w:val="20"/>
                <w:szCs w:val="20"/>
                <w:color w:val="auto"/>
              </w:rPr>
            </w:pPr>
            <w:r>
              <w:rPr>
                <w:rFonts w:ascii="Times New Roman" w:cs="Times New Roman" w:eastAsia="Times New Roman" w:hAnsi="Times New Roman"/>
                <w:sz w:val="20"/>
                <w:szCs w:val="20"/>
                <w:b w:val="1"/>
                <w:bCs w:val="1"/>
                <w:color w:val="000750"/>
              </w:rPr>
              <w:t>Ending</w:t>
            </w:r>
          </w:p>
        </w:tc>
        <w:tc>
          <w:tcPr>
            <w:tcW w:w="20" w:type="dxa"/>
            <w:vAlign w:val="bottom"/>
            <w:shd w:val="clear" w:color="auto" w:fill="CCCCCC"/>
          </w:tcPr>
          <w:p>
            <w:pPr>
              <w:spacing w:after="0"/>
              <w:rPr>
                <w:sz w:val="20"/>
                <w:szCs w:val="20"/>
                <w:color w:val="auto"/>
              </w:rPr>
            </w:pPr>
          </w:p>
        </w:tc>
        <w:tc>
          <w:tcPr>
            <w:tcW w:w="2360" w:type="dxa"/>
            <w:vAlign w:val="bottom"/>
          </w:tcPr>
          <w:p>
            <w:pPr>
              <w:jc w:val="center"/>
              <w:ind w:left="393"/>
              <w:spacing w:after="0"/>
              <w:rPr>
                <w:sz w:val="20"/>
                <w:szCs w:val="20"/>
                <w:color w:val="auto"/>
              </w:rPr>
            </w:pPr>
            <w:r>
              <w:rPr>
                <w:rFonts w:ascii="Times New Roman" w:cs="Times New Roman" w:eastAsia="Times New Roman" w:hAnsi="Times New Roman"/>
                <w:sz w:val="20"/>
                <w:szCs w:val="20"/>
                <w:b w:val="1"/>
                <w:bCs w:val="1"/>
                <w:color w:val="000750"/>
              </w:rPr>
              <w:t>2025 New</w:t>
            </w:r>
          </w:p>
        </w:tc>
        <w:tc>
          <w:tcPr>
            <w:tcW w:w="0" w:type="dxa"/>
            <w:vAlign w:val="bottom"/>
          </w:tcPr>
          <w:p>
            <w:pPr>
              <w:spacing w:after="0"/>
              <w:rPr>
                <w:sz w:val="1"/>
                <w:szCs w:val="1"/>
                <w:color w:val="auto"/>
              </w:rPr>
            </w:pPr>
          </w:p>
        </w:tc>
      </w:tr>
      <w:tr>
        <w:trPr>
          <w:trHeight w:val="258"/>
        </w:trPr>
        <w:tc>
          <w:tcPr>
            <w:tcW w:w="2500" w:type="dxa"/>
            <w:vAlign w:val="bottom"/>
          </w:tcPr>
          <w:p>
            <w:pPr>
              <w:jc w:val="center"/>
              <w:ind w:right="275"/>
              <w:spacing w:after="0"/>
              <w:rPr>
                <w:sz w:val="20"/>
                <w:szCs w:val="20"/>
                <w:color w:val="auto"/>
              </w:rPr>
            </w:pPr>
            <w:r>
              <w:rPr>
                <w:rFonts w:ascii="Times New Roman" w:cs="Times New Roman" w:eastAsia="Times New Roman" w:hAnsi="Times New Roman"/>
                <w:sz w:val="20"/>
                <w:szCs w:val="20"/>
                <w:b w:val="1"/>
                <w:bCs w:val="1"/>
                <w:color w:val="000750"/>
              </w:rPr>
              <w:t>Balance</w:t>
            </w:r>
          </w:p>
        </w:tc>
        <w:tc>
          <w:tcPr>
            <w:tcW w:w="20" w:type="dxa"/>
            <w:vAlign w:val="bottom"/>
            <w:shd w:val="clear" w:color="auto" w:fill="CCCCCC"/>
          </w:tcPr>
          <w:p>
            <w:pPr>
              <w:spacing w:after="0"/>
              <w:rPr>
                <w:sz w:val="22"/>
                <w:szCs w:val="22"/>
                <w:color w:val="auto"/>
              </w:rPr>
            </w:pPr>
          </w:p>
        </w:tc>
        <w:tc>
          <w:tcPr>
            <w:tcW w:w="2360" w:type="dxa"/>
            <w:vAlign w:val="bottom"/>
          </w:tcPr>
          <w:p>
            <w:pPr>
              <w:jc w:val="center"/>
              <w:ind w:left="393"/>
              <w:spacing w:after="0"/>
              <w:rPr>
                <w:sz w:val="20"/>
                <w:szCs w:val="20"/>
                <w:color w:val="auto"/>
              </w:rPr>
            </w:pPr>
            <w:r>
              <w:rPr>
                <w:rFonts w:ascii="Times New Roman" w:cs="Times New Roman" w:eastAsia="Times New Roman" w:hAnsi="Times New Roman"/>
                <w:sz w:val="20"/>
                <w:szCs w:val="20"/>
                <w:b w:val="1"/>
                <w:bCs w:val="1"/>
                <w:color w:val="000750"/>
              </w:rPr>
              <w:t>Originations</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60"/>
          <w:szCs w:val="60"/>
          <w:b w:val="1"/>
          <w:bCs w:val="1"/>
          <w:color w:val="000750"/>
        </w:rPr>
        <w:t xml:space="preserve">14.8 </w:t>
      </w:r>
      <w:r>
        <w:rPr>
          <w:rFonts w:ascii="Times New Roman" w:cs="Times New Roman" w:eastAsia="Times New Roman" w:hAnsi="Times New Roman"/>
          <w:sz w:val="40"/>
          <w:szCs w:val="40"/>
          <w:b w:val="1"/>
          <w:bCs w:val="1"/>
          <w:color w:val="000750"/>
        </w:rPr>
        <w:t>%</w:t>
      </w:r>
    </w:p>
    <w:p>
      <w:pPr>
        <w:spacing w:after="0" w:line="63"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20"/>
          <w:szCs w:val="20"/>
          <w:b w:val="1"/>
          <w:bCs w:val="1"/>
          <w:color w:val="000750"/>
        </w:rPr>
        <w:t>Net Yield</w:t>
      </w:r>
    </w:p>
    <w:p>
      <w:pPr>
        <w:spacing w:after="0" w:line="385"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69"/>
          <w:szCs w:val="69"/>
          <w:b w:val="1"/>
          <w:bCs w:val="1"/>
          <w:color w:val="000750"/>
          <w:vertAlign w:val="superscript"/>
        </w:rPr>
        <w:t>$</w:t>
      </w:r>
      <w:r>
        <w:rPr>
          <w:rFonts w:ascii="Times New Roman" w:cs="Times New Roman" w:eastAsia="Times New Roman" w:hAnsi="Times New Roman"/>
          <w:sz w:val="60"/>
          <w:szCs w:val="60"/>
          <w:b w:val="1"/>
          <w:bCs w:val="1"/>
          <w:color w:val="000750"/>
        </w:rPr>
        <w:t xml:space="preserve">24.6 </w:t>
      </w:r>
      <w:r>
        <w:rPr>
          <w:rFonts w:ascii="Times New Roman" w:cs="Times New Roman" w:eastAsia="Times New Roman" w:hAnsi="Times New Roman"/>
          <w:sz w:val="40"/>
          <w:szCs w:val="40"/>
          <w:b w:val="1"/>
          <w:bCs w:val="1"/>
          <w:color w:val="000750"/>
        </w:rPr>
        <w:t>M</w:t>
      </w:r>
    </w:p>
    <w:p>
      <w:pPr>
        <w:sectPr>
          <w:pgSz w:w="12240" w:h="15840" w:orient="portrait"/>
          <w:cols w:equalWidth="0" w:num="1">
            <w:col w:w="10760"/>
          </w:cols>
          <w:pgMar w:left="800" w:top="457" w:right="680" w:bottom="364" w:gutter="0" w:footer="0" w:header="0"/>
          <w:type w:val="continuous"/>
        </w:sectPr>
      </w:pPr>
    </w:p>
    <w:p>
      <w:pPr>
        <w:ind w:left="7200"/>
        <w:spacing w:after="0"/>
        <w:rPr>
          <w:sz w:val="20"/>
          <w:szCs w:val="20"/>
          <w:color w:val="auto"/>
        </w:rPr>
      </w:pPr>
      <w:r>
        <w:rPr>
          <w:rFonts w:ascii="Times New Roman" w:cs="Times New Roman" w:eastAsia="Times New Roman" w:hAnsi="Times New Roman"/>
          <w:sz w:val="20"/>
          <w:szCs w:val="20"/>
          <w:b w:val="1"/>
          <w:bCs w:val="1"/>
          <w:color w:val="000750"/>
        </w:rPr>
        <w:t>Investment Gross Income</w:t>
      </w:r>
    </w:p>
    <w:p>
      <w:pPr>
        <w:sectPr>
          <w:pgSz w:w="12240" w:h="15840" w:orient="portrait"/>
          <w:cols w:equalWidth="0" w:num="1">
            <w:col w:w="10760"/>
          </w:cols>
          <w:pgMar w:left="800" w:top="457" w:right="680" w:bottom="364" w:gutter="0" w:footer="0" w:header="0"/>
          <w:type w:val="continuous"/>
        </w:sectPr>
      </w:pPr>
    </w:p>
    <w:bookmarkStart w:id="21" w:name="page22"/>
    <w:bookmarkEnd w:id="21"/>
    <w:p>
      <w:pPr>
        <w:ind w:left="1720"/>
        <w:spacing w:after="0"/>
        <w:rPr>
          <w:sz w:val="20"/>
          <w:szCs w:val="20"/>
          <w:color w:val="auto"/>
        </w:rPr>
      </w:pPr>
      <w:r>
        <w:rPr>
          <w:rFonts w:ascii="Times New Roman" w:cs="Times New Roman" w:eastAsia="Times New Roman" w:hAnsi="Times New Roman"/>
          <w:sz w:val="70"/>
          <w:szCs w:val="70"/>
          <w:b w:val="1"/>
          <w:bCs w:val="1"/>
          <w:color w:val="000750"/>
        </w:rPr>
        <w:drawing>
          <wp:anchor simplePos="0" relativeHeight="251657728" behindDoc="1" locked="0" layoutInCell="0" allowOverlap="1">
            <wp:simplePos x="0" y="0"/>
            <wp:positionH relativeFrom="page">
              <wp:posOffset>2788920</wp:posOffset>
            </wp:positionH>
            <wp:positionV relativeFrom="page">
              <wp:posOffset>0</wp:posOffset>
            </wp:positionV>
            <wp:extent cx="2194560" cy="2374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2">
                      <a:extLst>
                        <a:ext uri="{28A0092B-C50C-407E-A947-70E740481C1C}"/>
                      </a:extLst>
                    </a:blip>
                    <a:srcRect/>
                    <a:stretch>
                      <a:fillRect/>
                    </a:stretch>
                  </pic:blipFill>
                  <pic:spPr bwMode="auto">
                    <a:xfrm>
                      <a:off x="0" y="0"/>
                      <a:ext cx="2194560" cy="237490"/>
                    </a:xfrm>
                    <a:prstGeom prst="rect">
                      <a:avLst/>
                    </a:prstGeom>
                    <a:noFill/>
                  </pic:spPr>
                </pic:pic>
              </a:graphicData>
            </a:graphic>
          </wp:anchor>
        </w:drawing>
        <w:t>Commercial Bridge/SBA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3492500</wp:posOffset>
                </wp:positionH>
                <wp:positionV relativeFrom="paragraph">
                  <wp:posOffset>227330</wp:posOffset>
                </wp:positionV>
                <wp:extent cx="0" cy="261112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2611120"/>
                        </a:xfrm>
                        <a:prstGeom prst="line">
                          <a:avLst/>
                        </a:prstGeom>
                        <a:solidFill>
                          <a:srgbClr val="FFFFFF"/>
                        </a:solidFill>
                        <a:ln w="12700">
                          <a:solidFill>
                            <a:srgbClr val="00075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5pt,17.9pt" to="275pt,223.5pt" o:allowincell="f" strokecolor="#000750" strokeweight="1pt"/>
            </w:pict>
          </mc:Fallback>
        </mc:AlternateContent>
      </w:r>
    </w:p>
    <w:p>
      <w:pPr>
        <w:sectPr>
          <w:pgSz w:w="12240" w:h="15840" w:orient="portrait"/>
          <w:cols w:equalWidth="0" w:num="1">
            <w:col w:w="10960"/>
          </w:cols>
          <w:pgMar w:left="460" w:top="457" w:right="820" w:bottom="0" w:gutter="0" w:footer="0" w:header="0"/>
        </w:sectPr>
      </w:pPr>
    </w:p>
    <w:p>
      <w:pPr>
        <w:spacing w:after="0" w:line="200" w:lineRule="exact"/>
        <w:rPr>
          <w:sz w:val="20"/>
          <w:szCs w:val="20"/>
          <w:color w:val="auto"/>
        </w:rPr>
      </w:pPr>
    </w:p>
    <w:p>
      <w:pPr>
        <w:spacing w:after="0" w:line="309" w:lineRule="exact"/>
        <w:rPr>
          <w:sz w:val="20"/>
          <w:szCs w:val="20"/>
          <w:color w:val="auto"/>
        </w:rPr>
      </w:pPr>
    </w:p>
    <w:p>
      <w:pPr>
        <w:ind w:left="260"/>
        <w:spacing w:after="0"/>
        <w:rPr>
          <w:sz w:val="20"/>
          <w:szCs w:val="20"/>
          <w:color w:val="auto"/>
        </w:rPr>
      </w:pPr>
      <w:r>
        <w:rPr>
          <w:rFonts w:ascii="Arial" w:cs="Arial" w:eastAsia="Arial" w:hAnsi="Arial"/>
          <w:sz w:val="14"/>
          <w:szCs w:val="14"/>
          <w:color w:val="000750"/>
        </w:rPr>
        <w:t>SBA 504 2ND LIEN</w:t>
      </w:r>
    </w:p>
    <w:p>
      <w:pPr>
        <w:ind w:left="260"/>
        <w:spacing w:after="0"/>
        <w:rPr>
          <w:sz w:val="20"/>
          <w:szCs w:val="20"/>
          <w:color w:val="auto"/>
        </w:rPr>
      </w:pPr>
      <w:r>
        <w:rPr>
          <w:rFonts w:ascii="Times New Roman" w:cs="Times New Roman" w:eastAsia="Times New Roman" w:hAnsi="Times New Roman"/>
          <w:sz w:val="28"/>
          <w:szCs w:val="28"/>
          <w:color w:val="000750"/>
        </w:rPr>
        <w:t>U.S. Government Approved Takeout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218440</wp:posOffset>
            </wp:positionH>
            <wp:positionV relativeFrom="paragraph">
              <wp:posOffset>149225</wp:posOffset>
            </wp:positionV>
            <wp:extent cx="187960" cy="1917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3">
                      <a:extLst>
                        <a:ext uri="{28A0092B-C50C-407E-A947-70E740481C1C}"/>
                      </a:extLst>
                    </a:blip>
                    <a:srcRect/>
                    <a:stretch>
                      <a:fillRect/>
                    </a:stretch>
                  </pic:blipFill>
                  <pic:spPr bwMode="auto">
                    <a:xfrm>
                      <a:off x="0" y="0"/>
                      <a:ext cx="187960" cy="191770"/>
                    </a:xfrm>
                    <a:prstGeom prst="rect">
                      <a:avLst/>
                    </a:prstGeom>
                    <a:noFill/>
                  </pic:spPr>
                </pic:pic>
              </a:graphicData>
            </a:graphic>
          </wp:anchor>
        </w:drawing>
        <w:drawing>
          <wp:anchor simplePos="0" relativeHeight="251657728" behindDoc="1" locked="0" layoutInCell="0" allowOverlap="1">
            <wp:simplePos x="0" y="0"/>
            <wp:positionH relativeFrom="column">
              <wp:posOffset>1294765</wp:posOffset>
            </wp:positionH>
            <wp:positionV relativeFrom="paragraph">
              <wp:posOffset>159385</wp:posOffset>
            </wp:positionV>
            <wp:extent cx="190500" cy="1727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4">
                      <a:extLst>
                        <a:ext uri="{28A0092B-C50C-407E-A947-70E740481C1C}"/>
                      </a:extLst>
                    </a:blip>
                    <a:srcRect/>
                    <a:stretch>
                      <a:fillRect/>
                    </a:stretch>
                  </pic:blipFill>
                  <pic:spPr bwMode="auto">
                    <a:xfrm>
                      <a:off x="0" y="0"/>
                      <a:ext cx="190500" cy="172720"/>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165735</wp:posOffset>
            </wp:positionV>
            <wp:extent cx="154305" cy="161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5">
                      <a:extLst>
                        <a:ext uri="{28A0092B-C50C-407E-A947-70E740481C1C}"/>
                      </a:extLst>
                    </a:blip>
                    <a:srcRect/>
                    <a:stretch>
                      <a:fillRect/>
                    </a:stretch>
                  </pic:blipFill>
                  <pic:spPr bwMode="auto">
                    <a:xfrm>
                      <a:off x="0" y="0"/>
                      <a:ext cx="154305" cy="16192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340" w:type="dxa"/>
        <w:tblCellMar>
          <w:top w:w="0" w:type="dxa"/>
          <w:left w:w="0" w:type="dxa"/>
          <w:bottom w:w="0" w:type="dxa"/>
          <w:right w:w="0" w:type="dxa"/>
        </w:tblCellMar>
      </w:tblPr>
      <w:tr>
        <w:trPr>
          <w:trHeight w:val="345"/>
        </w:trPr>
        <w:tc>
          <w:tcPr>
            <w:tcW w:w="1360" w:type="dxa"/>
            <w:vAlign w:val="bottom"/>
          </w:tcPr>
          <w:p>
            <w:pPr>
              <w:spacing w:after="0"/>
              <w:rPr>
                <w:sz w:val="20"/>
                <w:szCs w:val="20"/>
                <w:color w:val="auto"/>
              </w:rPr>
            </w:pPr>
            <w:r>
              <w:rPr>
                <w:rFonts w:ascii="Arial" w:cs="Arial" w:eastAsia="Arial" w:hAnsi="Arial"/>
                <w:sz w:val="30"/>
                <w:szCs w:val="30"/>
                <w:color w:val="000750"/>
              </w:rPr>
              <w:t>9.75%</w:t>
            </w:r>
          </w:p>
        </w:tc>
        <w:tc>
          <w:tcPr>
            <w:tcW w:w="2040" w:type="dxa"/>
            <w:vAlign w:val="bottom"/>
          </w:tcPr>
          <w:p>
            <w:pPr>
              <w:ind w:left="360"/>
              <w:spacing w:after="0"/>
              <w:rPr>
                <w:sz w:val="20"/>
                <w:szCs w:val="20"/>
                <w:color w:val="auto"/>
              </w:rPr>
            </w:pPr>
            <w:r>
              <w:rPr>
                <w:rFonts w:ascii="Arial" w:cs="Arial" w:eastAsia="Arial" w:hAnsi="Arial"/>
                <w:sz w:val="30"/>
                <w:szCs w:val="30"/>
                <w:color w:val="000750"/>
              </w:rPr>
              <w:t>120 Days</w:t>
            </w:r>
          </w:p>
        </w:tc>
        <w:tc>
          <w:tcPr>
            <w:tcW w:w="1260" w:type="dxa"/>
            <w:vAlign w:val="bottom"/>
          </w:tcPr>
          <w:p>
            <w:pPr>
              <w:ind w:left="380"/>
              <w:spacing w:after="0"/>
              <w:rPr>
                <w:sz w:val="20"/>
                <w:szCs w:val="20"/>
                <w:color w:val="auto"/>
              </w:rPr>
            </w:pPr>
            <w:r>
              <w:rPr>
                <w:rFonts w:ascii="Arial" w:cs="Arial" w:eastAsia="Arial" w:hAnsi="Arial"/>
                <w:sz w:val="30"/>
                <w:szCs w:val="30"/>
                <w:color w:val="000750"/>
              </w:rPr>
              <w:t>14.5%</w:t>
            </w:r>
          </w:p>
        </w:tc>
      </w:tr>
      <w:tr>
        <w:trPr>
          <w:trHeight w:val="171"/>
        </w:trPr>
        <w:tc>
          <w:tcPr>
            <w:tcW w:w="1360" w:type="dxa"/>
            <w:vAlign w:val="bottom"/>
          </w:tcPr>
          <w:p>
            <w:pPr>
              <w:spacing w:after="0" w:line="171" w:lineRule="exact"/>
              <w:rPr>
                <w:sz w:val="20"/>
                <w:szCs w:val="20"/>
                <w:color w:val="auto"/>
              </w:rPr>
            </w:pPr>
            <w:r>
              <w:rPr>
                <w:rFonts w:ascii="Arial" w:cs="Arial" w:eastAsia="Arial" w:hAnsi="Arial"/>
                <w:sz w:val="16"/>
                <w:szCs w:val="16"/>
                <w:color w:val="000750"/>
              </w:rPr>
              <w:t>Avg. Interest</w:t>
            </w:r>
          </w:p>
        </w:tc>
        <w:tc>
          <w:tcPr>
            <w:tcW w:w="2040" w:type="dxa"/>
            <w:vAlign w:val="bottom"/>
          </w:tcPr>
          <w:p>
            <w:pPr>
              <w:ind w:left="360"/>
              <w:spacing w:after="0" w:line="171" w:lineRule="exact"/>
              <w:rPr>
                <w:sz w:val="20"/>
                <w:szCs w:val="20"/>
                <w:color w:val="auto"/>
              </w:rPr>
            </w:pPr>
            <w:r>
              <w:rPr>
                <w:rFonts w:ascii="Arial" w:cs="Arial" w:eastAsia="Arial" w:hAnsi="Arial"/>
                <w:sz w:val="16"/>
                <w:szCs w:val="16"/>
                <w:color w:val="000750"/>
              </w:rPr>
              <w:t>Loan Term</w:t>
            </w:r>
          </w:p>
        </w:tc>
        <w:tc>
          <w:tcPr>
            <w:tcW w:w="1260" w:type="dxa"/>
            <w:vAlign w:val="bottom"/>
          </w:tcPr>
          <w:p>
            <w:pPr>
              <w:ind w:left="380"/>
              <w:spacing w:after="0" w:line="171" w:lineRule="exact"/>
              <w:rPr>
                <w:sz w:val="20"/>
                <w:szCs w:val="20"/>
                <w:color w:val="auto"/>
              </w:rPr>
            </w:pPr>
            <w:r>
              <w:rPr>
                <w:rFonts w:ascii="Arial" w:cs="Arial" w:eastAsia="Arial" w:hAnsi="Arial"/>
                <w:sz w:val="16"/>
                <w:szCs w:val="16"/>
                <w:color w:val="000750"/>
              </w:rPr>
              <w:t>Avg. Yield</w:t>
            </w:r>
          </w:p>
        </w:tc>
      </w:tr>
      <w:tr>
        <w:trPr>
          <w:trHeight w:val="180"/>
        </w:trPr>
        <w:tc>
          <w:tcPr>
            <w:tcW w:w="1360" w:type="dxa"/>
            <w:vAlign w:val="bottom"/>
          </w:tcPr>
          <w:p>
            <w:pPr>
              <w:spacing w:after="0" w:line="180" w:lineRule="exact"/>
              <w:rPr>
                <w:sz w:val="20"/>
                <w:szCs w:val="20"/>
                <w:color w:val="auto"/>
              </w:rPr>
            </w:pPr>
            <w:r>
              <w:rPr>
                <w:rFonts w:ascii="Arial" w:cs="Arial" w:eastAsia="Arial" w:hAnsi="Arial"/>
                <w:sz w:val="16"/>
                <w:szCs w:val="16"/>
                <w:color w:val="000750"/>
              </w:rPr>
              <w:t>Rate</w:t>
            </w:r>
          </w:p>
        </w:tc>
        <w:tc>
          <w:tcPr>
            <w:tcW w:w="2040" w:type="dxa"/>
            <w:vAlign w:val="bottom"/>
          </w:tcPr>
          <w:p>
            <w:pPr>
              <w:spacing w:after="0"/>
              <w:rPr>
                <w:sz w:val="15"/>
                <w:szCs w:val="15"/>
                <w:color w:val="auto"/>
              </w:rPr>
            </w:pPr>
          </w:p>
        </w:tc>
        <w:tc>
          <w:tcPr>
            <w:tcW w:w="1260" w:type="dxa"/>
            <w:vAlign w:val="bottom"/>
          </w:tcPr>
          <w:p>
            <w:pPr>
              <w:ind w:left="380"/>
              <w:spacing w:after="0" w:line="180" w:lineRule="exact"/>
              <w:rPr>
                <w:sz w:val="20"/>
                <w:szCs w:val="20"/>
                <w:color w:val="auto"/>
              </w:rPr>
            </w:pPr>
            <w:r>
              <w:rPr>
                <w:rFonts w:ascii="Arial" w:cs="Arial" w:eastAsia="Arial" w:hAnsi="Arial"/>
                <w:sz w:val="16"/>
                <w:szCs w:val="16"/>
                <w:color w:val="000750"/>
              </w:rPr>
              <w:t>to Maturity</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231140</wp:posOffset>
                </wp:positionH>
                <wp:positionV relativeFrom="paragraph">
                  <wp:posOffset>127000</wp:posOffset>
                </wp:positionV>
                <wp:extent cx="1950085"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0085" cy="4763"/>
                        </a:xfrm>
                        <a:prstGeom prst="line">
                          <a:avLst/>
                        </a:prstGeom>
                        <a:solidFill>
                          <a:srgbClr val="FFFFFF"/>
                        </a:solidFill>
                        <a:ln w="12700">
                          <a:solidFill>
                            <a:srgbClr val="00001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2pt,10pt" to="171.75pt,10pt" o:allowincell="f" strokecolor="#000010" strokeweight="1pt"/>
            </w:pict>
          </mc:Fallback>
        </mc:AlternateContent>
      </w:r>
    </w:p>
    <w:p>
      <w:pPr>
        <w:spacing w:after="0" w:line="354" w:lineRule="exact"/>
        <w:rPr>
          <w:sz w:val="20"/>
          <w:szCs w:val="20"/>
          <w:color w:val="auto"/>
        </w:rPr>
      </w:pPr>
    </w:p>
    <w:p>
      <w:pPr>
        <w:ind w:left="340" w:right="160"/>
        <w:spacing w:after="0" w:line="229" w:lineRule="auto"/>
        <w:rPr>
          <w:sz w:val="20"/>
          <w:szCs w:val="20"/>
          <w:color w:val="auto"/>
        </w:rPr>
      </w:pPr>
      <w:r>
        <w:rPr>
          <w:rFonts w:ascii="Arial" w:cs="Arial" w:eastAsia="Arial" w:hAnsi="Arial"/>
          <w:sz w:val="18"/>
          <w:szCs w:val="18"/>
          <w:color w:val="000750"/>
        </w:rPr>
        <w:t>Provides interim bridge financing during the SBA debenture funding waiting period. High yield liquidity and portfolio management flexibility with a federal government guarantee backstop.</w:t>
      </w:r>
    </w:p>
    <w:p>
      <w:pPr>
        <w:spacing w:after="0" w:line="243" w:lineRule="exact"/>
        <w:rPr>
          <w:sz w:val="20"/>
          <w:szCs w:val="20"/>
          <w:color w:val="auto"/>
        </w:rPr>
      </w:pPr>
    </w:p>
    <w:p>
      <w:pPr>
        <w:ind w:left="340"/>
        <w:spacing w:after="0"/>
        <w:rPr>
          <w:sz w:val="20"/>
          <w:szCs w:val="20"/>
          <w:color w:val="auto"/>
        </w:rPr>
      </w:pPr>
      <w:r>
        <w:rPr>
          <w:rFonts w:ascii="Arial" w:cs="Arial" w:eastAsia="Arial" w:hAnsi="Arial"/>
          <w:sz w:val="16"/>
          <w:szCs w:val="16"/>
          <w:color w:val="000750"/>
        </w:rPr>
        <w:t>1ST &amp; 2ND LIEN BRIDGE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000750"/>
        </w:rPr>
        <w:t>SECONDARY MARKET ELIGIBLE</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000750"/>
        </w:rPr>
        <w:t>PARTICIPATION / SALE READY</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000750"/>
        </w:rPr>
        <w:t>FEDERAL BACKSTOP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243840</wp:posOffset>
            </wp:positionV>
            <wp:extent cx="12700" cy="20980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6">
                      <a:extLst>
                        <a:ext uri="{28A0092B-C50C-407E-A947-70E740481C1C}"/>
                      </a:extLst>
                    </a:blip>
                    <a:srcRect/>
                    <a:stretch>
                      <a:fillRect/>
                    </a:stretch>
                  </pic:blipFill>
                  <pic:spPr bwMode="auto">
                    <a:xfrm>
                      <a:off x="0" y="0"/>
                      <a:ext cx="12700" cy="20980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4"/>
          <w:szCs w:val="14"/>
          <w:color w:val="000750"/>
        </w:rPr>
        <w:t>COMMERCIAL BRIDGE</w:t>
      </w:r>
    </w:p>
    <w:p>
      <w:pPr>
        <w:spacing w:after="0"/>
        <w:rPr>
          <w:sz w:val="20"/>
          <w:szCs w:val="20"/>
          <w:color w:val="auto"/>
        </w:rPr>
      </w:pPr>
      <w:r>
        <w:rPr>
          <w:rFonts w:ascii="Times New Roman" w:cs="Times New Roman" w:eastAsia="Times New Roman" w:hAnsi="Times New Roman"/>
          <w:sz w:val="28"/>
          <w:szCs w:val="28"/>
          <w:color w:val="000750"/>
        </w:rPr>
        <w:t>Fast Closings on Commercial Real Estate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149225</wp:posOffset>
            </wp:positionV>
            <wp:extent cx="187960" cy="1917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7">
                      <a:extLst>
                        <a:ext uri="{28A0092B-C50C-407E-A947-70E740481C1C}"/>
                      </a:extLst>
                    </a:blip>
                    <a:srcRect/>
                    <a:stretch>
                      <a:fillRect/>
                    </a:stretch>
                  </pic:blipFill>
                  <pic:spPr bwMode="auto">
                    <a:xfrm>
                      <a:off x="0" y="0"/>
                      <a:ext cx="187960" cy="191770"/>
                    </a:xfrm>
                    <a:prstGeom prst="rect">
                      <a:avLst/>
                    </a:prstGeom>
                    <a:noFill/>
                  </pic:spPr>
                </pic:pic>
              </a:graphicData>
            </a:graphic>
          </wp:anchor>
        </w:drawing>
        <w:drawing>
          <wp:anchor simplePos="0" relativeHeight="251657728" behindDoc="1" locked="0" layoutInCell="0" allowOverlap="1">
            <wp:simplePos x="0" y="0"/>
            <wp:positionH relativeFrom="column">
              <wp:posOffset>1127760</wp:posOffset>
            </wp:positionH>
            <wp:positionV relativeFrom="paragraph">
              <wp:posOffset>159385</wp:posOffset>
            </wp:positionV>
            <wp:extent cx="190500" cy="1727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8">
                      <a:extLst>
                        <a:ext uri="{28A0092B-C50C-407E-A947-70E740481C1C}"/>
                      </a:extLst>
                    </a:blip>
                    <a:srcRect/>
                    <a:stretch>
                      <a:fillRect/>
                    </a:stretch>
                  </pic:blipFill>
                  <pic:spPr bwMode="auto">
                    <a:xfrm>
                      <a:off x="0" y="0"/>
                      <a:ext cx="190500" cy="172720"/>
                    </a:xfrm>
                    <a:prstGeom prst="rect">
                      <a:avLst/>
                    </a:prstGeom>
                    <a:noFill/>
                  </pic:spPr>
                </pic:pic>
              </a:graphicData>
            </a:graphic>
          </wp:anchor>
        </w:drawing>
        <w:drawing>
          <wp:anchor simplePos="0" relativeHeight="251657728" behindDoc="1" locked="0" layoutInCell="0" allowOverlap="1">
            <wp:simplePos x="0" y="0"/>
            <wp:positionH relativeFrom="column">
              <wp:posOffset>2313305</wp:posOffset>
            </wp:positionH>
            <wp:positionV relativeFrom="paragraph">
              <wp:posOffset>148590</wp:posOffset>
            </wp:positionV>
            <wp:extent cx="177165" cy="2095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9">
                      <a:extLst>
                        <a:ext uri="{28A0092B-C50C-407E-A947-70E740481C1C}"/>
                      </a:extLst>
                    </a:blip>
                    <a:srcRect/>
                    <a:stretch>
                      <a:fillRect/>
                    </a:stretch>
                  </pic:blipFill>
                  <pic:spPr bwMode="auto">
                    <a:xfrm>
                      <a:off x="0" y="0"/>
                      <a:ext cx="177165" cy="2095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tbl>
      <w:tblPr>
        <w:tblLayout w:type="fixed"/>
        <w:tblInd w:w="80" w:type="dxa"/>
        <w:tblCellMar>
          <w:top w:w="0" w:type="dxa"/>
          <w:left w:w="0" w:type="dxa"/>
          <w:bottom w:w="0" w:type="dxa"/>
          <w:right w:w="0" w:type="dxa"/>
        </w:tblCellMar>
      </w:tblPr>
      <w:tr>
        <w:trPr>
          <w:trHeight w:val="345"/>
        </w:trPr>
        <w:tc>
          <w:tcPr>
            <w:tcW w:w="1360" w:type="dxa"/>
            <w:vAlign w:val="bottom"/>
          </w:tcPr>
          <w:p>
            <w:pPr>
              <w:spacing w:after="0"/>
              <w:rPr>
                <w:sz w:val="20"/>
                <w:szCs w:val="20"/>
                <w:color w:val="auto"/>
              </w:rPr>
            </w:pPr>
            <w:r>
              <w:rPr>
                <w:rFonts w:ascii="Arial" w:cs="Arial" w:eastAsia="Arial" w:hAnsi="Arial"/>
                <w:sz w:val="30"/>
                <w:szCs w:val="30"/>
                <w:color w:val="000750"/>
              </w:rPr>
              <w:t>9.50%</w:t>
            </w:r>
          </w:p>
        </w:tc>
        <w:tc>
          <w:tcPr>
            <w:tcW w:w="1820" w:type="dxa"/>
            <w:vAlign w:val="bottom"/>
          </w:tcPr>
          <w:p>
            <w:pPr>
              <w:ind w:left="360"/>
              <w:spacing w:after="0"/>
              <w:rPr>
                <w:sz w:val="20"/>
                <w:szCs w:val="20"/>
                <w:color w:val="auto"/>
              </w:rPr>
            </w:pPr>
            <w:r>
              <w:rPr>
                <w:rFonts w:ascii="Arial" w:cs="Arial" w:eastAsia="Arial" w:hAnsi="Arial"/>
                <w:sz w:val="30"/>
                <w:szCs w:val="30"/>
                <w:color w:val="000750"/>
              </w:rPr>
              <w:t>3 Years</w:t>
            </w:r>
          </w:p>
        </w:tc>
        <w:tc>
          <w:tcPr>
            <w:tcW w:w="1400" w:type="dxa"/>
            <w:vAlign w:val="bottom"/>
          </w:tcPr>
          <w:p>
            <w:pPr>
              <w:ind w:left="400"/>
              <w:spacing w:after="0"/>
              <w:rPr>
                <w:sz w:val="20"/>
                <w:szCs w:val="20"/>
                <w:color w:val="auto"/>
              </w:rPr>
            </w:pPr>
            <w:r>
              <w:rPr>
                <w:rFonts w:ascii="Arial" w:cs="Arial" w:eastAsia="Arial" w:hAnsi="Arial"/>
                <w:sz w:val="30"/>
                <w:szCs w:val="30"/>
                <w:color w:val="000750"/>
                <w:w w:val="97"/>
              </w:rPr>
              <w:t>$12.5M</w:t>
            </w:r>
          </w:p>
        </w:tc>
      </w:tr>
      <w:tr>
        <w:trPr>
          <w:trHeight w:val="171"/>
        </w:trPr>
        <w:tc>
          <w:tcPr>
            <w:tcW w:w="1360" w:type="dxa"/>
            <w:vAlign w:val="bottom"/>
          </w:tcPr>
          <w:p>
            <w:pPr>
              <w:spacing w:after="0" w:line="171" w:lineRule="exact"/>
              <w:rPr>
                <w:sz w:val="20"/>
                <w:szCs w:val="20"/>
                <w:color w:val="auto"/>
              </w:rPr>
            </w:pPr>
            <w:r>
              <w:rPr>
                <w:rFonts w:ascii="Arial" w:cs="Arial" w:eastAsia="Arial" w:hAnsi="Arial"/>
                <w:sz w:val="16"/>
                <w:szCs w:val="16"/>
                <w:color w:val="000750"/>
              </w:rPr>
              <w:t>Avg. Interest</w:t>
            </w:r>
          </w:p>
        </w:tc>
        <w:tc>
          <w:tcPr>
            <w:tcW w:w="1820" w:type="dxa"/>
            <w:vAlign w:val="bottom"/>
          </w:tcPr>
          <w:p>
            <w:pPr>
              <w:ind w:left="360"/>
              <w:spacing w:after="0" w:line="171" w:lineRule="exact"/>
              <w:rPr>
                <w:sz w:val="20"/>
                <w:szCs w:val="20"/>
                <w:color w:val="auto"/>
              </w:rPr>
            </w:pPr>
            <w:r>
              <w:rPr>
                <w:rFonts w:ascii="Arial" w:cs="Arial" w:eastAsia="Arial" w:hAnsi="Arial"/>
                <w:sz w:val="16"/>
                <w:szCs w:val="16"/>
                <w:color w:val="000750"/>
              </w:rPr>
              <w:t>Max Term</w:t>
            </w:r>
          </w:p>
        </w:tc>
        <w:tc>
          <w:tcPr>
            <w:tcW w:w="1400" w:type="dxa"/>
            <w:vAlign w:val="bottom"/>
          </w:tcPr>
          <w:p>
            <w:pPr>
              <w:ind w:left="400"/>
              <w:spacing w:after="0" w:line="171" w:lineRule="exact"/>
              <w:rPr>
                <w:sz w:val="20"/>
                <w:szCs w:val="20"/>
                <w:color w:val="auto"/>
              </w:rPr>
            </w:pPr>
            <w:r>
              <w:rPr>
                <w:rFonts w:ascii="Arial" w:cs="Arial" w:eastAsia="Arial" w:hAnsi="Arial"/>
                <w:sz w:val="16"/>
                <w:szCs w:val="16"/>
                <w:color w:val="000750"/>
              </w:rPr>
              <w:t>Max Loan</w:t>
            </w:r>
          </w:p>
        </w:tc>
      </w:tr>
      <w:tr>
        <w:trPr>
          <w:trHeight w:val="192"/>
        </w:trPr>
        <w:tc>
          <w:tcPr>
            <w:tcW w:w="1360" w:type="dxa"/>
            <w:vAlign w:val="bottom"/>
          </w:tcPr>
          <w:p>
            <w:pPr>
              <w:spacing w:after="0" w:line="180" w:lineRule="exact"/>
              <w:rPr>
                <w:sz w:val="20"/>
                <w:szCs w:val="20"/>
                <w:color w:val="auto"/>
              </w:rPr>
            </w:pPr>
            <w:r>
              <w:rPr>
                <w:rFonts w:ascii="Arial" w:cs="Arial" w:eastAsia="Arial" w:hAnsi="Arial"/>
                <w:sz w:val="16"/>
                <w:szCs w:val="16"/>
                <w:color w:val="000750"/>
              </w:rPr>
              <w:t>Rate</w:t>
            </w:r>
          </w:p>
        </w:tc>
        <w:tc>
          <w:tcPr>
            <w:tcW w:w="1820" w:type="dxa"/>
            <w:vAlign w:val="bottom"/>
          </w:tcPr>
          <w:p>
            <w:pPr>
              <w:spacing w:after="0"/>
              <w:rPr>
                <w:sz w:val="16"/>
                <w:szCs w:val="16"/>
                <w:color w:val="auto"/>
              </w:rPr>
            </w:pPr>
          </w:p>
        </w:tc>
        <w:tc>
          <w:tcPr>
            <w:tcW w:w="1400" w:type="dxa"/>
            <w:vAlign w:val="bottom"/>
          </w:tcPr>
          <w:p>
            <w:pPr>
              <w:ind w:left="400"/>
              <w:spacing w:after="0"/>
              <w:rPr>
                <w:sz w:val="20"/>
                <w:szCs w:val="20"/>
                <w:color w:val="auto"/>
              </w:rPr>
            </w:pPr>
            <w:r>
              <w:rPr>
                <w:rFonts w:ascii="Arial" w:cs="Arial" w:eastAsia="Arial" w:hAnsi="Arial"/>
                <w:sz w:val="16"/>
                <w:szCs w:val="16"/>
                <w:color w:val="000750"/>
              </w:rPr>
              <w:t>Amount</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64135</wp:posOffset>
                </wp:positionH>
                <wp:positionV relativeFrom="paragraph">
                  <wp:posOffset>119380</wp:posOffset>
                </wp:positionV>
                <wp:extent cx="1950085"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50085" cy="4763"/>
                        </a:xfrm>
                        <a:prstGeom prst="line">
                          <a:avLst/>
                        </a:prstGeom>
                        <a:solidFill>
                          <a:srgbClr val="FFFFFF"/>
                        </a:solidFill>
                        <a:ln w="12700">
                          <a:solidFill>
                            <a:srgbClr val="00001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05pt,9.4pt" to="158.6pt,9.4pt" o:allowincell="f" strokecolor="#000010" strokeweight="1pt"/>
            </w:pict>
          </mc:Fallback>
        </mc:AlternateContent>
      </w:r>
    </w:p>
    <w:p>
      <w:pPr>
        <w:spacing w:after="0" w:line="342" w:lineRule="exact"/>
        <w:rPr>
          <w:sz w:val="20"/>
          <w:szCs w:val="20"/>
          <w:color w:val="auto"/>
        </w:rPr>
      </w:pPr>
    </w:p>
    <w:p>
      <w:pPr>
        <w:jc w:val="both"/>
        <w:ind w:left="80" w:right="100"/>
        <w:spacing w:after="0" w:line="228" w:lineRule="auto"/>
        <w:rPr>
          <w:sz w:val="20"/>
          <w:szCs w:val="20"/>
          <w:color w:val="auto"/>
        </w:rPr>
      </w:pPr>
      <w:r>
        <w:rPr>
          <w:rFonts w:ascii="Arial" w:cs="Arial" w:eastAsia="Arial" w:hAnsi="Arial"/>
          <w:sz w:val="18"/>
          <w:szCs w:val="18"/>
          <w:color w:val="000750"/>
        </w:rPr>
        <w:t>Purchase, refinance, ownership, change, or leveraging of good-quality commercial real estate. Fast closings with flexible terms.</w:t>
      </w:r>
    </w:p>
    <w:p>
      <w:pPr>
        <w:spacing w:after="0" w:line="243" w:lineRule="exact"/>
        <w:rPr>
          <w:sz w:val="20"/>
          <w:szCs w:val="20"/>
          <w:color w:val="auto"/>
        </w:rPr>
      </w:pPr>
    </w:p>
    <w:p>
      <w:pPr>
        <w:ind w:left="80"/>
        <w:spacing w:after="0"/>
        <w:rPr>
          <w:sz w:val="20"/>
          <w:szCs w:val="20"/>
          <w:color w:val="auto"/>
        </w:rPr>
      </w:pPr>
      <w:r>
        <w:rPr>
          <w:rFonts w:ascii="Arial" w:cs="Arial" w:eastAsia="Arial" w:hAnsi="Arial"/>
          <w:sz w:val="16"/>
          <w:szCs w:val="16"/>
          <w:color w:val="000750"/>
        </w:rPr>
        <w:t>OFFICE &amp; RETAIL</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6"/>
          <w:szCs w:val="16"/>
          <w:color w:val="000750"/>
        </w:rPr>
        <w:t>WAREHOUSE</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6"/>
          <w:szCs w:val="16"/>
          <w:color w:val="000750"/>
        </w:rPr>
        <w:t>MULTIFAMILY</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6"/>
          <w:szCs w:val="16"/>
          <w:color w:val="000750"/>
        </w:rPr>
        <w:t>REFINANCE &amp; OWNERSHIP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-3655060</wp:posOffset>
            </wp:positionH>
            <wp:positionV relativeFrom="paragraph">
              <wp:posOffset>383540</wp:posOffset>
            </wp:positionV>
            <wp:extent cx="7325995" cy="60852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0">
                      <a:extLst>
                        <a:ext uri="{28A0092B-C50C-407E-A947-70E740481C1C}"/>
                      </a:extLst>
                    </a:blip>
                    <a:srcRect/>
                    <a:stretch>
                      <a:fillRect/>
                    </a:stretch>
                  </pic:blipFill>
                  <pic:spPr bwMode="auto">
                    <a:xfrm>
                      <a:off x="0" y="0"/>
                      <a:ext cx="7325995" cy="6085205"/>
                    </a:xfrm>
                    <a:prstGeom prst="rect">
                      <a:avLst/>
                    </a:prstGeom>
                    <a:noFill/>
                  </pic:spPr>
                </pic:pic>
              </a:graphicData>
            </a:graphic>
          </wp:anchor>
        </w:drawing>
      </w:r>
    </w:p>
    <w:p>
      <w:pPr>
        <w:spacing w:after="0" w:line="399" w:lineRule="exact"/>
        <w:rPr>
          <w:sz w:val="20"/>
          <w:szCs w:val="20"/>
          <w:color w:val="auto"/>
        </w:rPr>
      </w:pPr>
    </w:p>
    <w:p>
      <w:pPr>
        <w:sectPr>
          <w:pgSz w:w="12240" w:h="15840" w:orient="portrait"/>
          <w:cols w:equalWidth="0" w:num="2">
            <w:col w:w="5280" w:space="720"/>
            <w:col w:w="4960"/>
          </w:cols>
          <w:pgMar w:left="460" w:top="457" w:right="820" w:bottom="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36"/>
          <w:szCs w:val="36"/>
          <w:b w:val="1"/>
          <w:bCs w:val="1"/>
          <w:color w:val="000750"/>
        </w:rPr>
        <w:t>Government Guarantee</w:t>
      </w:r>
    </w:p>
    <w:p>
      <w:pPr>
        <w:spacing w:after="0" w:line="103" w:lineRule="exact"/>
        <w:rPr>
          <w:sz w:val="20"/>
          <w:szCs w:val="20"/>
          <w:color w:val="auto"/>
        </w:rPr>
      </w:pPr>
    </w:p>
    <w:p>
      <w:pPr>
        <w:ind w:left="860" w:right="1860" w:hanging="266"/>
        <w:spacing w:after="0" w:line="276" w:lineRule="auto"/>
        <w:tabs>
          <w:tab w:leader="none" w:pos="860" w:val="left"/>
        </w:tabs>
        <w:numPr>
          <w:ilvl w:val="0"/>
          <w:numId w:val="2"/>
        </w:numPr>
        <w:rPr>
          <w:rFonts w:ascii="Arial" w:cs="Arial" w:eastAsia="Arial" w:hAnsi="Arial"/>
          <w:sz w:val="22"/>
          <w:szCs w:val="22"/>
          <w:color w:val="000750"/>
        </w:rPr>
      </w:pPr>
      <w:r>
        <w:rPr>
          <w:rFonts w:ascii="Arial" w:cs="Arial" w:eastAsia="Arial" w:hAnsi="Arial"/>
          <w:sz w:val="22"/>
          <w:szCs w:val="22"/>
          <w:color w:val="000750"/>
        </w:rPr>
        <w:t>Unlike traditional CRE bridge loans, SBA 504 loans carry a U.S. government guarantee on the debenture.</w:t>
      </w:r>
    </w:p>
    <w:p>
      <w:pPr>
        <w:spacing w:after="0" w:line="9" w:lineRule="exact"/>
        <w:rPr>
          <w:rFonts w:ascii="Arial" w:cs="Arial" w:eastAsia="Arial" w:hAnsi="Arial"/>
          <w:sz w:val="22"/>
          <w:szCs w:val="22"/>
          <w:color w:val="000750"/>
        </w:rPr>
      </w:pPr>
    </w:p>
    <w:p>
      <w:pPr>
        <w:ind w:left="860" w:hanging="266"/>
        <w:spacing w:after="0"/>
        <w:tabs>
          <w:tab w:leader="none" w:pos="860" w:val="left"/>
        </w:tabs>
        <w:numPr>
          <w:ilvl w:val="0"/>
          <w:numId w:val="2"/>
        </w:numPr>
        <w:rPr>
          <w:rFonts w:ascii="Arial" w:cs="Arial" w:eastAsia="Arial" w:hAnsi="Arial"/>
          <w:sz w:val="22"/>
          <w:szCs w:val="22"/>
          <w:color w:val="000750"/>
        </w:rPr>
      </w:pPr>
      <w:r>
        <w:rPr>
          <w:rFonts w:ascii="Arial" w:cs="Arial" w:eastAsia="Arial" w:hAnsi="Arial"/>
          <w:sz w:val="22"/>
          <w:szCs w:val="22"/>
          <w:color w:val="000750"/>
        </w:rPr>
        <w:t>Unique risk-adjusted yield profile</w:t>
      </w:r>
    </w:p>
    <w:p>
      <w:pPr>
        <w:spacing w:after="0" w:line="200" w:lineRule="exact"/>
        <w:rPr>
          <w:sz w:val="20"/>
          <w:szCs w:val="20"/>
          <w:color w:val="auto"/>
        </w:rPr>
      </w:pPr>
    </w:p>
    <w:p>
      <w:pPr>
        <w:spacing w:after="0" w:line="267" w:lineRule="exact"/>
        <w:rPr>
          <w:sz w:val="20"/>
          <w:szCs w:val="20"/>
          <w:color w:val="auto"/>
        </w:rPr>
      </w:pPr>
    </w:p>
    <w:p>
      <w:pPr>
        <w:ind w:left="420" w:right="3380"/>
        <w:spacing w:after="0" w:line="271" w:lineRule="auto"/>
        <w:rPr>
          <w:sz w:val="20"/>
          <w:szCs w:val="20"/>
          <w:color w:val="auto"/>
        </w:rPr>
      </w:pPr>
      <w:r>
        <w:rPr>
          <w:rFonts w:ascii="Times New Roman" w:cs="Times New Roman" w:eastAsia="Times New Roman" w:hAnsi="Times New Roman"/>
          <w:sz w:val="36"/>
          <w:szCs w:val="36"/>
          <w:b w:val="1"/>
          <w:bCs w:val="1"/>
          <w:color w:val="000750"/>
        </w:rPr>
        <w:t>Capital Recycling &amp; Fiduciary Duty</w:t>
      </w:r>
    </w:p>
    <w:p>
      <w:pPr>
        <w:ind w:left="860" w:hanging="266"/>
        <w:spacing w:after="0" w:line="225" w:lineRule="auto"/>
        <w:tabs>
          <w:tab w:leader="none" w:pos="860" w:val="left"/>
        </w:tabs>
        <w:numPr>
          <w:ilvl w:val="0"/>
          <w:numId w:val="3"/>
        </w:numPr>
        <w:rPr>
          <w:rFonts w:ascii="Arial" w:cs="Arial" w:eastAsia="Arial" w:hAnsi="Arial"/>
          <w:sz w:val="22"/>
          <w:szCs w:val="22"/>
          <w:color w:val="000750"/>
        </w:rPr>
      </w:pPr>
      <w:r>
        <w:rPr>
          <w:rFonts w:ascii="Arial" w:cs="Arial" w:eastAsia="Arial" w:hAnsi="Arial"/>
          <w:sz w:val="22"/>
          <w:szCs w:val="22"/>
          <w:color w:val="000750"/>
        </w:rPr>
        <w:t>Quickly recycle capital</w:t>
      </w:r>
    </w:p>
    <w:p>
      <w:pPr>
        <w:spacing w:after="0" w:line="65" w:lineRule="exact"/>
        <w:rPr>
          <w:rFonts w:ascii="Arial" w:cs="Arial" w:eastAsia="Arial" w:hAnsi="Arial"/>
          <w:sz w:val="22"/>
          <w:szCs w:val="22"/>
          <w:color w:val="000750"/>
        </w:rPr>
      </w:pPr>
    </w:p>
    <w:p>
      <w:pPr>
        <w:jc w:val="both"/>
        <w:ind w:left="860" w:right="2300" w:hanging="266"/>
        <w:spacing w:after="0" w:line="268" w:lineRule="auto"/>
        <w:tabs>
          <w:tab w:leader="none" w:pos="860" w:val="left"/>
        </w:tabs>
        <w:numPr>
          <w:ilvl w:val="0"/>
          <w:numId w:val="3"/>
        </w:numPr>
        <w:rPr>
          <w:rFonts w:ascii="Arial" w:cs="Arial" w:eastAsia="Arial" w:hAnsi="Arial"/>
          <w:sz w:val="22"/>
          <w:szCs w:val="22"/>
          <w:color w:val="000750"/>
        </w:rPr>
      </w:pPr>
      <w:r>
        <w:rPr>
          <w:rFonts w:ascii="Arial" w:cs="Arial" w:eastAsia="Arial" w:hAnsi="Arial"/>
          <w:sz w:val="22"/>
          <w:szCs w:val="22"/>
          <w:color w:val="000750"/>
        </w:rPr>
        <w:t>Maintains fiduciary responsibility to life insurance affiliate policyholders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95"/>
        </w:trPr>
        <w:tc>
          <w:tcPr>
            <w:tcW w:w="260" w:type="dxa"/>
            <w:vAlign w:val="bottom"/>
            <w:vMerge w:val="restart"/>
          </w:tcPr>
          <w:p>
            <w:pPr>
              <w:jc w:val="right"/>
              <w:spacing w:after="0"/>
              <w:rPr>
                <w:sz w:val="20"/>
                <w:szCs w:val="20"/>
                <w:color w:val="auto"/>
              </w:rPr>
            </w:pPr>
            <w:r>
              <w:rPr>
                <w:rFonts w:ascii="Arial" w:cs="Arial" w:eastAsia="Arial" w:hAnsi="Arial"/>
                <w:sz w:val="12"/>
                <w:szCs w:val="12"/>
                <w:color w:val="CCCCCC"/>
                <w:w w:val="83"/>
              </w:rPr>
              <w:t>12%</w:t>
            </w:r>
          </w:p>
        </w:tc>
        <w:tc>
          <w:tcPr>
            <w:tcW w:w="640" w:type="dxa"/>
            <w:vAlign w:val="bottom"/>
            <w:tcBorders>
              <w:left w:val="single" w:sz="8" w:color="CCCCCC"/>
              <w:bottom w:val="single" w:sz="8" w:color="E6E6E6"/>
            </w:tcBorders>
          </w:tcPr>
          <w:p>
            <w:pPr>
              <w:spacing w:after="0"/>
              <w:rPr>
                <w:sz w:val="24"/>
                <w:szCs w:val="24"/>
                <w:color w:val="auto"/>
              </w:rPr>
            </w:pPr>
          </w:p>
        </w:tc>
        <w:tc>
          <w:tcPr>
            <w:tcW w:w="2180" w:type="dxa"/>
            <w:vAlign w:val="bottom"/>
            <w:tcBorders>
              <w:bottom w:val="single" w:sz="8" w:color="E6E6E6"/>
            </w:tcBorders>
          </w:tcPr>
          <w:p>
            <w:pPr>
              <w:spacing w:after="0"/>
              <w:rPr>
                <w:sz w:val="24"/>
                <w:szCs w:val="24"/>
                <w:color w:val="auto"/>
              </w:rPr>
            </w:pPr>
          </w:p>
        </w:tc>
        <w:tc>
          <w:tcPr>
            <w:tcW w:w="720" w:type="dxa"/>
            <w:vAlign w:val="bottom"/>
            <w:tcBorders>
              <w:bottom w:val="single" w:sz="8" w:color="E6E6E6"/>
            </w:tcBorders>
          </w:tcPr>
          <w:p>
            <w:pPr>
              <w:spacing w:after="0"/>
              <w:rPr>
                <w:sz w:val="24"/>
                <w:szCs w:val="24"/>
                <w:color w:val="auto"/>
              </w:rPr>
            </w:pPr>
          </w:p>
        </w:tc>
        <w:tc>
          <w:tcPr>
            <w:tcW w:w="2180" w:type="dxa"/>
            <w:vAlign w:val="bottom"/>
            <w:tcBorders>
              <w:bottom w:val="single" w:sz="8" w:color="E6E6E6"/>
            </w:tcBorders>
          </w:tcPr>
          <w:p>
            <w:pPr>
              <w:spacing w:after="0"/>
              <w:rPr>
                <w:sz w:val="24"/>
                <w:szCs w:val="24"/>
                <w:color w:val="auto"/>
              </w:rPr>
            </w:pPr>
          </w:p>
        </w:tc>
        <w:tc>
          <w:tcPr>
            <w:tcW w:w="68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260" w:type="dxa"/>
            <w:vAlign w:val="bottom"/>
            <w:vMerge w:val="continue"/>
          </w:tcPr>
          <w:p>
            <w:pPr>
              <w:spacing w:after="0"/>
              <w:rPr>
                <w:sz w:val="4"/>
                <w:szCs w:val="4"/>
                <w:color w:val="auto"/>
              </w:rPr>
            </w:pPr>
          </w:p>
        </w:tc>
        <w:tc>
          <w:tcPr>
            <w:tcW w:w="640" w:type="dxa"/>
            <w:vAlign w:val="bottom"/>
            <w:tcBorders>
              <w:left w:val="single" w:sz="8" w:color="CCCCCC"/>
            </w:tcBorders>
          </w:tcPr>
          <w:p>
            <w:pPr>
              <w:spacing w:after="0"/>
              <w:rPr>
                <w:sz w:val="4"/>
                <w:szCs w:val="4"/>
                <w:color w:val="auto"/>
              </w:rPr>
            </w:pPr>
          </w:p>
        </w:tc>
        <w:tc>
          <w:tcPr>
            <w:tcW w:w="2180" w:type="dxa"/>
            <w:vAlign w:val="bottom"/>
          </w:tcPr>
          <w:p>
            <w:pPr>
              <w:spacing w:after="0"/>
              <w:rPr>
                <w:sz w:val="4"/>
                <w:szCs w:val="4"/>
                <w:color w:val="auto"/>
              </w:rPr>
            </w:pPr>
          </w:p>
        </w:tc>
        <w:tc>
          <w:tcPr>
            <w:tcW w:w="2900" w:type="dxa"/>
            <w:vAlign w:val="bottom"/>
            <w:gridSpan w:val="2"/>
            <w:vMerge w:val="restart"/>
          </w:tcPr>
          <w:p>
            <w:pPr>
              <w:jc w:val="center"/>
              <w:ind w:left="600"/>
              <w:spacing w:after="0"/>
              <w:rPr>
                <w:sz w:val="20"/>
                <w:szCs w:val="20"/>
                <w:color w:val="auto"/>
              </w:rPr>
            </w:pPr>
            <w:r>
              <w:rPr>
                <w:rFonts w:ascii="Arial" w:cs="Arial" w:eastAsia="Arial" w:hAnsi="Arial"/>
                <w:sz w:val="24"/>
                <w:szCs w:val="24"/>
                <w:color w:val="000750"/>
              </w:rPr>
              <w:t>9.50%</w:t>
            </w: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6"/>
        </w:trPr>
        <w:tc>
          <w:tcPr>
            <w:tcW w:w="260" w:type="dxa"/>
            <w:vAlign w:val="bottom"/>
          </w:tcPr>
          <w:p>
            <w:pPr>
              <w:jc w:val="right"/>
              <w:spacing w:after="0"/>
              <w:rPr>
                <w:sz w:val="20"/>
                <w:szCs w:val="20"/>
                <w:color w:val="auto"/>
              </w:rPr>
            </w:pPr>
            <w:r>
              <w:rPr>
                <w:rFonts w:ascii="Arial" w:cs="Arial" w:eastAsia="Arial" w:hAnsi="Arial"/>
                <w:sz w:val="12"/>
                <w:szCs w:val="12"/>
                <w:color w:val="CCCCCC"/>
                <w:w w:val="83"/>
              </w:rPr>
              <w:t>10%</w:t>
            </w:r>
          </w:p>
        </w:tc>
        <w:tc>
          <w:tcPr>
            <w:tcW w:w="640" w:type="dxa"/>
            <w:vAlign w:val="bottom"/>
            <w:tcBorders>
              <w:left w:val="single" w:sz="8" w:color="CCCCCC"/>
            </w:tcBorders>
          </w:tcPr>
          <w:p>
            <w:pPr>
              <w:spacing w:after="0"/>
              <w:rPr>
                <w:sz w:val="24"/>
                <w:szCs w:val="24"/>
                <w:color w:val="auto"/>
              </w:rPr>
            </w:pPr>
          </w:p>
        </w:tc>
        <w:tc>
          <w:tcPr>
            <w:tcW w:w="2180" w:type="dxa"/>
            <w:vAlign w:val="bottom"/>
          </w:tcPr>
          <w:p>
            <w:pPr>
              <w:spacing w:after="0"/>
              <w:rPr>
                <w:sz w:val="24"/>
                <w:szCs w:val="24"/>
                <w:color w:val="auto"/>
              </w:rPr>
            </w:pPr>
          </w:p>
        </w:tc>
        <w:tc>
          <w:tcPr>
            <w:tcW w:w="290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60" w:type="dxa"/>
            <w:vAlign w:val="bottom"/>
            <w:vMerge w:val="restart"/>
          </w:tcPr>
          <w:p>
            <w:pPr>
              <w:jc w:val="right"/>
              <w:spacing w:after="0"/>
              <w:rPr>
                <w:sz w:val="20"/>
                <w:szCs w:val="20"/>
                <w:color w:val="auto"/>
              </w:rPr>
            </w:pPr>
            <w:r>
              <w:rPr>
                <w:rFonts w:ascii="Arial" w:cs="Arial" w:eastAsia="Arial" w:hAnsi="Arial"/>
                <w:sz w:val="12"/>
                <w:szCs w:val="12"/>
                <w:color w:val="CCCCCC"/>
              </w:rPr>
              <w:t>8%</w:t>
            </w:r>
          </w:p>
        </w:tc>
        <w:tc>
          <w:tcPr>
            <w:tcW w:w="640" w:type="dxa"/>
            <w:vAlign w:val="bottom"/>
            <w:tcBorders>
              <w:left w:val="single" w:sz="8" w:color="CCCCCC"/>
            </w:tcBorders>
          </w:tcPr>
          <w:p>
            <w:pPr>
              <w:spacing w:after="0"/>
              <w:rPr>
                <w:sz w:val="6"/>
                <w:szCs w:val="6"/>
                <w:color w:val="auto"/>
              </w:rPr>
            </w:pPr>
          </w:p>
        </w:tc>
        <w:tc>
          <w:tcPr>
            <w:tcW w:w="2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9"/>
        </w:trPr>
        <w:tc>
          <w:tcPr>
            <w:tcW w:w="260" w:type="dxa"/>
            <w:vAlign w:val="bottom"/>
            <w:vMerge w:val="continue"/>
          </w:tcPr>
          <w:p>
            <w:pPr>
              <w:spacing w:after="0"/>
              <w:rPr>
                <w:sz w:val="24"/>
                <w:szCs w:val="24"/>
                <w:color w:val="auto"/>
              </w:rPr>
            </w:pPr>
          </w:p>
        </w:tc>
        <w:tc>
          <w:tcPr>
            <w:tcW w:w="640" w:type="dxa"/>
            <w:vAlign w:val="bottom"/>
            <w:tcBorders>
              <w:left w:val="single" w:sz="8" w:color="CCCCCC"/>
              <w:bottom w:val="single" w:sz="8" w:color="E6E6E6"/>
            </w:tcBorders>
          </w:tcPr>
          <w:p>
            <w:pPr>
              <w:spacing w:after="0"/>
              <w:rPr>
                <w:sz w:val="24"/>
                <w:szCs w:val="24"/>
                <w:color w:val="auto"/>
              </w:rPr>
            </w:pPr>
          </w:p>
        </w:tc>
        <w:tc>
          <w:tcPr>
            <w:tcW w:w="2180" w:type="dxa"/>
            <w:vAlign w:val="bottom"/>
            <w:tcBorders>
              <w:bottom w:val="single" w:sz="8" w:color="E6E6E6"/>
            </w:tcBorders>
          </w:tcPr>
          <w:p>
            <w:pPr>
              <w:spacing w:after="0"/>
              <w:rPr>
                <w:sz w:val="24"/>
                <w:szCs w:val="24"/>
                <w:color w:val="auto"/>
              </w:rPr>
            </w:pPr>
          </w:p>
        </w:tc>
        <w:tc>
          <w:tcPr>
            <w:tcW w:w="720" w:type="dxa"/>
            <w:vAlign w:val="bottom"/>
            <w:tcBorders>
              <w:bottom w:val="single" w:sz="8" w:color="E6E6E6"/>
            </w:tcBorders>
          </w:tcPr>
          <w:p>
            <w:pPr>
              <w:spacing w:after="0"/>
              <w:rPr>
                <w:sz w:val="24"/>
                <w:szCs w:val="24"/>
                <w:color w:val="auto"/>
              </w:rPr>
            </w:pPr>
          </w:p>
        </w:tc>
        <w:tc>
          <w:tcPr>
            <w:tcW w:w="2180" w:type="dxa"/>
            <w:vAlign w:val="bottom"/>
            <w:tcBorders>
              <w:bottom w:val="single" w:sz="8" w:color="000750"/>
            </w:tcBorders>
            <w:shd w:val="clear" w:color="auto" w:fill="000750"/>
          </w:tcPr>
          <w:p>
            <w:pPr>
              <w:spacing w:after="0"/>
              <w:rPr>
                <w:sz w:val="24"/>
                <w:szCs w:val="24"/>
                <w:color w:val="auto"/>
              </w:rPr>
            </w:pPr>
          </w:p>
        </w:tc>
        <w:tc>
          <w:tcPr>
            <w:tcW w:w="68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260" w:type="dxa"/>
            <w:vAlign w:val="bottom"/>
            <w:vMerge w:val="continue"/>
          </w:tcPr>
          <w:p>
            <w:pPr>
              <w:spacing w:after="0"/>
              <w:rPr>
                <w:sz w:val="4"/>
                <w:szCs w:val="4"/>
                <w:color w:val="auto"/>
              </w:rPr>
            </w:pPr>
          </w:p>
        </w:tc>
        <w:tc>
          <w:tcPr>
            <w:tcW w:w="2820" w:type="dxa"/>
            <w:vAlign w:val="bottom"/>
            <w:tcBorders>
              <w:left w:val="single" w:sz="8" w:color="CCCCCC"/>
            </w:tcBorders>
            <w:gridSpan w:val="2"/>
            <w:vMerge w:val="restart"/>
          </w:tcPr>
          <w:p>
            <w:pPr>
              <w:jc w:val="center"/>
              <w:ind w:left="520"/>
              <w:spacing w:after="0"/>
              <w:rPr>
                <w:sz w:val="20"/>
                <w:szCs w:val="20"/>
                <w:color w:val="auto"/>
              </w:rPr>
            </w:pPr>
            <w:r>
              <w:rPr>
                <w:rFonts w:ascii="Arial" w:cs="Arial" w:eastAsia="Arial" w:hAnsi="Arial"/>
                <w:sz w:val="24"/>
                <w:szCs w:val="24"/>
                <w:color w:val="000750"/>
              </w:rPr>
              <w:t>6.50%</w:t>
            </w:r>
          </w:p>
        </w:tc>
        <w:tc>
          <w:tcPr>
            <w:tcW w:w="720" w:type="dxa"/>
            <w:vAlign w:val="bottom"/>
          </w:tcPr>
          <w:p>
            <w:pPr>
              <w:spacing w:after="0"/>
              <w:rPr>
                <w:sz w:val="4"/>
                <w:szCs w:val="4"/>
                <w:color w:val="auto"/>
              </w:rPr>
            </w:pPr>
          </w:p>
        </w:tc>
        <w:tc>
          <w:tcPr>
            <w:tcW w:w="2180" w:type="dxa"/>
            <w:vAlign w:val="bottom"/>
            <w:shd w:val="clear" w:color="auto" w:fill="000750"/>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3"/>
        </w:trPr>
        <w:tc>
          <w:tcPr>
            <w:tcW w:w="260" w:type="dxa"/>
            <w:vAlign w:val="bottom"/>
          </w:tcPr>
          <w:p>
            <w:pPr>
              <w:spacing w:after="0"/>
              <w:rPr>
                <w:sz w:val="22"/>
                <w:szCs w:val="22"/>
                <w:color w:val="auto"/>
              </w:rPr>
            </w:pPr>
          </w:p>
        </w:tc>
        <w:tc>
          <w:tcPr>
            <w:tcW w:w="2820" w:type="dxa"/>
            <w:vAlign w:val="bottom"/>
            <w:tcBorders>
              <w:left w:val="single" w:sz="8" w:color="CCCCCC"/>
            </w:tcBorders>
            <w:gridSpan w:val="2"/>
            <w:vMerge w:val="continue"/>
          </w:tcPr>
          <w:p>
            <w:pPr>
              <w:spacing w:after="0"/>
              <w:rPr>
                <w:sz w:val="22"/>
                <w:szCs w:val="22"/>
                <w:color w:val="auto"/>
              </w:rPr>
            </w:pPr>
          </w:p>
        </w:tc>
        <w:tc>
          <w:tcPr>
            <w:tcW w:w="720" w:type="dxa"/>
            <w:vAlign w:val="bottom"/>
          </w:tcPr>
          <w:p>
            <w:pPr>
              <w:spacing w:after="0"/>
              <w:rPr>
                <w:sz w:val="22"/>
                <w:szCs w:val="22"/>
                <w:color w:val="auto"/>
              </w:rPr>
            </w:pPr>
          </w:p>
        </w:tc>
        <w:tc>
          <w:tcPr>
            <w:tcW w:w="2180" w:type="dxa"/>
            <w:vAlign w:val="bottom"/>
            <w:shd w:val="clear" w:color="auto" w:fill="000750"/>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60" w:type="dxa"/>
            <w:vAlign w:val="bottom"/>
            <w:vMerge w:val="restart"/>
          </w:tcPr>
          <w:p>
            <w:pPr>
              <w:jc w:val="right"/>
              <w:spacing w:after="0"/>
              <w:rPr>
                <w:sz w:val="20"/>
                <w:szCs w:val="20"/>
                <w:color w:val="auto"/>
              </w:rPr>
            </w:pPr>
            <w:r>
              <w:rPr>
                <w:rFonts w:ascii="Arial" w:cs="Arial" w:eastAsia="Arial" w:hAnsi="Arial"/>
                <w:sz w:val="12"/>
                <w:szCs w:val="12"/>
                <w:color w:val="CCCCCC"/>
              </w:rPr>
              <w:t>6%</w:t>
            </w:r>
          </w:p>
        </w:tc>
        <w:tc>
          <w:tcPr>
            <w:tcW w:w="640" w:type="dxa"/>
            <w:vAlign w:val="bottom"/>
            <w:tcBorders>
              <w:left w:val="single" w:sz="8" w:color="CCCCCC"/>
            </w:tcBorders>
          </w:tcPr>
          <w:p>
            <w:pPr>
              <w:spacing w:after="0"/>
              <w:rPr>
                <w:sz w:val="3"/>
                <w:szCs w:val="3"/>
                <w:color w:val="auto"/>
              </w:rPr>
            </w:pPr>
          </w:p>
        </w:tc>
        <w:tc>
          <w:tcPr>
            <w:tcW w:w="2180" w:type="dxa"/>
            <w:vAlign w:val="bottom"/>
            <w:tcBorders>
              <w:bottom w:val="single" w:sz="8" w:color="CCCCCC"/>
            </w:tcBorders>
          </w:tcPr>
          <w:p>
            <w:pPr>
              <w:spacing w:after="0"/>
              <w:rPr>
                <w:sz w:val="3"/>
                <w:szCs w:val="3"/>
                <w:color w:val="auto"/>
              </w:rPr>
            </w:pPr>
          </w:p>
        </w:tc>
        <w:tc>
          <w:tcPr>
            <w:tcW w:w="720" w:type="dxa"/>
            <w:vAlign w:val="bottom"/>
          </w:tcPr>
          <w:p>
            <w:pPr>
              <w:spacing w:after="0"/>
              <w:rPr>
                <w:sz w:val="3"/>
                <w:szCs w:val="3"/>
                <w:color w:val="auto"/>
              </w:rPr>
            </w:pPr>
          </w:p>
        </w:tc>
        <w:tc>
          <w:tcPr>
            <w:tcW w:w="2180" w:type="dxa"/>
            <w:vAlign w:val="bottom"/>
            <w:tcBorders>
              <w:bottom w:val="single" w:sz="8" w:color="000750"/>
            </w:tcBorders>
            <w:shd w:val="clear" w:color="auto" w:fill="000750"/>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6"/>
        </w:trPr>
        <w:tc>
          <w:tcPr>
            <w:tcW w:w="260" w:type="dxa"/>
            <w:vAlign w:val="bottom"/>
            <w:vMerge w:val="continue"/>
          </w:tcPr>
          <w:p>
            <w:pPr>
              <w:spacing w:after="0"/>
              <w:rPr>
                <w:sz w:val="8"/>
                <w:szCs w:val="8"/>
                <w:color w:val="auto"/>
              </w:rPr>
            </w:pPr>
          </w:p>
        </w:tc>
        <w:tc>
          <w:tcPr>
            <w:tcW w:w="640" w:type="dxa"/>
            <w:vAlign w:val="bottom"/>
            <w:tcBorders>
              <w:left w:val="single" w:sz="8" w:color="CCCCCC"/>
              <w:bottom w:val="single" w:sz="8" w:color="E6E6E6"/>
            </w:tcBorders>
          </w:tcPr>
          <w:p>
            <w:pPr>
              <w:spacing w:after="0"/>
              <w:rPr>
                <w:sz w:val="8"/>
                <w:szCs w:val="8"/>
                <w:color w:val="auto"/>
              </w:rPr>
            </w:pPr>
          </w:p>
        </w:tc>
        <w:tc>
          <w:tcPr>
            <w:tcW w:w="2180" w:type="dxa"/>
            <w:vAlign w:val="bottom"/>
            <w:tcBorders>
              <w:bottom w:val="single" w:sz="8" w:color="CCCCCC"/>
            </w:tcBorders>
            <w:shd w:val="clear" w:color="auto" w:fill="CCCCCC"/>
          </w:tcPr>
          <w:p>
            <w:pPr>
              <w:spacing w:after="0"/>
              <w:rPr>
                <w:sz w:val="8"/>
                <w:szCs w:val="8"/>
                <w:color w:val="auto"/>
              </w:rPr>
            </w:pPr>
          </w:p>
        </w:tc>
        <w:tc>
          <w:tcPr>
            <w:tcW w:w="720" w:type="dxa"/>
            <w:vAlign w:val="bottom"/>
            <w:tcBorders>
              <w:bottom w:val="single" w:sz="8" w:color="E6E6E6"/>
            </w:tcBorders>
          </w:tcPr>
          <w:p>
            <w:pPr>
              <w:spacing w:after="0"/>
              <w:rPr>
                <w:sz w:val="8"/>
                <w:szCs w:val="8"/>
                <w:color w:val="auto"/>
              </w:rPr>
            </w:pPr>
          </w:p>
        </w:tc>
        <w:tc>
          <w:tcPr>
            <w:tcW w:w="2180" w:type="dxa"/>
            <w:vAlign w:val="bottom"/>
            <w:tcBorders>
              <w:bottom w:val="single" w:sz="8" w:color="CCCCCC"/>
            </w:tcBorders>
            <w:shd w:val="clear" w:color="auto" w:fill="CCCCCC"/>
          </w:tcPr>
          <w:p>
            <w:pPr>
              <w:spacing w:after="0"/>
              <w:rPr>
                <w:sz w:val="8"/>
                <w:szCs w:val="8"/>
                <w:color w:val="auto"/>
              </w:rPr>
            </w:pPr>
          </w:p>
        </w:tc>
        <w:tc>
          <w:tcPr>
            <w:tcW w:w="680" w:type="dxa"/>
            <w:vAlign w:val="bottom"/>
            <w:tcBorders>
              <w:bottom w:val="single" w:sz="8" w:color="E6E6E6"/>
            </w:tcBorders>
          </w:tcPr>
          <w:p>
            <w:pPr>
              <w:spacing w:after="0"/>
              <w:rPr>
                <w:sz w:val="8"/>
                <w:szCs w:val="8"/>
                <w:color w:val="auto"/>
              </w:rPr>
            </w:pPr>
          </w:p>
        </w:tc>
        <w:tc>
          <w:tcPr>
            <w:tcW w:w="0" w:type="dxa"/>
            <w:vAlign w:val="bottom"/>
          </w:tcPr>
          <w:p>
            <w:pPr>
              <w:spacing w:after="0"/>
              <w:rPr>
                <w:sz w:val="1"/>
                <w:szCs w:val="1"/>
                <w:color w:val="auto"/>
              </w:rPr>
            </w:pPr>
          </w:p>
        </w:tc>
      </w:tr>
      <w:tr>
        <w:trPr>
          <w:trHeight w:val="45"/>
        </w:trPr>
        <w:tc>
          <w:tcPr>
            <w:tcW w:w="260" w:type="dxa"/>
            <w:vAlign w:val="bottom"/>
            <w:vMerge w:val="continue"/>
          </w:tcPr>
          <w:p>
            <w:pPr>
              <w:spacing w:after="0"/>
              <w:rPr>
                <w:sz w:val="3"/>
                <w:szCs w:val="3"/>
                <w:color w:val="auto"/>
              </w:rPr>
            </w:pPr>
          </w:p>
        </w:tc>
        <w:tc>
          <w:tcPr>
            <w:tcW w:w="640" w:type="dxa"/>
            <w:vAlign w:val="bottom"/>
            <w:tcBorders>
              <w:left w:val="single" w:sz="8" w:color="CCCCCC"/>
            </w:tcBorders>
          </w:tcPr>
          <w:p>
            <w:pPr>
              <w:spacing w:after="0"/>
              <w:rPr>
                <w:sz w:val="3"/>
                <w:szCs w:val="3"/>
                <w:color w:val="auto"/>
              </w:rPr>
            </w:pPr>
          </w:p>
        </w:tc>
        <w:tc>
          <w:tcPr>
            <w:tcW w:w="2180" w:type="dxa"/>
            <w:vAlign w:val="bottom"/>
            <w:shd w:val="clear" w:color="auto" w:fill="CCCCCC"/>
          </w:tcPr>
          <w:p>
            <w:pPr>
              <w:spacing w:after="0"/>
              <w:rPr>
                <w:sz w:val="3"/>
                <w:szCs w:val="3"/>
                <w:color w:val="auto"/>
              </w:rPr>
            </w:pPr>
          </w:p>
        </w:tc>
        <w:tc>
          <w:tcPr>
            <w:tcW w:w="720" w:type="dxa"/>
            <w:vAlign w:val="bottom"/>
          </w:tcPr>
          <w:p>
            <w:pPr>
              <w:spacing w:after="0"/>
              <w:rPr>
                <w:sz w:val="3"/>
                <w:szCs w:val="3"/>
                <w:color w:val="auto"/>
              </w:rPr>
            </w:pPr>
          </w:p>
        </w:tc>
        <w:tc>
          <w:tcPr>
            <w:tcW w:w="2180" w:type="dxa"/>
            <w:vAlign w:val="bottom"/>
            <w:shd w:val="clear" w:color="auto" w:fill="CCCCCC"/>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4"/>
        </w:trPr>
        <w:tc>
          <w:tcPr>
            <w:tcW w:w="260" w:type="dxa"/>
            <w:vAlign w:val="bottom"/>
            <w:vMerge w:val="restart"/>
          </w:tcPr>
          <w:p>
            <w:pPr>
              <w:jc w:val="right"/>
              <w:spacing w:after="0"/>
              <w:rPr>
                <w:sz w:val="20"/>
                <w:szCs w:val="20"/>
                <w:color w:val="auto"/>
              </w:rPr>
            </w:pPr>
            <w:r>
              <w:rPr>
                <w:rFonts w:ascii="Arial" w:cs="Arial" w:eastAsia="Arial" w:hAnsi="Arial"/>
                <w:sz w:val="12"/>
                <w:szCs w:val="12"/>
                <w:color w:val="CCCCCC"/>
              </w:rPr>
              <w:t>4%</w:t>
            </w:r>
          </w:p>
        </w:tc>
        <w:tc>
          <w:tcPr>
            <w:tcW w:w="640" w:type="dxa"/>
            <w:vAlign w:val="bottom"/>
            <w:tcBorders>
              <w:left w:val="single" w:sz="8" w:color="CCCCCC"/>
              <w:bottom w:val="single" w:sz="8" w:color="E6E6E6"/>
            </w:tcBorders>
          </w:tcPr>
          <w:p>
            <w:pPr>
              <w:spacing w:after="0"/>
              <w:rPr>
                <w:sz w:val="24"/>
                <w:szCs w:val="24"/>
                <w:color w:val="auto"/>
              </w:rPr>
            </w:pPr>
          </w:p>
        </w:tc>
        <w:tc>
          <w:tcPr>
            <w:tcW w:w="2180" w:type="dxa"/>
            <w:vAlign w:val="bottom"/>
            <w:tcBorders>
              <w:bottom w:val="single" w:sz="8" w:color="CCCCCC"/>
            </w:tcBorders>
            <w:shd w:val="clear" w:color="auto" w:fill="CCCCCC"/>
          </w:tcPr>
          <w:p>
            <w:pPr>
              <w:spacing w:after="0"/>
              <w:rPr>
                <w:sz w:val="24"/>
                <w:szCs w:val="24"/>
                <w:color w:val="auto"/>
              </w:rPr>
            </w:pPr>
          </w:p>
        </w:tc>
        <w:tc>
          <w:tcPr>
            <w:tcW w:w="720" w:type="dxa"/>
            <w:vAlign w:val="bottom"/>
            <w:tcBorders>
              <w:bottom w:val="single" w:sz="8" w:color="E6E6E6"/>
            </w:tcBorders>
          </w:tcPr>
          <w:p>
            <w:pPr>
              <w:spacing w:after="0"/>
              <w:rPr>
                <w:sz w:val="24"/>
                <w:szCs w:val="24"/>
                <w:color w:val="auto"/>
              </w:rPr>
            </w:pPr>
          </w:p>
        </w:tc>
        <w:tc>
          <w:tcPr>
            <w:tcW w:w="2180" w:type="dxa"/>
            <w:vAlign w:val="bottom"/>
            <w:tcBorders>
              <w:bottom w:val="single" w:sz="8" w:color="CCCCCC"/>
            </w:tcBorders>
            <w:shd w:val="clear" w:color="auto" w:fill="CCCCCC"/>
          </w:tcPr>
          <w:p>
            <w:pPr>
              <w:spacing w:after="0"/>
              <w:rPr>
                <w:sz w:val="24"/>
                <w:szCs w:val="24"/>
                <w:color w:val="auto"/>
              </w:rPr>
            </w:pPr>
          </w:p>
        </w:tc>
        <w:tc>
          <w:tcPr>
            <w:tcW w:w="68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260" w:type="dxa"/>
            <w:vAlign w:val="bottom"/>
            <w:vMerge w:val="continue"/>
          </w:tcPr>
          <w:p>
            <w:pPr>
              <w:spacing w:after="0"/>
              <w:rPr>
                <w:sz w:val="3"/>
                <w:szCs w:val="3"/>
                <w:color w:val="auto"/>
              </w:rPr>
            </w:pPr>
          </w:p>
        </w:tc>
        <w:tc>
          <w:tcPr>
            <w:tcW w:w="640" w:type="dxa"/>
            <w:vAlign w:val="bottom"/>
            <w:tcBorders>
              <w:left w:val="single" w:sz="8" w:color="CCCCCC"/>
            </w:tcBorders>
          </w:tcPr>
          <w:p>
            <w:pPr>
              <w:spacing w:after="0"/>
              <w:rPr>
                <w:sz w:val="3"/>
                <w:szCs w:val="3"/>
                <w:color w:val="auto"/>
              </w:rPr>
            </w:pPr>
          </w:p>
        </w:tc>
        <w:tc>
          <w:tcPr>
            <w:tcW w:w="2180" w:type="dxa"/>
            <w:vAlign w:val="bottom"/>
            <w:shd w:val="clear" w:color="auto" w:fill="CCCCCC"/>
          </w:tcPr>
          <w:p>
            <w:pPr>
              <w:spacing w:after="0"/>
              <w:rPr>
                <w:sz w:val="3"/>
                <w:szCs w:val="3"/>
                <w:color w:val="auto"/>
              </w:rPr>
            </w:pPr>
          </w:p>
        </w:tc>
        <w:tc>
          <w:tcPr>
            <w:tcW w:w="720" w:type="dxa"/>
            <w:vAlign w:val="bottom"/>
          </w:tcPr>
          <w:p>
            <w:pPr>
              <w:spacing w:after="0"/>
              <w:rPr>
                <w:sz w:val="3"/>
                <w:szCs w:val="3"/>
                <w:color w:val="auto"/>
              </w:rPr>
            </w:pPr>
          </w:p>
        </w:tc>
        <w:tc>
          <w:tcPr>
            <w:tcW w:w="2180" w:type="dxa"/>
            <w:vAlign w:val="bottom"/>
            <w:shd w:val="clear" w:color="auto" w:fill="CCCCCC"/>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6"/>
        </w:trPr>
        <w:tc>
          <w:tcPr>
            <w:tcW w:w="260" w:type="dxa"/>
            <w:vAlign w:val="bottom"/>
            <w:vMerge w:val="restart"/>
          </w:tcPr>
          <w:p>
            <w:pPr>
              <w:jc w:val="right"/>
              <w:spacing w:after="0"/>
              <w:rPr>
                <w:sz w:val="20"/>
                <w:szCs w:val="20"/>
                <w:color w:val="auto"/>
              </w:rPr>
            </w:pPr>
            <w:r>
              <w:rPr>
                <w:rFonts w:ascii="Arial" w:cs="Arial" w:eastAsia="Arial" w:hAnsi="Arial"/>
                <w:sz w:val="12"/>
                <w:szCs w:val="12"/>
                <w:color w:val="CCCCCC"/>
              </w:rPr>
              <w:t>2%</w:t>
            </w:r>
          </w:p>
        </w:tc>
        <w:tc>
          <w:tcPr>
            <w:tcW w:w="640" w:type="dxa"/>
            <w:vAlign w:val="bottom"/>
            <w:tcBorders>
              <w:left w:val="single" w:sz="8" w:color="CCCCCC"/>
              <w:bottom w:val="single" w:sz="8" w:color="E6E6E6"/>
            </w:tcBorders>
          </w:tcPr>
          <w:p>
            <w:pPr>
              <w:spacing w:after="0"/>
              <w:rPr>
                <w:sz w:val="24"/>
                <w:szCs w:val="24"/>
                <w:color w:val="auto"/>
              </w:rPr>
            </w:pPr>
          </w:p>
        </w:tc>
        <w:tc>
          <w:tcPr>
            <w:tcW w:w="2180" w:type="dxa"/>
            <w:vAlign w:val="bottom"/>
            <w:tcBorders>
              <w:bottom w:val="single" w:sz="8" w:color="CCCCCC"/>
            </w:tcBorders>
            <w:vMerge w:val="restart"/>
            <w:shd w:val="clear" w:color="auto" w:fill="CCCCCC"/>
          </w:tcPr>
          <w:p>
            <w:pPr>
              <w:jc w:val="center"/>
              <w:spacing w:after="0"/>
              <w:rPr>
                <w:sz w:val="20"/>
                <w:szCs w:val="20"/>
                <w:color w:val="auto"/>
              </w:rPr>
            </w:pPr>
            <w:r>
              <w:rPr>
                <w:rFonts w:ascii="Arial" w:cs="Arial" w:eastAsia="Arial" w:hAnsi="Arial"/>
                <w:sz w:val="16"/>
                <w:szCs w:val="16"/>
                <w:color w:val="000750"/>
              </w:rPr>
              <w:t>Traditional Long Term</w:t>
            </w:r>
          </w:p>
        </w:tc>
        <w:tc>
          <w:tcPr>
            <w:tcW w:w="720" w:type="dxa"/>
            <w:vAlign w:val="bottom"/>
            <w:tcBorders>
              <w:bottom w:val="single" w:sz="8" w:color="E6E6E6"/>
            </w:tcBorders>
          </w:tcPr>
          <w:p>
            <w:pPr>
              <w:spacing w:after="0"/>
              <w:rPr>
                <w:sz w:val="24"/>
                <w:szCs w:val="24"/>
                <w:color w:val="auto"/>
              </w:rPr>
            </w:pPr>
          </w:p>
        </w:tc>
        <w:tc>
          <w:tcPr>
            <w:tcW w:w="2180" w:type="dxa"/>
            <w:vAlign w:val="bottom"/>
            <w:tcBorders>
              <w:bottom w:val="single" w:sz="8" w:color="CCCCCC"/>
            </w:tcBorders>
            <w:vMerge w:val="restart"/>
            <w:shd w:val="clear" w:color="auto" w:fill="CCCCCC"/>
          </w:tcPr>
          <w:p>
            <w:pPr>
              <w:jc w:val="center"/>
              <w:spacing w:after="0"/>
              <w:rPr>
                <w:sz w:val="20"/>
                <w:szCs w:val="20"/>
                <w:color w:val="auto"/>
              </w:rPr>
            </w:pPr>
            <w:r>
              <w:rPr>
                <w:rFonts w:ascii="Arial" w:cs="Arial" w:eastAsia="Arial" w:hAnsi="Arial"/>
                <w:sz w:val="16"/>
                <w:szCs w:val="16"/>
                <w:color w:val="000750"/>
              </w:rPr>
              <w:t>Security National Capital</w:t>
            </w:r>
          </w:p>
        </w:tc>
        <w:tc>
          <w:tcPr>
            <w:tcW w:w="680" w:type="dxa"/>
            <w:vAlign w:val="bottom"/>
            <w:tcBorders>
              <w:bottom w:val="single" w:sz="8" w:color="E6E6E6"/>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60" w:type="dxa"/>
            <w:vAlign w:val="bottom"/>
            <w:vMerge w:val="continue"/>
          </w:tcPr>
          <w:p>
            <w:pPr>
              <w:spacing w:after="0"/>
              <w:rPr>
                <w:sz w:val="3"/>
                <w:szCs w:val="3"/>
                <w:color w:val="auto"/>
              </w:rPr>
            </w:pPr>
          </w:p>
        </w:tc>
        <w:tc>
          <w:tcPr>
            <w:tcW w:w="640" w:type="dxa"/>
            <w:vAlign w:val="bottom"/>
            <w:tcBorders>
              <w:left w:val="single" w:sz="8" w:color="CCCCCC"/>
            </w:tcBorders>
          </w:tcPr>
          <w:p>
            <w:pPr>
              <w:spacing w:after="0"/>
              <w:rPr>
                <w:sz w:val="3"/>
                <w:szCs w:val="3"/>
                <w:color w:val="auto"/>
              </w:rPr>
            </w:pPr>
          </w:p>
        </w:tc>
        <w:tc>
          <w:tcPr>
            <w:tcW w:w="2180" w:type="dxa"/>
            <w:vAlign w:val="bottom"/>
            <w:vMerge w:val="continue"/>
            <w:shd w:val="clear" w:color="auto" w:fill="CCCCCC"/>
          </w:tcPr>
          <w:p>
            <w:pPr>
              <w:spacing w:after="0"/>
              <w:rPr>
                <w:sz w:val="3"/>
                <w:szCs w:val="3"/>
                <w:color w:val="auto"/>
              </w:rPr>
            </w:pPr>
          </w:p>
        </w:tc>
        <w:tc>
          <w:tcPr>
            <w:tcW w:w="720" w:type="dxa"/>
            <w:vAlign w:val="bottom"/>
          </w:tcPr>
          <w:p>
            <w:pPr>
              <w:spacing w:after="0"/>
              <w:rPr>
                <w:sz w:val="3"/>
                <w:szCs w:val="3"/>
                <w:color w:val="auto"/>
              </w:rPr>
            </w:pPr>
          </w:p>
        </w:tc>
        <w:tc>
          <w:tcPr>
            <w:tcW w:w="2180" w:type="dxa"/>
            <w:vAlign w:val="bottom"/>
            <w:vMerge w:val="continue"/>
            <w:shd w:val="clear" w:color="auto" w:fill="CCCCCC"/>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8"/>
        </w:trPr>
        <w:tc>
          <w:tcPr>
            <w:tcW w:w="260" w:type="dxa"/>
            <w:vAlign w:val="bottom"/>
          </w:tcPr>
          <w:p>
            <w:pPr>
              <w:spacing w:after="0"/>
              <w:rPr>
                <w:sz w:val="17"/>
                <w:szCs w:val="17"/>
                <w:color w:val="auto"/>
              </w:rPr>
            </w:pPr>
          </w:p>
        </w:tc>
        <w:tc>
          <w:tcPr>
            <w:tcW w:w="640" w:type="dxa"/>
            <w:vAlign w:val="bottom"/>
            <w:tcBorders>
              <w:left w:val="single" w:sz="8" w:color="CCCCCC"/>
            </w:tcBorders>
          </w:tcPr>
          <w:p>
            <w:pPr>
              <w:spacing w:after="0"/>
              <w:rPr>
                <w:sz w:val="17"/>
                <w:szCs w:val="17"/>
                <w:color w:val="auto"/>
              </w:rPr>
            </w:pPr>
          </w:p>
        </w:tc>
        <w:tc>
          <w:tcPr>
            <w:tcW w:w="2180" w:type="dxa"/>
            <w:vAlign w:val="bottom"/>
            <w:vMerge w:val="continue"/>
            <w:shd w:val="clear" w:color="auto" w:fill="CCCCCC"/>
          </w:tcPr>
          <w:p>
            <w:pPr>
              <w:spacing w:after="0"/>
              <w:rPr>
                <w:sz w:val="17"/>
                <w:szCs w:val="17"/>
                <w:color w:val="auto"/>
              </w:rPr>
            </w:pPr>
          </w:p>
        </w:tc>
        <w:tc>
          <w:tcPr>
            <w:tcW w:w="720" w:type="dxa"/>
            <w:vAlign w:val="bottom"/>
          </w:tcPr>
          <w:p>
            <w:pPr>
              <w:spacing w:after="0"/>
              <w:rPr>
                <w:sz w:val="17"/>
                <w:szCs w:val="17"/>
                <w:color w:val="auto"/>
              </w:rPr>
            </w:pPr>
          </w:p>
        </w:tc>
        <w:tc>
          <w:tcPr>
            <w:tcW w:w="2180" w:type="dxa"/>
            <w:vAlign w:val="bottom"/>
            <w:vMerge w:val="continue"/>
            <w:shd w:val="clear" w:color="auto" w:fill="CCCCCC"/>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60" w:type="dxa"/>
            <w:vAlign w:val="bottom"/>
            <w:vMerge w:val="restart"/>
          </w:tcPr>
          <w:p>
            <w:pPr>
              <w:jc w:val="right"/>
              <w:spacing w:after="0"/>
              <w:rPr>
                <w:sz w:val="20"/>
                <w:szCs w:val="20"/>
                <w:color w:val="auto"/>
              </w:rPr>
            </w:pPr>
            <w:r>
              <w:rPr>
                <w:rFonts w:ascii="Arial" w:cs="Arial" w:eastAsia="Arial" w:hAnsi="Arial"/>
                <w:sz w:val="12"/>
                <w:szCs w:val="12"/>
                <w:color w:val="CCCCCC"/>
              </w:rPr>
              <w:t>0%</w:t>
            </w:r>
          </w:p>
        </w:tc>
        <w:tc>
          <w:tcPr>
            <w:tcW w:w="640" w:type="dxa"/>
            <w:vAlign w:val="bottom"/>
            <w:tcBorders>
              <w:left w:val="single" w:sz="8" w:color="CCCCCC"/>
            </w:tcBorders>
          </w:tcPr>
          <w:p>
            <w:pPr>
              <w:spacing w:after="0"/>
              <w:rPr>
                <w:sz w:val="15"/>
                <w:szCs w:val="15"/>
                <w:color w:val="auto"/>
              </w:rPr>
            </w:pPr>
          </w:p>
        </w:tc>
        <w:tc>
          <w:tcPr>
            <w:tcW w:w="2180" w:type="dxa"/>
            <w:vAlign w:val="bottom"/>
            <w:shd w:val="clear" w:color="auto" w:fill="CCCCCC"/>
          </w:tcPr>
          <w:p>
            <w:pPr>
              <w:jc w:val="center"/>
              <w:spacing w:after="0" w:line="180" w:lineRule="exact"/>
              <w:rPr>
                <w:sz w:val="20"/>
                <w:szCs w:val="20"/>
                <w:color w:val="auto"/>
              </w:rPr>
            </w:pPr>
            <w:r>
              <w:rPr>
                <w:rFonts w:ascii="Arial" w:cs="Arial" w:eastAsia="Arial" w:hAnsi="Arial"/>
                <w:sz w:val="16"/>
                <w:szCs w:val="16"/>
                <w:color w:val="000750"/>
              </w:rPr>
              <w:t>Market Average</w:t>
            </w:r>
          </w:p>
        </w:tc>
        <w:tc>
          <w:tcPr>
            <w:tcW w:w="720" w:type="dxa"/>
            <w:vAlign w:val="bottom"/>
          </w:tcPr>
          <w:p>
            <w:pPr>
              <w:spacing w:after="0"/>
              <w:rPr>
                <w:sz w:val="15"/>
                <w:szCs w:val="15"/>
                <w:color w:val="auto"/>
              </w:rPr>
            </w:pPr>
          </w:p>
        </w:tc>
        <w:tc>
          <w:tcPr>
            <w:tcW w:w="2180" w:type="dxa"/>
            <w:vAlign w:val="bottom"/>
            <w:shd w:val="clear" w:color="auto" w:fill="CCCCCC"/>
          </w:tcPr>
          <w:p>
            <w:pPr>
              <w:jc w:val="center"/>
              <w:spacing w:after="0" w:line="180" w:lineRule="exact"/>
              <w:rPr>
                <w:sz w:val="20"/>
                <w:szCs w:val="20"/>
                <w:color w:val="auto"/>
              </w:rPr>
            </w:pPr>
            <w:r>
              <w:rPr>
                <w:rFonts w:ascii="Arial" w:cs="Arial" w:eastAsia="Arial" w:hAnsi="Arial"/>
                <w:sz w:val="16"/>
                <w:szCs w:val="16"/>
                <w:color w:val="000750"/>
              </w:rPr>
              <w:t>Bridge Loan</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260" w:type="dxa"/>
            <w:vAlign w:val="bottom"/>
            <w:vMerge w:val="continue"/>
          </w:tcPr>
          <w:p>
            <w:pPr>
              <w:spacing w:after="0"/>
              <w:rPr>
                <w:sz w:val="3"/>
                <w:szCs w:val="3"/>
                <w:color w:val="auto"/>
              </w:rPr>
            </w:pPr>
          </w:p>
        </w:tc>
        <w:tc>
          <w:tcPr>
            <w:tcW w:w="640" w:type="dxa"/>
            <w:vAlign w:val="bottom"/>
            <w:tcBorders>
              <w:left w:val="single" w:sz="8" w:color="CCCCCC"/>
              <w:bottom w:val="single" w:sz="8" w:color="CCCCCC"/>
            </w:tcBorders>
          </w:tcPr>
          <w:p>
            <w:pPr>
              <w:spacing w:after="0"/>
              <w:rPr>
                <w:sz w:val="3"/>
                <w:szCs w:val="3"/>
                <w:color w:val="auto"/>
              </w:rPr>
            </w:pPr>
          </w:p>
        </w:tc>
        <w:tc>
          <w:tcPr>
            <w:tcW w:w="2180" w:type="dxa"/>
            <w:vAlign w:val="bottom"/>
            <w:tcBorders>
              <w:bottom w:val="single" w:sz="8" w:color="CCCCCC"/>
            </w:tcBorders>
            <w:shd w:val="clear" w:color="auto" w:fill="CCCCCC"/>
          </w:tcPr>
          <w:p>
            <w:pPr>
              <w:spacing w:after="0"/>
              <w:rPr>
                <w:sz w:val="3"/>
                <w:szCs w:val="3"/>
                <w:color w:val="auto"/>
              </w:rPr>
            </w:pPr>
          </w:p>
        </w:tc>
        <w:tc>
          <w:tcPr>
            <w:tcW w:w="720" w:type="dxa"/>
            <w:vAlign w:val="bottom"/>
            <w:tcBorders>
              <w:bottom w:val="single" w:sz="8" w:color="CCCCCC"/>
            </w:tcBorders>
          </w:tcPr>
          <w:p>
            <w:pPr>
              <w:spacing w:after="0"/>
              <w:rPr>
                <w:sz w:val="3"/>
                <w:szCs w:val="3"/>
                <w:color w:val="auto"/>
              </w:rPr>
            </w:pPr>
          </w:p>
        </w:tc>
        <w:tc>
          <w:tcPr>
            <w:tcW w:w="2180" w:type="dxa"/>
            <w:vAlign w:val="bottom"/>
            <w:tcBorders>
              <w:bottom w:val="single" w:sz="8" w:color="CCCCCC"/>
            </w:tcBorders>
            <w:shd w:val="clear" w:color="auto" w:fill="CCCCCC"/>
          </w:tcPr>
          <w:p>
            <w:pPr>
              <w:spacing w:after="0"/>
              <w:rPr>
                <w:sz w:val="3"/>
                <w:szCs w:val="3"/>
                <w:color w:val="auto"/>
              </w:rPr>
            </w:pPr>
          </w:p>
        </w:tc>
        <w:tc>
          <w:tcPr>
            <w:tcW w:w="680" w:type="dxa"/>
            <w:vAlign w:val="bottom"/>
            <w:tcBorders>
              <w:bottom w:val="single" w:sz="8" w:color="CCCCCC"/>
            </w:tcBorders>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2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90" w:lineRule="exact"/>
        <w:rPr>
          <w:sz w:val="20"/>
          <w:szCs w:val="20"/>
          <w:color w:val="auto"/>
        </w:rPr>
      </w:pPr>
    </w:p>
    <w:p>
      <w:pPr>
        <w:jc w:val="center"/>
        <w:ind w:right="80"/>
        <w:spacing w:after="0"/>
        <w:rPr>
          <w:sz w:val="20"/>
          <w:szCs w:val="20"/>
          <w:color w:val="auto"/>
        </w:rPr>
      </w:pPr>
      <w:r>
        <w:rPr>
          <w:rFonts w:ascii="Arial" w:cs="Arial" w:eastAsia="Arial" w:hAnsi="Arial"/>
          <w:sz w:val="28"/>
          <w:szCs w:val="28"/>
          <w:color w:val="000750"/>
        </w:rPr>
        <w:t>5-Year CRE Loan Interest Rate Comparison</w:t>
      </w:r>
    </w:p>
    <w:p>
      <w:pPr>
        <w:ind w:left="2260"/>
        <w:spacing w:after="0" w:line="234" w:lineRule="auto"/>
        <w:rPr>
          <w:sz w:val="20"/>
          <w:szCs w:val="20"/>
          <w:color w:val="auto"/>
        </w:rPr>
      </w:pPr>
      <w:r>
        <w:rPr>
          <w:rFonts w:ascii="Arial" w:cs="Arial" w:eastAsia="Arial" w:hAnsi="Arial"/>
          <w:sz w:val="18"/>
          <w:szCs w:val="18"/>
          <w:color w:val="000750"/>
        </w:rPr>
        <w:t>Rate Premium Over Market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5"/>
          <w:szCs w:val="35"/>
          <w:b w:val="1"/>
          <w:bCs w:val="1"/>
          <w:color w:val="FFFFFF"/>
        </w:rPr>
        <w:t>$</w:t>
      </w:r>
      <w:r>
        <w:rPr>
          <w:rFonts w:ascii="Times New Roman" w:cs="Times New Roman" w:eastAsia="Times New Roman" w:hAnsi="Times New Roman"/>
          <w:sz w:val="60"/>
          <w:szCs w:val="60"/>
          <w:b w:val="1"/>
          <w:bCs w:val="1"/>
          <w:color w:val="FFFFFF"/>
        </w:rPr>
        <w:t>6,000,000</w:t>
      </w:r>
    </w:p>
    <w:p>
      <w:pPr>
        <w:spacing w:after="0" w:line="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FFFFFF"/>
        </w:rPr>
        <w:t>Interest Earned</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5"/>
          <w:szCs w:val="35"/>
          <w:b w:val="1"/>
          <w:bCs w:val="1"/>
          <w:color w:val="FFFFFF"/>
        </w:rPr>
        <w:t>$</w:t>
      </w:r>
      <w:r>
        <w:rPr>
          <w:rFonts w:ascii="Times New Roman" w:cs="Times New Roman" w:eastAsia="Times New Roman" w:hAnsi="Times New Roman"/>
          <w:sz w:val="60"/>
          <w:szCs w:val="60"/>
          <w:b w:val="1"/>
          <w:bCs w:val="1"/>
          <w:color w:val="FFFFFF"/>
        </w:rPr>
        <w:t>1,100,000</w:t>
      </w:r>
    </w:p>
    <w:p>
      <w:pPr>
        <w:spacing w:after="0" w:line="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FFFFFF"/>
        </w:rPr>
        <w:t>Fees &amp; Points</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35"/>
          <w:szCs w:val="35"/>
          <w:b w:val="1"/>
          <w:bCs w:val="1"/>
          <w:color w:val="FFFFFF"/>
        </w:rPr>
        <w:t>$</w:t>
      </w:r>
      <w:r>
        <w:rPr>
          <w:rFonts w:ascii="Times New Roman" w:cs="Times New Roman" w:eastAsia="Times New Roman" w:hAnsi="Times New Roman"/>
          <w:sz w:val="60"/>
          <w:szCs w:val="60"/>
          <w:b w:val="1"/>
          <w:bCs w:val="1"/>
          <w:color w:val="FFFFFF"/>
        </w:rPr>
        <w:t>7,100,000</w:t>
      </w:r>
    </w:p>
    <w:p>
      <w:pPr>
        <w:spacing w:after="0" w:line="1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FFFFFF"/>
        </w:rPr>
        <w:t>Gross Investment Income</w:t>
      </w:r>
    </w:p>
    <w:p>
      <w:pPr>
        <w:spacing w:after="0" w:line="25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60"/>
          <w:szCs w:val="60"/>
          <w:b w:val="1"/>
          <w:bCs w:val="1"/>
          <w:color w:val="FFFFFF"/>
        </w:rPr>
        <w:t>8</w:t>
      </w:r>
      <w:r>
        <w:rPr>
          <w:rFonts w:ascii="Times New Roman" w:cs="Times New Roman" w:eastAsia="Times New Roman" w:hAnsi="Times New Roman"/>
          <w:sz w:val="40"/>
          <w:szCs w:val="40"/>
          <w:b w:val="1"/>
          <w:bCs w:val="1"/>
          <w:color w:val="FFFFFF"/>
        </w:rPr>
        <w:t>%</w:t>
      </w:r>
    </w:p>
    <w:p>
      <w:pPr>
        <w:spacing w:after="0" w:line="6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b w:val="1"/>
          <w:bCs w:val="1"/>
          <w:color w:val="FFFFFF"/>
        </w:rPr>
        <w:t>Net Yield</w:t>
      </w:r>
    </w:p>
    <w:p>
      <w:pPr>
        <w:sectPr>
          <w:pgSz w:w="12240" w:h="15840" w:orient="portrait"/>
          <w:cols w:equalWidth="0" w:num="2">
            <w:col w:w="7020" w:space="720"/>
            <w:col w:w="3220"/>
          </w:cols>
          <w:pgMar w:left="460" w:top="457" w:right="820" w:bottom="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45377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1">
                      <a:extLst>
                        <a:ext uri="{28A0092B-C50C-407E-A947-70E740481C1C}"/>
                      </a:extLst>
                    </a:blip>
                    <a:srcRect/>
                    <a:stretch>
                      <a:fillRect/>
                    </a:stretch>
                  </pic:blipFill>
                  <pic:spPr bwMode="auto">
                    <a:xfrm>
                      <a:off x="0" y="0"/>
                      <a:ext cx="7772400" cy="453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20"/>
        <w:spacing w:after="0"/>
        <w:tabs>
          <w:tab w:leader="none" w:pos="240" w:val="left"/>
        </w:tabs>
        <w:rPr>
          <w:sz w:val="20"/>
          <w:szCs w:val="20"/>
          <w:color w:val="auto"/>
        </w:rPr>
      </w:pPr>
      <w:r>
        <w:rPr>
          <w:rFonts w:ascii="Times New Roman" w:cs="Times New Roman" w:eastAsia="Times New Roman" w:hAnsi="Times New Roman"/>
          <w:sz w:val="30"/>
          <w:szCs w:val="30"/>
          <w:b w:val="1"/>
          <w:bCs w:val="1"/>
          <w:i w:val="1"/>
          <w:iCs w:val="1"/>
          <w:color w:val="8388CE"/>
        </w:rPr>
        <w:t>We take the wait o</w:t>
        <w:tab/>
        <w:t>your shoulders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4899025</wp:posOffset>
                </wp:positionH>
                <wp:positionV relativeFrom="paragraph">
                  <wp:posOffset>-46990</wp:posOffset>
                </wp:positionV>
                <wp:extent cx="109855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0" cy="4763"/>
                        </a:xfrm>
                        <a:prstGeom prst="line">
                          <a:avLst/>
                        </a:prstGeom>
                        <a:solidFill>
                          <a:srgbClr val="FFFFFF"/>
                        </a:solidFill>
                        <a:ln w="17564">
                          <a:solidFill>
                            <a:srgbClr val="8388CE"/>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5.75pt,-3.6999pt" to="472.25pt,-3.6999pt" o:allowincell="f" strokecolor="#8388CE" strokeweight="1.383pt"/>
            </w:pict>
          </mc:Fallback>
        </mc:AlternateContent>
        <mc:AlternateContent>
          <mc:Choice Requires="wps">
            <w:drawing>
              <wp:anchor simplePos="0" relativeHeight="251657728" behindDoc="1" locked="0" layoutInCell="0" allowOverlap="1">
                <wp:simplePos x="0" y="0"/>
                <wp:positionH relativeFrom="column">
                  <wp:posOffset>714375</wp:posOffset>
                </wp:positionH>
                <wp:positionV relativeFrom="paragraph">
                  <wp:posOffset>-46990</wp:posOffset>
                </wp:positionV>
                <wp:extent cx="109855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98550" cy="4763"/>
                        </a:xfrm>
                        <a:prstGeom prst="line">
                          <a:avLst/>
                        </a:prstGeom>
                        <a:solidFill>
                          <a:srgbClr val="FFFFFF"/>
                        </a:solidFill>
                        <a:ln w="17564">
                          <a:solidFill>
                            <a:srgbClr val="8388CE"/>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6.25pt,-3.6999pt" to="142.75pt,-3.6999pt" o:allowincell="f" strokecolor="#8388CE" strokeweight="1.383pt"/>
            </w:pict>
          </mc:Fallback>
        </mc:AlternateContent>
      </w:r>
    </w:p>
    <w:p>
      <w:pPr>
        <w:sectPr>
          <w:pgSz w:w="12240" w:h="15840" w:orient="portrait"/>
          <w:cols w:equalWidth="0" w:num="1">
            <w:col w:w="10820"/>
          </w:cols>
          <w:pgMar w:left="720" w:top="1440" w:right="700" w:bottom="56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2"/>
        <w:spacing w:after="0" w:line="350" w:lineRule="auto"/>
        <w:rPr>
          <w:sz w:val="20"/>
          <w:szCs w:val="20"/>
          <w:color w:val="auto"/>
        </w:rPr>
      </w:pPr>
      <w:r>
        <w:rPr>
          <w:rFonts w:ascii="Arial" w:cs="Arial" w:eastAsia="Arial" w:hAnsi="Arial"/>
          <w:sz w:val="20"/>
          <w:szCs w:val="20"/>
          <w:color w:val="auto"/>
        </w:rPr>
        <w:t>Since 1996, C&amp;J Financial has been dedicated to helping funeral homes and cemeteries eliminate the challenges and cash flow delays associated with processing life insurance death claims. As North America’s #1 provider of assignment funding, we have proudly assisted more than 1 million families in providing a dignified funeral for their loved ones and have funded over $6.7 billion to thousands of firms across the U.S.</w:t>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36"/>
          <w:szCs w:val="36"/>
          <w:color w:val="000750"/>
        </w:rPr>
        <w:t>Why Assignment Funding?</w:t>
      </w:r>
    </w:p>
    <w:p>
      <w:pPr>
        <w:sectPr>
          <w:pgSz w:w="12240" w:h="15840" w:orient="portrait"/>
          <w:cols w:equalWidth="0" w:num="1">
            <w:col w:w="10820"/>
          </w:cols>
          <w:pgMar w:left="720" w:top="1440" w:right="700" w:bottom="568"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jc w:val="both"/>
        <w:ind w:left="20" w:right="20" w:hanging="1"/>
        <w:spacing w:after="0" w:line="289" w:lineRule="auto"/>
        <w:rPr>
          <w:sz w:val="20"/>
          <w:szCs w:val="20"/>
          <w:color w:val="auto"/>
        </w:rPr>
      </w:pPr>
      <w:r>
        <w:rPr>
          <w:rFonts w:ascii="Arial" w:cs="Arial" w:eastAsia="Arial" w:hAnsi="Arial"/>
          <w:sz w:val="20"/>
          <w:szCs w:val="20"/>
          <w:color w:val="auto"/>
        </w:rPr>
        <w:t>When families walk into a funeral home to make arrangements, many funeral directors prefer payment via cash, check, or credit card rather than dealing with life insurance policies. This is understandable, as some insurance companies can take hours or days to verify benefits—followed by another 30, 60, 90 days or longer before payment is received.</w:t>
      </w:r>
    </w:p>
    <w:p>
      <w:pPr>
        <w:spacing w:after="0" w:line="301" w:lineRule="exact"/>
        <w:rPr>
          <w:sz w:val="20"/>
          <w:szCs w:val="20"/>
          <w:color w:val="auto"/>
        </w:rPr>
      </w:pPr>
    </w:p>
    <w:p>
      <w:pPr>
        <w:jc w:val="both"/>
        <w:ind w:left="20" w:hanging="3"/>
        <w:spacing w:after="0" w:line="290" w:lineRule="auto"/>
        <w:rPr>
          <w:sz w:val="20"/>
          <w:szCs w:val="20"/>
          <w:color w:val="auto"/>
        </w:rPr>
      </w:pPr>
      <w:r>
        <w:rPr>
          <w:rFonts w:ascii="Arial" w:cs="Arial" w:eastAsia="Arial" w:hAnsi="Arial"/>
          <w:sz w:val="20"/>
          <w:szCs w:val="20"/>
          <w:color w:val="auto"/>
        </w:rPr>
        <w:t>With more than half of Americans having less than $5,000 in savings, yet 60% owning some type of life insurance, many families would prefer to use their loved one’s policy to cover funeral expenses. This makes the funeral a cashless event for the family while bridging the gap between what they want and what they can afford.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jc w:val="both"/>
        <w:ind w:hanging="2"/>
        <w:spacing w:after="0" w:line="290" w:lineRule="auto"/>
        <w:rPr>
          <w:sz w:val="20"/>
          <w:szCs w:val="20"/>
          <w:color w:val="auto"/>
        </w:rPr>
      </w:pPr>
      <w:r>
        <w:rPr>
          <w:rFonts w:ascii="Arial" w:cs="Arial" w:eastAsia="Arial" w:hAnsi="Arial"/>
          <w:sz w:val="20"/>
          <w:szCs w:val="20"/>
          <w:color w:val="auto"/>
        </w:rPr>
        <w:t>Studies show that families using life insurance spend an average of 56% more on funeral arrangements compared to those paying with cash, check, or credit card. Insurance eliminates the immediate financial burden, allowing families to honor their loved ones the way they see fit, creating a better experience for everyone involved.</w:t>
      </w:r>
    </w:p>
    <w:p>
      <w:pPr>
        <w:spacing w:after="0" w:line="200" w:lineRule="exact"/>
        <w:rPr>
          <w:sz w:val="20"/>
          <w:szCs w:val="20"/>
          <w:color w:val="auto"/>
        </w:rPr>
      </w:pPr>
    </w:p>
    <w:p>
      <w:pPr>
        <w:spacing w:after="0" w:line="373" w:lineRule="exact"/>
        <w:rPr>
          <w:sz w:val="20"/>
          <w:szCs w:val="20"/>
          <w:color w:val="auto"/>
        </w:rPr>
      </w:pPr>
    </w:p>
    <w:p>
      <w:pPr>
        <w:jc w:val="both"/>
        <w:ind w:right="20" w:firstLine="2"/>
        <w:spacing w:after="0" w:line="291" w:lineRule="auto"/>
        <w:rPr>
          <w:sz w:val="20"/>
          <w:szCs w:val="20"/>
          <w:color w:val="auto"/>
        </w:rPr>
      </w:pPr>
      <w:r>
        <w:rPr>
          <w:rFonts w:ascii="Arial" w:cs="Arial" w:eastAsia="Arial" w:hAnsi="Arial"/>
          <w:sz w:val="20"/>
          <w:szCs w:val="20"/>
          <w:color w:val="auto"/>
        </w:rPr>
        <w:t>Despite these advantages, only 16% of families use life insurance to pay for funeral services. Why? Many funeral directors don’t want to deal with the complexities and delays involved in processing claims.</w:t>
      </w:r>
    </w:p>
    <w:p>
      <w:pPr>
        <w:sectPr>
          <w:pgSz w:w="12240" w:h="15840" w:orient="portrait"/>
          <w:cols w:equalWidth="0" w:num="2">
            <w:col w:w="5240" w:space="360"/>
            <w:col w:w="5220"/>
          </w:cols>
          <w:pgMar w:left="720" w:top="1440" w:right="700" w:bottom="568" w:gutter="0" w:footer="0" w:header="0"/>
          <w:type w:val="continuous"/>
        </w:sectPr>
      </w:pPr>
    </w:p>
    <w:bookmarkStart w:id="23" w:name="page24"/>
    <w:bookmarkEnd w:id="23"/>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36"/>
          <w:szCs w:val="36"/>
          <w:color w:val="000750"/>
        </w:rPr>
        <w:t>How C&amp;J Financial Helps</w:t>
      </w:r>
    </w:p>
    <w:p>
      <w:pPr>
        <w:spacing w:after="0" w:line="373" w:lineRule="exact"/>
        <w:rPr>
          <w:sz w:val="20"/>
          <w:szCs w:val="20"/>
          <w:color w:val="auto"/>
        </w:rPr>
      </w:pPr>
    </w:p>
    <w:p>
      <w:pPr>
        <w:jc w:val="both"/>
        <w:ind w:left="40" w:right="240" w:hanging="22"/>
        <w:spacing w:after="0" w:line="292" w:lineRule="auto"/>
        <w:rPr>
          <w:sz w:val="20"/>
          <w:szCs w:val="20"/>
          <w:color w:val="auto"/>
        </w:rPr>
      </w:pPr>
      <w:r>
        <w:rPr>
          <w:rFonts w:ascii="Arial" w:cs="Arial" w:eastAsia="Arial" w:hAnsi="Arial"/>
          <w:sz w:val="20"/>
          <w:szCs w:val="20"/>
          <w:color w:val="auto"/>
        </w:rPr>
        <w:t>At C&amp;J Financial, our mission is to help families provide a dignified and meaningful service for their loved ones by eliminating the hassle, headache, and cash flow delays associated with insurance assignments.</w:t>
      </w:r>
    </w:p>
    <w:p>
      <w:pPr>
        <w:spacing w:after="0" w:line="200" w:lineRule="exact"/>
        <w:rPr>
          <w:sz w:val="20"/>
          <w:szCs w:val="20"/>
          <w:color w:val="auto"/>
        </w:rPr>
      </w:pPr>
    </w:p>
    <w:p>
      <w:pPr>
        <w:spacing w:after="0" w:line="361" w:lineRule="exact"/>
        <w:rPr>
          <w:sz w:val="20"/>
          <w:szCs w:val="20"/>
          <w:color w:val="auto"/>
        </w:rPr>
      </w:pPr>
    </w:p>
    <w:p>
      <w:pPr>
        <w:jc w:val="both"/>
        <w:ind w:left="40" w:right="240" w:firstLine="2"/>
        <w:spacing w:after="0" w:line="287" w:lineRule="auto"/>
        <w:rPr>
          <w:sz w:val="20"/>
          <w:szCs w:val="20"/>
          <w:color w:val="auto"/>
        </w:rPr>
      </w:pPr>
      <w:r>
        <w:rPr>
          <w:rFonts w:ascii="Arial" w:cs="Arial" w:eastAsia="Arial" w:hAnsi="Arial"/>
          <w:sz w:val="20"/>
          <w:szCs w:val="20"/>
          <w:color w:val="auto"/>
        </w:rPr>
        <w:t>Using C&amp;J’s Quick Claim™ process, funeral professionals can submit an assignment in less than 2 minutes. Our team then contacts the insurance company to verify benefits, and once confirmed, the beneficiary simply signs C&amp;J’s assignment. Instead of waiting weeks or months, funds are typically available within 24-48 hours.</w:t>
      </w:r>
    </w:p>
    <w:p>
      <w:pPr>
        <w:spacing w:after="0" w:line="200" w:lineRule="exact"/>
        <w:rPr>
          <w:sz w:val="20"/>
          <w:szCs w:val="20"/>
          <w:color w:val="auto"/>
        </w:rPr>
      </w:pPr>
    </w:p>
    <w:p>
      <w:pPr>
        <w:spacing w:after="0" w:line="366" w:lineRule="exact"/>
        <w:rPr>
          <w:sz w:val="20"/>
          <w:szCs w:val="20"/>
          <w:color w:val="auto"/>
        </w:rPr>
      </w:pPr>
    </w:p>
    <w:p>
      <w:pPr>
        <w:ind w:left="20" w:right="2180" w:hanging="18"/>
        <w:spacing w:after="0" w:line="311" w:lineRule="auto"/>
        <w:rPr>
          <w:sz w:val="20"/>
          <w:szCs w:val="20"/>
          <w:color w:val="auto"/>
        </w:rPr>
      </w:pPr>
      <w:r>
        <w:rPr>
          <w:rFonts w:ascii="Times New Roman" w:cs="Times New Roman" w:eastAsia="Times New Roman" w:hAnsi="Times New Roman"/>
          <w:sz w:val="36"/>
          <w:szCs w:val="36"/>
          <w:color w:val="000750"/>
        </w:rPr>
        <w:t>Technology-Driven Solutions Funeral Homes Trust</w:t>
      </w:r>
    </w:p>
    <w:p>
      <w:pPr>
        <w:spacing w:after="0" w:line="154" w:lineRule="exact"/>
        <w:rPr>
          <w:sz w:val="20"/>
          <w:szCs w:val="20"/>
          <w:color w:val="auto"/>
        </w:rPr>
      </w:pPr>
    </w:p>
    <w:p>
      <w:pPr>
        <w:jc w:val="both"/>
        <w:ind w:left="40" w:right="240" w:hanging="7"/>
        <w:spacing w:after="0" w:line="283" w:lineRule="auto"/>
        <w:rPr>
          <w:sz w:val="20"/>
          <w:szCs w:val="20"/>
          <w:color w:val="auto"/>
        </w:rPr>
      </w:pPr>
      <w:r>
        <w:rPr>
          <w:rFonts w:ascii="Arial" w:cs="Arial" w:eastAsia="Arial" w:hAnsi="Arial"/>
          <w:sz w:val="20"/>
          <w:szCs w:val="20"/>
          <w:color w:val="auto"/>
        </w:rPr>
        <w:t>C&amp;J Financial continues to lead the industry in innovation and technology, providing funeral homes with tools that streamline processes, improve efficiency, and save valuable time.</w:t>
      </w:r>
    </w:p>
    <w:p>
      <w:pPr>
        <w:spacing w:after="0" w:line="293" w:lineRule="exact"/>
        <w:rPr>
          <w:sz w:val="20"/>
          <w:szCs w:val="20"/>
          <w:color w:val="auto"/>
        </w:rPr>
      </w:pPr>
    </w:p>
    <w:p>
      <w:pPr>
        <w:jc w:val="both"/>
        <w:ind w:left="500" w:right="600" w:hanging="257"/>
        <w:spacing w:after="0" w:line="287" w:lineRule="auto"/>
        <w:tabs>
          <w:tab w:leader="none" w:pos="482" w:val="left"/>
        </w:tabs>
        <w:numPr>
          <w:ilvl w:val="0"/>
          <w:numId w:val="4"/>
        </w:numPr>
        <w:rPr>
          <w:rFonts w:ascii="Arial" w:cs="Arial" w:eastAsia="Arial" w:hAnsi="Arial"/>
          <w:sz w:val="20"/>
          <w:szCs w:val="20"/>
          <w:color w:val="auto"/>
        </w:rPr>
      </w:pPr>
      <w:r>
        <w:rPr>
          <w:rFonts w:ascii="Arial" w:cs="Arial" w:eastAsia="Arial" w:hAnsi="Arial"/>
          <w:sz w:val="20"/>
          <w:szCs w:val="20"/>
          <w:color w:val="auto"/>
        </w:rPr>
        <w:t>Assignment Management System: Our advanced platform provides real-time claim tracking, secure document uploads, direct communication with Customer Loyalty Representatives, and a full view of claim statuses.</w:t>
      </w:r>
    </w:p>
    <w:p>
      <w:pPr>
        <w:spacing w:after="0" w:line="289" w:lineRule="exact"/>
        <w:rPr>
          <w:rFonts w:ascii="Arial" w:cs="Arial" w:eastAsia="Arial" w:hAnsi="Arial"/>
          <w:sz w:val="20"/>
          <w:szCs w:val="20"/>
          <w:color w:val="auto"/>
        </w:rPr>
      </w:pPr>
    </w:p>
    <w:p>
      <w:pPr>
        <w:jc w:val="both"/>
        <w:ind w:left="500" w:right="540" w:hanging="257"/>
        <w:spacing w:after="0" w:line="287" w:lineRule="auto"/>
        <w:tabs>
          <w:tab w:leader="none" w:pos="493" w:val="left"/>
        </w:tabs>
        <w:numPr>
          <w:ilvl w:val="0"/>
          <w:numId w:val="4"/>
        </w:numPr>
        <w:rPr>
          <w:rFonts w:ascii="Arial" w:cs="Arial" w:eastAsia="Arial" w:hAnsi="Arial"/>
          <w:sz w:val="20"/>
          <w:szCs w:val="20"/>
          <w:color w:val="auto"/>
        </w:rPr>
      </w:pPr>
      <w:r>
        <w:rPr>
          <w:rFonts w:ascii="Arial" w:cs="Arial" w:eastAsia="Arial" w:hAnsi="Arial"/>
          <w:sz w:val="20"/>
          <w:szCs w:val="20"/>
          <w:color w:val="auto"/>
        </w:rPr>
        <w:t>Quick Claim Assignment™: Launched in 2021, this industry-first innovation automatically generates insurance-specific paperwork for beneficiaries, eliminating confusion and reducing manual paperwork.</w:t>
      </w:r>
    </w:p>
    <w:p>
      <w:pPr>
        <w:spacing w:after="0" w:line="289" w:lineRule="exact"/>
        <w:rPr>
          <w:rFonts w:ascii="Arial" w:cs="Arial" w:eastAsia="Arial" w:hAnsi="Arial"/>
          <w:sz w:val="20"/>
          <w:szCs w:val="20"/>
          <w:color w:val="auto"/>
        </w:rPr>
      </w:pPr>
    </w:p>
    <w:p>
      <w:pPr>
        <w:jc w:val="both"/>
        <w:ind w:left="480" w:right="600" w:hanging="237"/>
        <w:spacing w:after="0" w:line="293" w:lineRule="auto"/>
        <w:tabs>
          <w:tab w:leader="none" w:pos="505" w:val="left"/>
        </w:tabs>
        <w:numPr>
          <w:ilvl w:val="0"/>
          <w:numId w:val="4"/>
        </w:numPr>
        <w:rPr>
          <w:rFonts w:ascii="Arial" w:cs="Arial" w:eastAsia="Arial" w:hAnsi="Arial"/>
          <w:sz w:val="20"/>
          <w:szCs w:val="20"/>
          <w:color w:val="auto"/>
        </w:rPr>
      </w:pPr>
      <w:r>
        <w:rPr>
          <w:rFonts w:ascii="Arial" w:cs="Arial" w:eastAsia="Arial" w:hAnsi="Arial"/>
          <w:sz w:val="20"/>
          <w:szCs w:val="20"/>
          <w:color w:val="auto"/>
        </w:rPr>
        <w:t>Electronic Signatures: Our seamless integration with Adobe Sign—one of the most trusted eSignature platforms in the world—allows funeral homes to send and receive signed assignments electronically at no cost. Documents are automatically uploaded, providing full visibility into the process.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36"/>
          <w:szCs w:val="36"/>
          <w:color w:val="000750"/>
        </w:rPr>
        <w:t>The Future of Assignment Funding</w:t>
      </w:r>
    </w:p>
    <w:p>
      <w:pPr>
        <w:spacing w:after="0" w:line="373" w:lineRule="exact"/>
        <w:rPr>
          <w:sz w:val="20"/>
          <w:szCs w:val="20"/>
          <w:color w:val="auto"/>
        </w:rPr>
      </w:pPr>
    </w:p>
    <w:p>
      <w:pPr>
        <w:jc w:val="both"/>
        <w:ind w:left="40" w:right="200" w:hanging="20"/>
        <w:spacing w:after="0" w:line="287" w:lineRule="auto"/>
        <w:rPr>
          <w:sz w:val="20"/>
          <w:szCs w:val="20"/>
          <w:color w:val="auto"/>
        </w:rPr>
      </w:pPr>
      <w:r>
        <w:rPr>
          <w:rFonts w:ascii="Arial" w:cs="Arial" w:eastAsia="Arial" w:hAnsi="Arial"/>
          <w:sz w:val="20"/>
          <w:szCs w:val="20"/>
          <w:color w:val="auto"/>
        </w:rPr>
        <w:t>At C&amp;J Financial, we are committed to pushing the boundaries of innovation in the funeral industry. We continue to enhance our technology, expand our services, and work closely with funeral homes and cemeteries across the country to ensure faster, easier, and more reliable assignment funding solutions.</w:t>
      </w:r>
    </w:p>
    <w:p>
      <w:pPr>
        <w:spacing w:after="0" w:line="305" w:lineRule="exact"/>
        <w:rPr>
          <w:sz w:val="20"/>
          <w:szCs w:val="20"/>
          <w:color w:val="auto"/>
        </w:rPr>
      </w:pPr>
    </w:p>
    <w:p>
      <w:pPr>
        <w:jc w:val="both"/>
        <w:ind w:left="40" w:right="240" w:firstLine="2"/>
        <w:spacing w:after="0" w:line="283" w:lineRule="auto"/>
        <w:rPr>
          <w:sz w:val="20"/>
          <w:szCs w:val="20"/>
          <w:color w:val="auto"/>
        </w:rPr>
      </w:pPr>
      <w:r>
        <w:rPr>
          <w:rFonts w:ascii="Arial" w:cs="Arial" w:eastAsia="Arial" w:hAnsi="Arial"/>
          <w:sz w:val="20"/>
          <w:szCs w:val="20"/>
          <w:color w:val="auto"/>
        </w:rPr>
        <w:t>By eliminating cash flow delays and simplifying the insurance claims process, we empower funeral professionals to focus on what truly matters—helping families honor their loved 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36"/>
          <w:szCs w:val="36"/>
          <w:color w:val="000750"/>
        </w:rPr>
        <w:t>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-444500</wp:posOffset>
            </wp:positionV>
            <wp:extent cx="2810510" cy="10058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2">
                      <a:extLst>
                        <a:ext uri="{28A0092B-C50C-407E-A947-70E740481C1C}"/>
                      </a:extLst>
                    </a:blip>
                    <a:srcRect/>
                    <a:stretch>
                      <a:fillRect/>
                    </a:stretch>
                  </pic:blipFill>
                  <pic:spPr bwMode="auto">
                    <a:xfrm>
                      <a:off x="0" y="0"/>
                      <a:ext cx="281051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Jamie Meredith</w:t>
      </w:r>
    </w:p>
    <w:p>
      <w:pPr>
        <w:ind w:left="840"/>
        <w:spacing w:after="0" w:line="227" w:lineRule="auto"/>
        <w:rPr>
          <w:sz w:val="20"/>
          <w:szCs w:val="20"/>
          <w:color w:val="auto"/>
        </w:rPr>
      </w:pPr>
      <w:r>
        <w:rPr>
          <w:rFonts w:ascii="Arial" w:cs="Arial" w:eastAsia="Arial" w:hAnsi="Arial"/>
          <w:sz w:val="17"/>
          <w:szCs w:val="17"/>
          <w:color w:val="FFFFFF"/>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FFFFFF"/>
        </w:rPr>
        <w:t>Chuck Gallagher</w:t>
      </w:r>
    </w:p>
    <w:p>
      <w:pPr>
        <w:ind w:left="920"/>
        <w:spacing w:after="0" w:line="227" w:lineRule="auto"/>
        <w:rPr>
          <w:sz w:val="20"/>
          <w:szCs w:val="20"/>
          <w:color w:val="auto"/>
        </w:rPr>
      </w:pPr>
      <w:r>
        <w:rPr>
          <w:rFonts w:ascii="Arial" w:cs="Arial" w:eastAsia="Arial" w:hAnsi="Arial"/>
          <w:sz w:val="17"/>
          <w:szCs w:val="17"/>
          <w:color w:val="FFFFFF"/>
        </w:rPr>
        <w:t>Vice President of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FFFFFF"/>
        </w:rPr>
        <w:t>Jennifer Oliver</w:t>
      </w:r>
    </w:p>
    <w:p>
      <w:pPr>
        <w:jc w:val="center"/>
        <w:spacing w:after="0" w:line="227" w:lineRule="auto"/>
        <w:rPr>
          <w:sz w:val="20"/>
          <w:szCs w:val="20"/>
          <w:color w:val="auto"/>
        </w:rPr>
      </w:pPr>
      <w:r>
        <w:rPr>
          <w:rFonts w:ascii="Arial" w:cs="Arial" w:eastAsia="Arial" w:hAnsi="Arial"/>
          <w:sz w:val="17"/>
          <w:szCs w:val="17"/>
          <w:color w:val="FFFFFF"/>
        </w:rPr>
        <w:t>Vice President</w:t>
      </w:r>
    </w:p>
    <w:p>
      <w:pPr>
        <w:jc w:val="center"/>
        <w:spacing w:after="0" w:line="238" w:lineRule="auto"/>
        <w:rPr>
          <w:sz w:val="20"/>
          <w:szCs w:val="20"/>
          <w:color w:val="auto"/>
        </w:rPr>
      </w:pPr>
      <w:r>
        <w:rPr>
          <w:rFonts w:ascii="Arial" w:cs="Arial" w:eastAsia="Arial" w:hAnsi="Arial"/>
          <w:sz w:val="17"/>
          <w:szCs w:val="17"/>
          <w:color w:val="FFFFFF"/>
        </w:rPr>
        <w:t>Pre-Funding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00"/>
        <w:spacing w:after="0"/>
        <w:rPr>
          <w:sz w:val="20"/>
          <w:szCs w:val="20"/>
          <w:color w:val="auto"/>
        </w:rPr>
      </w:pPr>
      <w:r>
        <w:rPr>
          <w:rFonts w:ascii="Arial" w:cs="Arial" w:eastAsia="Arial" w:hAnsi="Arial"/>
          <w:sz w:val="22"/>
          <w:szCs w:val="22"/>
          <w:b w:val="1"/>
          <w:bCs w:val="1"/>
          <w:color w:val="FFFFFF"/>
        </w:rPr>
        <w:t>Jennifer Hill</w:t>
      </w:r>
    </w:p>
    <w:p>
      <w:pPr>
        <w:jc w:val="center"/>
        <w:spacing w:after="0" w:line="227" w:lineRule="auto"/>
        <w:rPr>
          <w:sz w:val="20"/>
          <w:szCs w:val="20"/>
          <w:color w:val="auto"/>
        </w:rPr>
      </w:pPr>
      <w:r>
        <w:rPr>
          <w:rFonts w:ascii="Arial" w:cs="Arial" w:eastAsia="Arial" w:hAnsi="Arial"/>
          <w:sz w:val="17"/>
          <w:szCs w:val="17"/>
          <w:color w:val="FFFFFF"/>
        </w:rPr>
        <w:t>Vice President</w:t>
      </w:r>
    </w:p>
    <w:p>
      <w:pPr>
        <w:jc w:val="center"/>
        <w:spacing w:after="0" w:line="238" w:lineRule="auto"/>
        <w:rPr>
          <w:sz w:val="20"/>
          <w:szCs w:val="20"/>
          <w:color w:val="auto"/>
        </w:rPr>
      </w:pPr>
      <w:r>
        <w:rPr>
          <w:rFonts w:ascii="Arial" w:cs="Arial" w:eastAsia="Arial" w:hAnsi="Arial"/>
          <w:sz w:val="17"/>
          <w:szCs w:val="17"/>
          <w:color w:val="FFFFFF"/>
        </w:rPr>
        <w:t>Post-Funding Operations</w:t>
      </w:r>
    </w:p>
    <w:p>
      <w:pPr>
        <w:sectPr>
          <w:pgSz w:w="12240" w:h="15840" w:orient="portrait"/>
          <w:cols w:equalWidth="0" w:num="2">
            <w:col w:w="6820" w:space="720"/>
            <w:col w:w="3600"/>
          </w:cols>
          <w:pgMar w:left="680" w:top="287" w:right="420" w:bottom="91" w:gutter="0" w:footer="0" w:header="0"/>
        </w:sectPr>
      </w:pPr>
    </w:p>
    <w:bookmarkStart w:id="24" w:name="page25"/>
    <w:bookmarkEnd w:id="24"/>
    <w:p>
      <w:pPr>
        <w:ind w:left="9042"/>
        <w:spacing w:after="0"/>
        <w:rPr>
          <w:sz w:val="20"/>
          <w:szCs w:val="20"/>
          <w:color w:val="auto"/>
        </w:rPr>
      </w:pPr>
      <w:r>
        <w:rPr>
          <w:rFonts w:ascii="Times New Roman" w:cs="Times New Roman" w:eastAsia="Times New Roman" w:hAnsi="Times New Roman"/>
          <w:sz w:val="28"/>
          <w:szCs w:val="28"/>
          <w:color w:val="000750"/>
        </w:rPr>
        <w:t>Where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-480695</wp:posOffset>
            </wp:positionH>
            <wp:positionV relativeFrom="paragraph">
              <wp:posOffset>-77470</wp:posOffset>
            </wp:positionV>
            <wp:extent cx="599948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3">
                      <a:extLst>
                        <a:ext uri="{28A0092B-C50C-407E-A947-70E740481C1C}"/>
                      </a:extLst>
                    </a:blip>
                    <a:srcRect/>
                    <a:stretch>
                      <a:fillRect/>
                    </a:stretch>
                  </pic:blipFill>
                  <pic:spPr bwMode="auto">
                    <a:xfrm>
                      <a:off x="0" y="0"/>
                      <a:ext cx="5999480" cy="25400"/>
                    </a:xfrm>
                    <a:prstGeom prst="rect">
                      <a:avLst/>
                    </a:prstGeom>
                    <a:noFill/>
                  </pic:spPr>
                </pic:pic>
              </a:graphicData>
            </a:graphic>
          </wp:anchor>
        </w:drawing>
        <w:drawing>
          <wp:anchor simplePos="0" relativeHeight="251657728" behindDoc="1" locked="0" layoutInCell="0" allowOverlap="1">
            <wp:simplePos x="0" y="0"/>
            <wp:positionH relativeFrom="column">
              <wp:posOffset>-145415</wp:posOffset>
            </wp:positionH>
            <wp:positionV relativeFrom="paragraph">
              <wp:posOffset>902335</wp:posOffset>
            </wp:positionV>
            <wp:extent cx="7218045" cy="42360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4">
                      <a:extLst>
                        <a:ext uri="{28A0092B-C50C-407E-A947-70E740481C1C}"/>
                      </a:extLst>
                    </a:blip>
                    <a:srcRect/>
                    <a:stretch>
                      <a:fillRect/>
                    </a:stretch>
                  </pic:blipFill>
                  <pic:spPr bwMode="auto">
                    <a:xfrm>
                      <a:off x="0" y="0"/>
                      <a:ext cx="7218045" cy="423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6922"/>
        <w:spacing w:after="0"/>
        <w:rPr>
          <w:sz w:val="20"/>
          <w:szCs w:val="20"/>
          <w:color w:val="auto"/>
        </w:rPr>
      </w:pPr>
      <w:r>
        <w:rPr>
          <w:rFonts w:ascii="Arial" w:cs="Arial" w:eastAsia="Arial" w:hAnsi="Arial"/>
          <w:sz w:val="16"/>
          <w:szCs w:val="16"/>
          <w:color w:val="FFFFFF"/>
        </w:rPr>
        <w:t>Indiana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2736850</wp:posOffset>
            </wp:positionV>
            <wp:extent cx="1018540" cy="33547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5">
                      <a:extLst>
                        <a:ext uri="{28A0092B-C50C-407E-A947-70E740481C1C}"/>
                      </a:extLst>
                    </a:blip>
                    <a:srcRect/>
                    <a:stretch>
                      <a:fillRect/>
                    </a:stretch>
                  </pic:blipFill>
                  <pic:spPr bwMode="auto">
                    <a:xfrm>
                      <a:off x="0" y="0"/>
                      <a:ext cx="1018540" cy="3354705"/>
                    </a:xfrm>
                    <a:prstGeom prst="rect">
                      <a:avLst/>
                    </a:prstGeom>
                    <a:noFill/>
                  </pic:spPr>
                </pic:pic>
              </a:graphicData>
            </a:graphic>
          </wp:anchor>
        </w:drawing>
      </w:r>
    </w:p>
    <w:p>
      <w:pPr>
        <w:sectPr>
          <w:pgSz w:w="12240" w:h="15840" w:orient="portrait"/>
          <w:cols w:equalWidth="0" w:num="1">
            <w:col w:w="10762"/>
          </w:cols>
          <w:pgMar w:left="758" w:top="621" w:right="720" w:bottom="67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760"/>
        </w:trPr>
        <w:tc>
          <w:tcPr>
            <w:tcW w:w="276" w:type="dxa"/>
            <w:vAlign w:val="bottom"/>
            <w:textDirection w:val="btLr"/>
          </w:tcPr>
          <w:p>
            <w:pPr>
              <w:spacing w:after="0"/>
              <w:rPr>
                <w:sz w:val="20"/>
                <w:szCs w:val="20"/>
                <w:color w:val="auto"/>
              </w:rPr>
            </w:pPr>
            <w:r>
              <w:rPr>
                <w:rFonts w:ascii="Times New Roman" w:cs="Times New Roman" w:eastAsia="Times New Roman" w:hAnsi="Times New Roman"/>
                <w:sz w:val="24"/>
                <w:szCs w:val="24"/>
                <w:color w:val="FFFFFF"/>
              </w:rPr>
              <w:t>Legend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30"/>
        </w:trPr>
        <w:tc>
          <w:tcPr>
            <w:tcW w:w="260" w:type="dxa"/>
            <w:vAlign w:val="bottom"/>
            <w:tcBorders>
              <w:right w:val="single" w:sz="8" w:color="B5B5B5"/>
            </w:tcBorders>
            <w:shd w:val="clear" w:color="auto" w:fill="B5B5B5"/>
          </w:tcPr>
          <w:p>
            <w:pPr>
              <w:spacing w:after="0"/>
              <w:rPr>
                <w:sz w:val="24"/>
                <w:szCs w:val="24"/>
                <w:color w:val="auto"/>
              </w:rPr>
            </w:pPr>
          </w:p>
        </w:tc>
        <w:tc>
          <w:tcPr>
            <w:tcW w:w="300" w:type="dxa"/>
            <w:vAlign w:val="bottom"/>
            <w:tcBorders>
              <w:right w:val="single" w:sz="8" w:color="B5B5B5"/>
            </w:tcBorders>
            <w:shd w:val="clear" w:color="auto" w:fill="B5B5B5"/>
          </w:tcPr>
          <w:p>
            <w:pPr>
              <w:spacing w:after="0"/>
              <w:rPr>
                <w:sz w:val="24"/>
                <w:szCs w:val="24"/>
                <w:color w:val="auto"/>
              </w:rPr>
            </w:pPr>
          </w:p>
        </w:tc>
        <w:tc>
          <w:tcPr>
            <w:tcW w:w="2240" w:type="dxa"/>
            <w:vAlign w:val="bottom"/>
            <w:shd w:val="clear" w:color="auto" w:fill="B5B5B5"/>
          </w:tcPr>
          <w:p>
            <w:pPr>
              <w:spacing w:after="0"/>
              <w:rPr>
                <w:sz w:val="24"/>
                <w:szCs w:val="24"/>
                <w:color w:val="auto"/>
              </w:rPr>
            </w:pPr>
          </w:p>
        </w:tc>
        <w:tc>
          <w:tcPr>
            <w:tcW w:w="3640" w:type="dxa"/>
            <w:vAlign w:val="bottom"/>
            <w:vMerge w:val="restart"/>
            <w:shd w:val="clear" w:color="auto" w:fill="B5B5B5"/>
          </w:tcPr>
          <w:p>
            <w:pPr>
              <w:ind w:left="540"/>
              <w:spacing w:after="0"/>
              <w:rPr>
                <w:sz w:val="20"/>
                <w:szCs w:val="20"/>
                <w:color w:val="auto"/>
              </w:rPr>
            </w:pPr>
            <w:r>
              <w:rPr>
                <w:rFonts w:ascii="Arial" w:cs="Arial" w:eastAsia="Arial" w:hAnsi="Arial"/>
                <w:sz w:val="20"/>
                <w:szCs w:val="20"/>
                <w:color w:val="auto"/>
              </w:rPr>
              <w:t>Corporate</w:t>
            </w:r>
          </w:p>
        </w:tc>
        <w:tc>
          <w:tcPr>
            <w:tcW w:w="160" w:type="dxa"/>
            <w:vAlign w:val="bottom"/>
            <w:shd w:val="clear" w:color="auto" w:fill="B5B5B5"/>
          </w:tcPr>
          <w:p>
            <w:pPr>
              <w:spacing w:after="0"/>
              <w:rPr>
                <w:sz w:val="24"/>
                <w:szCs w:val="24"/>
                <w:color w:val="auto"/>
              </w:rPr>
            </w:pPr>
          </w:p>
        </w:tc>
        <w:tc>
          <w:tcPr>
            <w:tcW w:w="3520" w:type="dxa"/>
            <w:vAlign w:val="bottom"/>
            <w:vMerge w:val="restart"/>
            <w:shd w:val="clear" w:color="auto" w:fill="B5B5B5"/>
          </w:tcPr>
          <w:p>
            <w:pPr>
              <w:ind w:left="160"/>
              <w:spacing w:after="0"/>
              <w:rPr>
                <w:sz w:val="20"/>
                <w:szCs w:val="20"/>
                <w:color w:val="auto"/>
              </w:rPr>
            </w:pPr>
            <w:r>
              <w:rPr>
                <w:rFonts w:ascii="Arial" w:cs="Arial" w:eastAsia="Arial" w:hAnsi="Arial"/>
                <w:sz w:val="20"/>
                <w:szCs w:val="20"/>
                <w:color w:val="auto"/>
              </w:rPr>
              <w:t>First Guaranty</w:t>
            </w:r>
          </w:p>
        </w:tc>
        <w:tc>
          <w:tcPr>
            <w:tcW w:w="0" w:type="dxa"/>
            <w:vAlign w:val="bottom"/>
          </w:tcPr>
          <w:p>
            <w:pPr>
              <w:spacing w:after="0"/>
              <w:rPr>
                <w:sz w:val="1"/>
                <w:szCs w:val="1"/>
                <w:color w:val="auto"/>
              </w:rPr>
            </w:pPr>
          </w:p>
        </w:tc>
      </w:tr>
      <w:tr>
        <w:trPr>
          <w:trHeight w:val="74"/>
        </w:trPr>
        <w:tc>
          <w:tcPr>
            <w:tcW w:w="260" w:type="dxa"/>
            <w:vAlign w:val="bottom"/>
            <w:tcBorders>
              <w:right w:val="single" w:sz="8" w:color="B5B5B5"/>
            </w:tcBorders>
            <w:shd w:val="clear" w:color="auto" w:fill="B5B5B5"/>
          </w:tcPr>
          <w:p>
            <w:pPr>
              <w:spacing w:after="0"/>
              <w:rPr>
                <w:sz w:val="6"/>
                <w:szCs w:val="6"/>
                <w:color w:val="auto"/>
              </w:rPr>
            </w:pPr>
          </w:p>
        </w:tc>
        <w:tc>
          <w:tcPr>
            <w:tcW w:w="300" w:type="dxa"/>
            <w:vAlign w:val="bottom"/>
            <w:tcBorders>
              <w:right w:val="single" w:sz="8" w:color="B5B5B5"/>
            </w:tcBorders>
            <w:shd w:val="clear" w:color="auto" w:fill="B5B5B5"/>
          </w:tcPr>
          <w:p>
            <w:pPr>
              <w:spacing w:after="0"/>
              <w:rPr>
                <w:sz w:val="6"/>
                <w:szCs w:val="6"/>
                <w:color w:val="auto"/>
              </w:rPr>
            </w:pPr>
          </w:p>
        </w:tc>
        <w:tc>
          <w:tcPr>
            <w:tcW w:w="2240" w:type="dxa"/>
            <w:vAlign w:val="bottom"/>
            <w:shd w:val="clear" w:color="auto" w:fill="B5B5B5"/>
          </w:tcPr>
          <w:p>
            <w:pPr>
              <w:spacing w:after="0"/>
              <w:rPr>
                <w:sz w:val="6"/>
                <w:szCs w:val="6"/>
                <w:color w:val="auto"/>
              </w:rPr>
            </w:pPr>
          </w:p>
        </w:tc>
        <w:tc>
          <w:tcPr>
            <w:tcW w:w="3640" w:type="dxa"/>
            <w:vAlign w:val="bottom"/>
            <w:vMerge w:val="continue"/>
            <w:shd w:val="clear" w:color="auto" w:fill="B5B5B5"/>
          </w:tcPr>
          <w:p>
            <w:pPr>
              <w:spacing w:after="0"/>
              <w:rPr>
                <w:sz w:val="6"/>
                <w:szCs w:val="6"/>
                <w:color w:val="auto"/>
              </w:rPr>
            </w:pPr>
          </w:p>
        </w:tc>
        <w:tc>
          <w:tcPr>
            <w:tcW w:w="160" w:type="dxa"/>
            <w:vAlign w:val="bottom"/>
          </w:tcPr>
          <w:p>
            <w:pPr>
              <w:spacing w:after="0"/>
              <w:rPr>
                <w:sz w:val="6"/>
                <w:szCs w:val="6"/>
                <w:color w:val="auto"/>
              </w:rPr>
            </w:pPr>
          </w:p>
        </w:tc>
        <w:tc>
          <w:tcPr>
            <w:tcW w:w="3520" w:type="dxa"/>
            <w:vAlign w:val="bottom"/>
            <w:vMerge w:val="continue"/>
            <w:shd w:val="clear" w:color="auto" w:fill="B5B5B5"/>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60" w:type="dxa"/>
            <w:vAlign w:val="bottom"/>
            <w:tcBorders>
              <w:right w:val="single" w:sz="8" w:color="B5B5B5"/>
            </w:tcBorders>
            <w:shd w:val="clear" w:color="auto" w:fill="B5B5B5"/>
          </w:tcPr>
          <w:p>
            <w:pPr>
              <w:spacing w:after="0"/>
              <w:rPr>
                <w:sz w:val="5"/>
                <w:szCs w:val="5"/>
                <w:color w:val="auto"/>
              </w:rPr>
            </w:pPr>
          </w:p>
        </w:tc>
        <w:tc>
          <w:tcPr>
            <w:tcW w:w="300" w:type="dxa"/>
            <w:vAlign w:val="bottom"/>
            <w:tcBorders>
              <w:right w:val="single" w:sz="8" w:color="B5B5B5"/>
            </w:tcBorders>
            <w:shd w:val="clear" w:color="auto" w:fill="B5B5B5"/>
          </w:tcPr>
          <w:p>
            <w:pPr>
              <w:spacing w:after="0"/>
              <w:rPr>
                <w:sz w:val="5"/>
                <w:szCs w:val="5"/>
                <w:color w:val="auto"/>
              </w:rPr>
            </w:pPr>
          </w:p>
        </w:tc>
        <w:tc>
          <w:tcPr>
            <w:tcW w:w="2240" w:type="dxa"/>
            <w:vAlign w:val="bottom"/>
            <w:vMerge w:val="restart"/>
            <w:shd w:val="clear" w:color="auto" w:fill="B5B5B5"/>
          </w:tcPr>
          <w:p>
            <w:pPr>
              <w:ind w:left="100"/>
              <w:spacing w:after="0"/>
              <w:rPr>
                <w:sz w:val="20"/>
                <w:szCs w:val="20"/>
                <w:color w:val="auto"/>
              </w:rPr>
            </w:pPr>
            <w:r>
              <w:rPr>
                <w:rFonts w:ascii="Arial" w:cs="Arial" w:eastAsia="Arial" w:hAnsi="Arial"/>
                <w:sz w:val="20"/>
                <w:szCs w:val="20"/>
                <w:color w:val="auto"/>
              </w:rPr>
              <w:t>License Held</w:t>
            </w:r>
          </w:p>
        </w:tc>
        <w:tc>
          <w:tcPr>
            <w:tcW w:w="3640" w:type="dxa"/>
            <w:vAlign w:val="bottom"/>
            <w:vMerge w:val="restart"/>
            <w:shd w:val="clear" w:color="auto" w:fill="B5B5B5"/>
          </w:tcPr>
          <w:p>
            <w:pPr>
              <w:ind w:left="540"/>
              <w:spacing w:after="0"/>
              <w:rPr>
                <w:sz w:val="20"/>
                <w:szCs w:val="20"/>
                <w:color w:val="auto"/>
              </w:rPr>
            </w:pPr>
            <w:r>
              <w:rPr>
                <w:rFonts w:ascii="Arial" w:cs="Arial" w:eastAsia="Arial" w:hAnsi="Arial"/>
                <w:sz w:val="20"/>
                <w:szCs w:val="20"/>
                <w:color w:val="auto"/>
              </w:rPr>
              <w:t>Headquarters</w:t>
            </w:r>
          </w:p>
        </w:tc>
        <w:tc>
          <w:tcPr>
            <w:tcW w:w="160" w:type="dxa"/>
            <w:vAlign w:val="bottom"/>
          </w:tcPr>
          <w:p>
            <w:pPr>
              <w:spacing w:after="0"/>
              <w:rPr>
                <w:sz w:val="5"/>
                <w:szCs w:val="5"/>
                <w:color w:val="auto"/>
              </w:rPr>
            </w:pPr>
          </w:p>
        </w:tc>
        <w:tc>
          <w:tcPr>
            <w:tcW w:w="3520" w:type="dxa"/>
            <w:vAlign w:val="bottom"/>
            <w:vMerge w:val="restart"/>
            <w:shd w:val="clear" w:color="auto" w:fill="B5B5B5"/>
          </w:tcPr>
          <w:p>
            <w:pPr>
              <w:ind w:left="160"/>
              <w:spacing w:after="0"/>
              <w:rPr>
                <w:sz w:val="20"/>
                <w:szCs w:val="20"/>
                <w:color w:val="auto"/>
              </w:rPr>
            </w:pPr>
            <w:r>
              <w:rPr>
                <w:rFonts w:ascii="Arial" w:cs="Arial" w:eastAsia="Arial" w:hAnsi="Arial"/>
                <w:sz w:val="20"/>
                <w:szCs w:val="20"/>
                <w:color w:val="auto"/>
              </w:rPr>
              <w:t>Memorial Mortuaries</w:t>
            </w:r>
          </w:p>
        </w:tc>
        <w:tc>
          <w:tcPr>
            <w:tcW w:w="0" w:type="dxa"/>
            <w:vAlign w:val="bottom"/>
          </w:tcPr>
          <w:p>
            <w:pPr>
              <w:spacing w:after="0"/>
              <w:rPr>
                <w:sz w:val="1"/>
                <w:szCs w:val="1"/>
                <w:color w:val="auto"/>
              </w:rPr>
            </w:pPr>
          </w:p>
        </w:tc>
      </w:tr>
      <w:tr>
        <w:trPr>
          <w:trHeight w:val="183"/>
        </w:trPr>
        <w:tc>
          <w:tcPr>
            <w:tcW w:w="260" w:type="dxa"/>
            <w:vAlign w:val="bottom"/>
            <w:tcBorders>
              <w:bottom w:val="single" w:sz="8" w:color="B5B5B5"/>
              <w:right w:val="single" w:sz="8" w:color="B5B5B5"/>
            </w:tcBorders>
            <w:shd w:val="clear" w:color="auto" w:fill="B5B5B5"/>
          </w:tcPr>
          <w:p>
            <w:pPr>
              <w:spacing w:after="0"/>
              <w:rPr>
                <w:sz w:val="15"/>
                <w:szCs w:val="15"/>
                <w:color w:val="auto"/>
              </w:rPr>
            </w:pPr>
          </w:p>
        </w:tc>
        <w:tc>
          <w:tcPr>
            <w:tcW w:w="300" w:type="dxa"/>
            <w:vAlign w:val="bottom"/>
            <w:tcBorders>
              <w:bottom w:val="single" w:sz="8" w:color="191919"/>
              <w:right w:val="single" w:sz="8" w:color="B5B5B5"/>
            </w:tcBorders>
            <w:shd w:val="clear" w:color="auto" w:fill="B5B5B5"/>
          </w:tcPr>
          <w:p>
            <w:pPr>
              <w:spacing w:after="0"/>
              <w:rPr>
                <w:sz w:val="15"/>
                <w:szCs w:val="15"/>
                <w:color w:val="auto"/>
              </w:rPr>
            </w:pPr>
          </w:p>
        </w:tc>
        <w:tc>
          <w:tcPr>
            <w:tcW w:w="2240" w:type="dxa"/>
            <w:vAlign w:val="bottom"/>
            <w:tcBorders>
              <w:bottom w:val="single" w:sz="8" w:color="B5B5B5"/>
            </w:tcBorders>
            <w:vMerge w:val="continue"/>
            <w:shd w:val="clear" w:color="auto" w:fill="B5B5B5"/>
          </w:tcPr>
          <w:p>
            <w:pPr>
              <w:spacing w:after="0"/>
              <w:rPr>
                <w:sz w:val="15"/>
                <w:szCs w:val="15"/>
                <w:color w:val="auto"/>
              </w:rPr>
            </w:pPr>
          </w:p>
        </w:tc>
        <w:tc>
          <w:tcPr>
            <w:tcW w:w="3640" w:type="dxa"/>
            <w:vAlign w:val="bottom"/>
            <w:tcBorders>
              <w:bottom w:val="single" w:sz="8" w:color="B5B5B5"/>
            </w:tcBorders>
            <w:vMerge w:val="continue"/>
            <w:shd w:val="clear" w:color="auto" w:fill="B5B5B5"/>
          </w:tcPr>
          <w:p>
            <w:pPr>
              <w:spacing w:after="0"/>
              <w:rPr>
                <w:sz w:val="15"/>
                <w:szCs w:val="15"/>
                <w:color w:val="auto"/>
              </w:rPr>
            </w:pPr>
          </w:p>
        </w:tc>
        <w:tc>
          <w:tcPr>
            <w:tcW w:w="160" w:type="dxa"/>
            <w:vAlign w:val="bottom"/>
            <w:tcBorders>
              <w:bottom w:val="single" w:sz="8" w:color="B5B5B5"/>
            </w:tcBorders>
            <w:shd w:val="clear" w:color="auto" w:fill="B5B5B5"/>
          </w:tcPr>
          <w:p>
            <w:pPr>
              <w:spacing w:after="0"/>
              <w:rPr>
                <w:sz w:val="15"/>
                <w:szCs w:val="15"/>
                <w:color w:val="auto"/>
              </w:rPr>
            </w:pPr>
          </w:p>
        </w:tc>
        <w:tc>
          <w:tcPr>
            <w:tcW w:w="3520" w:type="dxa"/>
            <w:vAlign w:val="bottom"/>
            <w:tcBorders>
              <w:bottom w:val="single" w:sz="8" w:color="B5B5B5"/>
            </w:tcBorders>
            <w:vMerge w:val="continue"/>
            <w:shd w:val="clear" w:color="auto" w:fill="B5B5B5"/>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60" w:type="dxa"/>
            <w:vAlign w:val="bottom"/>
            <w:tcBorders>
              <w:bottom w:val="single" w:sz="8" w:color="B5B5B5"/>
              <w:right w:val="single" w:sz="8" w:color="191919"/>
            </w:tcBorders>
            <w:shd w:val="clear" w:color="auto" w:fill="B5B5B5"/>
          </w:tcPr>
          <w:p>
            <w:pPr>
              <w:spacing w:after="0"/>
              <w:rPr>
                <w:sz w:val="24"/>
                <w:szCs w:val="24"/>
                <w:color w:val="auto"/>
              </w:rPr>
            </w:pPr>
          </w:p>
        </w:tc>
        <w:tc>
          <w:tcPr>
            <w:tcW w:w="300" w:type="dxa"/>
            <w:vAlign w:val="bottom"/>
            <w:tcBorders>
              <w:bottom w:val="single" w:sz="8" w:color="000750"/>
              <w:right w:val="single" w:sz="8" w:color="191919"/>
            </w:tcBorders>
            <w:shd w:val="clear" w:color="auto" w:fill="000750"/>
          </w:tcPr>
          <w:p>
            <w:pPr>
              <w:spacing w:after="0"/>
              <w:rPr>
                <w:sz w:val="24"/>
                <w:szCs w:val="24"/>
                <w:color w:val="auto"/>
              </w:rPr>
            </w:pPr>
          </w:p>
        </w:tc>
        <w:tc>
          <w:tcPr>
            <w:tcW w:w="2240" w:type="dxa"/>
            <w:vAlign w:val="bottom"/>
            <w:tcBorders>
              <w:bottom w:val="single" w:sz="8" w:color="B5B5B5"/>
            </w:tcBorders>
            <w:vMerge w:val="continue"/>
            <w:shd w:val="clear" w:color="auto" w:fill="B5B5B5"/>
          </w:tcPr>
          <w:p>
            <w:pPr>
              <w:spacing w:after="0"/>
              <w:rPr>
                <w:sz w:val="24"/>
                <w:szCs w:val="24"/>
                <w:color w:val="auto"/>
              </w:rPr>
            </w:pPr>
          </w:p>
        </w:tc>
        <w:tc>
          <w:tcPr>
            <w:tcW w:w="3640" w:type="dxa"/>
            <w:vAlign w:val="bottom"/>
            <w:tcBorders>
              <w:bottom w:val="single" w:sz="8" w:color="B5B5B5"/>
            </w:tcBorders>
            <w:shd w:val="clear" w:color="auto" w:fill="B5B5B5"/>
          </w:tcPr>
          <w:p>
            <w:pPr>
              <w:spacing w:after="0"/>
              <w:rPr>
                <w:sz w:val="24"/>
                <w:szCs w:val="24"/>
                <w:color w:val="auto"/>
              </w:rPr>
            </w:pPr>
          </w:p>
        </w:tc>
        <w:tc>
          <w:tcPr>
            <w:tcW w:w="160" w:type="dxa"/>
            <w:vAlign w:val="bottom"/>
            <w:tcBorders>
              <w:bottom w:val="single" w:sz="8" w:color="B5B5B5"/>
            </w:tcBorders>
            <w:shd w:val="clear" w:color="auto" w:fill="B5B5B5"/>
          </w:tcPr>
          <w:p>
            <w:pPr>
              <w:spacing w:after="0"/>
              <w:rPr>
                <w:sz w:val="24"/>
                <w:szCs w:val="24"/>
                <w:color w:val="auto"/>
              </w:rPr>
            </w:pPr>
          </w:p>
        </w:tc>
        <w:tc>
          <w:tcPr>
            <w:tcW w:w="3520" w:type="dxa"/>
            <w:vAlign w:val="bottom"/>
            <w:tcBorders>
              <w:bottom w:val="single" w:sz="8" w:color="B5B5B5"/>
            </w:tcBorders>
            <w:vMerge w:val="continue"/>
            <w:shd w:val="clear" w:color="auto" w:fill="B5B5B5"/>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60" w:type="dxa"/>
            <w:vAlign w:val="bottom"/>
            <w:tcBorders>
              <w:top w:val="single" w:sz="8" w:color="B5B5B5"/>
              <w:right w:val="single" w:sz="8" w:color="B5B5B5"/>
            </w:tcBorders>
            <w:shd w:val="clear" w:color="auto" w:fill="B5B5B5"/>
          </w:tcPr>
          <w:p>
            <w:pPr>
              <w:spacing w:after="0"/>
              <w:rPr>
                <w:sz w:val="24"/>
                <w:szCs w:val="24"/>
                <w:color w:val="auto"/>
              </w:rPr>
            </w:pPr>
          </w:p>
        </w:tc>
        <w:tc>
          <w:tcPr>
            <w:tcW w:w="300" w:type="dxa"/>
            <w:vAlign w:val="bottom"/>
            <w:tcBorders>
              <w:top w:val="single" w:sz="8" w:color="191919"/>
              <w:right w:val="single" w:sz="8" w:color="B5B5B5"/>
            </w:tcBorders>
            <w:shd w:val="clear" w:color="auto" w:fill="B5B5B5"/>
          </w:tcPr>
          <w:p>
            <w:pPr>
              <w:spacing w:after="0"/>
              <w:rPr>
                <w:sz w:val="24"/>
                <w:szCs w:val="24"/>
                <w:color w:val="auto"/>
              </w:rPr>
            </w:pPr>
          </w:p>
        </w:tc>
        <w:tc>
          <w:tcPr>
            <w:tcW w:w="2240" w:type="dxa"/>
            <w:vAlign w:val="bottom"/>
            <w:tcBorders>
              <w:top w:val="single" w:sz="8" w:color="B5B5B5"/>
            </w:tcBorders>
            <w:shd w:val="clear" w:color="auto" w:fill="B5B5B5"/>
          </w:tcPr>
          <w:p>
            <w:pPr>
              <w:spacing w:after="0"/>
              <w:rPr>
                <w:sz w:val="24"/>
                <w:szCs w:val="24"/>
                <w:color w:val="auto"/>
              </w:rPr>
            </w:pPr>
          </w:p>
        </w:tc>
        <w:tc>
          <w:tcPr>
            <w:tcW w:w="3640" w:type="dxa"/>
            <w:vAlign w:val="bottom"/>
            <w:tcBorders>
              <w:top w:val="single" w:sz="8" w:color="B5B5B5"/>
            </w:tcBorders>
            <w:shd w:val="clear" w:color="auto" w:fill="B5B5B5"/>
          </w:tcPr>
          <w:p>
            <w:pPr>
              <w:ind w:left="540"/>
              <w:spacing w:after="0"/>
              <w:rPr>
                <w:sz w:val="20"/>
                <w:szCs w:val="20"/>
                <w:color w:val="auto"/>
              </w:rPr>
            </w:pPr>
            <w:r>
              <w:rPr>
                <w:rFonts w:ascii="Arial" w:cs="Arial" w:eastAsia="Arial" w:hAnsi="Arial"/>
                <w:sz w:val="20"/>
                <w:szCs w:val="20"/>
                <w:color w:val="auto"/>
              </w:rPr>
              <w:t>Operations</w:t>
            </w:r>
          </w:p>
        </w:tc>
        <w:tc>
          <w:tcPr>
            <w:tcW w:w="160" w:type="dxa"/>
            <w:vAlign w:val="bottom"/>
            <w:tcBorders>
              <w:top w:val="single" w:sz="8" w:color="B5B5B5"/>
            </w:tcBorders>
            <w:shd w:val="clear" w:color="auto" w:fill="B5B5B5"/>
          </w:tcPr>
          <w:p>
            <w:pPr>
              <w:spacing w:after="0"/>
              <w:rPr>
                <w:sz w:val="24"/>
                <w:szCs w:val="24"/>
                <w:color w:val="auto"/>
              </w:rPr>
            </w:pPr>
          </w:p>
        </w:tc>
        <w:tc>
          <w:tcPr>
            <w:tcW w:w="3520" w:type="dxa"/>
            <w:vAlign w:val="bottom"/>
            <w:tcBorders>
              <w:top w:val="single" w:sz="8" w:color="B5B5B5"/>
            </w:tcBorders>
            <w:shd w:val="clear" w:color="auto" w:fill="B5B5B5"/>
          </w:tcPr>
          <w:p>
            <w:pPr>
              <w:ind w:left="160"/>
              <w:spacing w:after="0"/>
              <w:rPr>
                <w:sz w:val="20"/>
                <w:szCs w:val="20"/>
                <w:color w:val="auto"/>
              </w:rPr>
            </w:pPr>
            <w:r>
              <w:rPr>
                <w:rFonts w:ascii="Arial" w:cs="Arial" w:eastAsia="Arial" w:hAnsi="Arial"/>
                <w:sz w:val="20"/>
                <w:szCs w:val="20"/>
                <w:color w:val="auto"/>
              </w:rPr>
              <w:t>&amp; Cemeteries</w:t>
            </w:r>
          </w:p>
        </w:tc>
        <w:tc>
          <w:tcPr>
            <w:tcW w:w="0" w:type="dxa"/>
            <w:vAlign w:val="bottom"/>
          </w:tcPr>
          <w:p>
            <w:pPr>
              <w:spacing w:after="0"/>
              <w:rPr>
                <w:sz w:val="1"/>
                <w:szCs w:val="1"/>
                <w:color w:val="auto"/>
              </w:rPr>
            </w:pPr>
          </w:p>
        </w:tc>
      </w:tr>
      <w:tr>
        <w:trPr>
          <w:trHeight w:val="319"/>
        </w:trPr>
        <w:tc>
          <w:tcPr>
            <w:tcW w:w="260" w:type="dxa"/>
            <w:vAlign w:val="bottom"/>
            <w:tcBorders>
              <w:bottom w:val="single" w:sz="8" w:color="B5B5B5"/>
              <w:right w:val="single" w:sz="8" w:color="B5B5B5"/>
            </w:tcBorders>
            <w:shd w:val="clear" w:color="auto" w:fill="B5B5B5"/>
          </w:tcPr>
          <w:p>
            <w:pPr>
              <w:spacing w:after="0"/>
              <w:rPr>
                <w:sz w:val="24"/>
                <w:szCs w:val="24"/>
                <w:color w:val="auto"/>
              </w:rPr>
            </w:pPr>
          </w:p>
        </w:tc>
        <w:tc>
          <w:tcPr>
            <w:tcW w:w="300" w:type="dxa"/>
            <w:vAlign w:val="bottom"/>
            <w:tcBorders>
              <w:bottom w:val="single" w:sz="8" w:color="191919"/>
              <w:right w:val="single" w:sz="8" w:color="B5B5B5"/>
            </w:tcBorders>
            <w:shd w:val="clear" w:color="auto" w:fill="B5B5B5"/>
          </w:tcPr>
          <w:p>
            <w:pPr>
              <w:spacing w:after="0"/>
              <w:rPr>
                <w:sz w:val="24"/>
                <w:szCs w:val="24"/>
                <w:color w:val="auto"/>
              </w:rPr>
            </w:pPr>
          </w:p>
        </w:tc>
        <w:tc>
          <w:tcPr>
            <w:tcW w:w="2240" w:type="dxa"/>
            <w:vAlign w:val="bottom"/>
            <w:tcBorders>
              <w:bottom w:val="single" w:sz="8" w:color="B5B5B5"/>
            </w:tcBorders>
            <w:vMerge w:val="restart"/>
            <w:shd w:val="clear" w:color="auto" w:fill="B5B5B5"/>
          </w:tcPr>
          <w:p>
            <w:pPr>
              <w:ind w:left="100"/>
              <w:spacing w:after="0"/>
              <w:rPr>
                <w:sz w:val="20"/>
                <w:szCs w:val="20"/>
                <w:color w:val="auto"/>
              </w:rPr>
            </w:pPr>
            <w:r>
              <w:rPr>
                <w:rFonts w:ascii="Arial" w:cs="Arial" w:eastAsia="Arial" w:hAnsi="Arial"/>
                <w:sz w:val="20"/>
                <w:szCs w:val="20"/>
                <w:color w:val="auto"/>
              </w:rPr>
              <w:t>No License Held</w:t>
            </w:r>
          </w:p>
        </w:tc>
        <w:tc>
          <w:tcPr>
            <w:tcW w:w="3640" w:type="dxa"/>
            <w:vAlign w:val="bottom"/>
            <w:tcBorders>
              <w:bottom w:val="single" w:sz="8" w:color="B5B5B5"/>
            </w:tcBorders>
            <w:vMerge w:val="restart"/>
            <w:shd w:val="clear" w:color="auto" w:fill="B5B5B5"/>
          </w:tcPr>
          <w:p>
            <w:pPr>
              <w:ind w:left="540"/>
              <w:spacing w:after="0"/>
              <w:rPr>
                <w:sz w:val="20"/>
                <w:szCs w:val="20"/>
                <w:color w:val="auto"/>
              </w:rPr>
            </w:pPr>
            <w:r>
              <w:rPr>
                <w:rFonts w:ascii="Arial" w:cs="Arial" w:eastAsia="Arial" w:hAnsi="Arial"/>
                <w:sz w:val="20"/>
                <w:szCs w:val="20"/>
                <w:color w:val="auto"/>
              </w:rPr>
              <w:t>Security National Life</w:t>
            </w:r>
          </w:p>
        </w:tc>
        <w:tc>
          <w:tcPr>
            <w:tcW w:w="160" w:type="dxa"/>
            <w:vAlign w:val="bottom"/>
            <w:tcBorders>
              <w:bottom w:val="single" w:sz="8" w:color="B5B5B5"/>
            </w:tcBorders>
            <w:shd w:val="clear" w:color="auto" w:fill="B5B5B5"/>
          </w:tcPr>
          <w:p>
            <w:pPr>
              <w:spacing w:after="0"/>
              <w:rPr>
                <w:sz w:val="24"/>
                <w:szCs w:val="24"/>
                <w:color w:val="auto"/>
              </w:rPr>
            </w:pPr>
          </w:p>
        </w:tc>
        <w:tc>
          <w:tcPr>
            <w:tcW w:w="3520" w:type="dxa"/>
            <w:vAlign w:val="bottom"/>
            <w:tcBorders>
              <w:bottom w:val="single" w:sz="8" w:color="B5B5B5"/>
            </w:tcBorders>
            <w:vMerge w:val="restart"/>
            <w:shd w:val="clear" w:color="auto" w:fill="B5B5B5"/>
          </w:tcPr>
          <w:p>
            <w:pPr>
              <w:ind w:left="160"/>
              <w:spacing w:after="0"/>
              <w:rPr>
                <w:sz w:val="20"/>
                <w:szCs w:val="20"/>
                <w:color w:val="auto"/>
              </w:rPr>
            </w:pPr>
            <w:r>
              <w:rPr>
                <w:rFonts w:ascii="Arial" w:cs="Arial" w:eastAsia="Arial" w:hAnsi="Arial"/>
                <w:sz w:val="20"/>
                <w:szCs w:val="20"/>
                <w:color w:val="auto"/>
              </w:rPr>
              <w:t>SecurityNational Mortgage</w:t>
            </w:r>
          </w:p>
        </w:tc>
        <w:tc>
          <w:tcPr>
            <w:tcW w:w="0" w:type="dxa"/>
            <w:vAlign w:val="bottom"/>
          </w:tcPr>
          <w:p>
            <w:pPr>
              <w:spacing w:after="0"/>
              <w:rPr>
                <w:sz w:val="1"/>
                <w:szCs w:val="1"/>
                <w:color w:val="auto"/>
              </w:rPr>
            </w:pPr>
          </w:p>
        </w:tc>
      </w:tr>
      <w:tr>
        <w:trPr>
          <w:trHeight w:val="243"/>
        </w:trPr>
        <w:tc>
          <w:tcPr>
            <w:tcW w:w="260" w:type="dxa"/>
            <w:vAlign w:val="bottom"/>
            <w:tcBorders>
              <w:right w:val="single" w:sz="8" w:color="191919"/>
            </w:tcBorders>
            <w:shd w:val="clear" w:color="auto" w:fill="B5B5B5"/>
          </w:tcPr>
          <w:p>
            <w:pPr>
              <w:spacing w:after="0"/>
              <w:rPr>
                <w:sz w:val="21"/>
                <w:szCs w:val="21"/>
                <w:color w:val="auto"/>
              </w:rPr>
            </w:pPr>
          </w:p>
        </w:tc>
        <w:tc>
          <w:tcPr>
            <w:tcW w:w="300" w:type="dxa"/>
            <w:vAlign w:val="bottom"/>
            <w:tcBorders>
              <w:right w:val="single" w:sz="8" w:color="191919"/>
            </w:tcBorders>
          </w:tcPr>
          <w:p>
            <w:pPr>
              <w:spacing w:after="0"/>
              <w:rPr>
                <w:sz w:val="21"/>
                <w:szCs w:val="21"/>
                <w:color w:val="auto"/>
              </w:rPr>
            </w:pPr>
          </w:p>
        </w:tc>
        <w:tc>
          <w:tcPr>
            <w:tcW w:w="2240" w:type="dxa"/>
            <w:vAlign w:val="bottom"/>
            <w:vMerge w:val="continue"/>
            <w:shd w:val="clear" w:color="auto" w:fill="B5B5B5"/>
          </w:tcPr>
          <w:p>
            <w:pPr>
              <w:spacing w:after="0"/>
              <w:rPr>
                <w:sz w:val="21"/>
                <w:szCs w:val="21"/>
                <w:color w:val="auto"/>
              </w:rPr>
            </w:pPr>
          </w:p>
        </w:tc>
        <w:tc>
          <w:tcPr>
            <w:tcW w:w="3640" w:type="dxa"/>
            <w:vAlign w:val="bottom"/>
            <w:vMerge w:val="continue"/>
            <w:shd w:val="clear" w:color="auto" w:fill="B5B5B5"/>
          </w:tcPr>
          <w:p>
            <w:pPr>
              <w:spacing w:after="0"/>
              <w:rPr>
                <w:sz w:val="21"/>
                <w:szCs w:val="21"/>
                <w:color w:val="auto"/>
              </w:rPr>
            </w:pPr>
          </w:p>
        </w:tc>
        <w:tc>
          <w:tcPr>
            <w:tcW w:w="160" w:type="dxa"/>
            <w:vAlign w:val="bottom"/>
            <w:shd w:val="clear" w:color="auto" w:fill="B5B5B5"/>
          </w:tcPr>
          <w:p>
            <w:pPr>
              <w:spacing w:after="0"/>
              <w:rPr>
                <w:sz w:val="21"/>
                <w:szCs w:val="21"/>
                <w:color w:val="auto"/>
              </w:rPr>
            </w:pPr>
          </w:p>
        </w:tc>
        <w:tc>
          <w:tcPr>
            <w:tcW w:w="3520" w:type="dxa"/>
            <w:vAlign w:val="bottom"/>
            <w:vMerge w:val="continue"/>
            <w:shd w:val="clear" w:color="auto" w:fill="B5B5B5"/>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60" w:type="dxa"/>
            <w:vAlign w:val="bottom"/>
            <w:tcBorders>
              <w:bottom w:val="single" w:sz="8" w:color="B5B5B5"/>
              <w:right w:val="single" w:sz="8" w:color="191919"/>
            </w:tcBorders>
            <w:shd w:val="clear" w:color="auto" w:fill="B5B5B5"/>
          </w:tcPr>
          <w:p>
            <w:pPr>
              <w:spacing w:after="0"/>
              <w:rPr>
                <w:sz w:val="2"/>
                <w:szCs w:val="2"/>
                <w:color w:val="auto"/>
              </w:rPr>
            </w:pPr>
          </w:p>
        </w:tc>
        <w:tc>
          <w:tcPr>
            <w:tcW w:w="300" w:type="dxa"/>
            <w:vAlign w:val="bottom"/>
            <w:tcBorders>
              <w:bottom w:val="single" w:sz="8" w:color="191919"/>
              <w:right w:val="single" w:sz="8" w:color="191919"/>
            </w:tcBorders>
          </w:tcPr>
          <w:p>
            <w:pPr>
              <w:spacing w:after="0"/>
              <w:rPr>
                <w:sz w:val="2"/>
                <w:szCs w:val="2"/>
                <w:color w:val="auto"/>
              </w:rPr>
            </w:pPr>
          </w:p>
        </w:tc>
        <w:tc>
          <w:tcPr>
            <w:tcW w:w="2240" w:type="dxa"/>
            <w:vAlign w:val="bottom"/>
            <w:tcBorders>
              <w:bottom w:val="single" w:sz="8" w:color="B5B5B5"/>
            </w:tcBorders>
            <w:shd w:val="clear" w:color="auto" w:fill="B5B5B5"/>
          </w:tcPr>
          <w:p>
            <w:pPr>
              <w:spacing w:after="0"/>
              <w:rPr>
                <w:sz w:val="2"/>
                <w:szCs w:val="2"/>
                <w:color w:val="auto"/>
              </w:rPr>
            </w:pPr>
          </w:p>
        </w:tc>
        <w:tc>
          <w:tcPr>
            <w:tcW w:w="3640" w:type="dxa"/>
            <w:vAlign w:val="bottom"/>
            <w:tcBorders>
              <w:bottom w:val="single" w:sz="8" w:color="B5B5B5"/>
            </w:tcBorders>
            <w:vMerge w:val="restart"/>
            <w:shd w:val="clear" w:color="auto" w:fill="B5B5B5"/>
          </w:tcPr>
          <w:p>
            <w:pPr>
              <w:ind w:left="540"/>
              <w:spacing w:after="0"/>
              <w:rPr>
                <w:sz w:val="20"/>
                <w:szCs w:val="20"/>
                <w:color w:val="auto"/>
              </w:rPr>
            </w:pPr>
            <w:r>
              <w:rPr>
                <w:rFonts w:ascii="Arial" w:cs="Arial" w:eastAsia="Arial" w:hAnsi="Arial"/>
                <w:sz w:val="20"/>
                <w:szCs w:val="20"/>
                <w:color w:val="auto"/>
              </w:rPr>
              <w:t>Kilpatrick Life</w:t>
            </w:r>
          </w:p>
        </w:tc>
        <w:tc>
          <w:tcPr>
            <w:tcW w:w="160" w:type="dxa"/>
            <w:vAlign w:val="bottom"/>
            <w:tcBorders>
              <w:bottom w:val="single" w:sz="8" w:color="B5B5B5"/>
            </w:tcBorders>
            <w:shd w:val="clear" w:color="auto" w:fill="B5B5B5"/>
          </w:tcPr>
          <w:p>
            <w:pPr>
              <w:spacing w:after="0"/>
              <w:rPr>
                <w:sz w:val="2"/>
                <w:szCs w:val="2"/>
                <w:color w:val="auto"/>
              </w:rPr>
            </w:pPr>
          </w:p>
        </w:tc>
        <w:tc>
          <w:tcPr>
            <w:tcW w:w="3520" w:type="dxa"/>
            <w:vAlign w:val="bottom"/>
            <w:tcBorders>
              <w:bottom w:val="single" w:sz="8" w:color="B5B5B5"/>
            </w:tcBorders>
            <w:vMerge w:val="restart"/>
            <w:shd w:val="clear" w:color="auto" w:fill="B5B5B5"/>
          </w:tcPr>
          <w:p>
            <w:pPr>
              <w:ind w:left="160"/>
              <w:spacing w:after="0"/>
              <w:rPr>
                <w:sz w:val="20"/>
                <w:szCs w:val="20"/>
                <w:color w:val="auto"/>
              </w:rPr>
            </w:pPr>
            <w:r>
              <w:rPr>
                <w:rFonts w:ascii="Arial" w:cs="Arial" w:eastAsia="Arial" w:hAnsi="Arial"/>
                <w:sz w:val="20"/>
                <w:szCs w:val="20"/>
                <w:color w:val="auto"/>
              </w:rPr>
              <w:t>C&amp;J Financial, LLC</w:t>
            </w:r>
          </w:p>
        </w:tc>
        <w:tc>
          <w:tcPr>
            <w:tcW w:w="0" w:type="dxa"/>
            <w:vAlign w:val="bottom"/>
          </w:tcPr>
          <w:p>
            <w:pPr>
              <w:spacing w:after="0"/>
              <w:rPr>
                <w:sz w:val="1"/>
                <w:szCs w:val="1"/>
                <w:color w:val="auto"/>
              </w:rPr>
            </w:pPr>
          </w:p>
        </w:tc>
      </w:tr>
      <w:tr>
        <w:trPr>
          <w:trHeight w:val="448"/>
        </w:trPr>
        <w:tc>
          <w:tcPr>
            <w:tcW w:w="260" w:type="dxa"/>
            <w:vAlign w:val="bottom"/>
            <w:tcBorders>
              <w:right w:val="single" w:sz="8" w:color="B5B5B5"/>
            </w:tcBorders>
            <w:shd w:val="clear" w:color="auto" w:fill="B5B5B5"/>
          </w:tcPr>
          <w:p>
            <w:pPr>
              <w:spacing w:after="0"/>
              <w:rPr>
                <w:sz w:val="24"/>
                <w:szCs w:val="24"/>
                <w:color w:val="auto"/>
              </w:rPr>
            </w:pPr>
          </w:p>
        </w:tc>
        <w:tc>
          <w:tcPr>
            <w:tcW w:w="300" w:type="dxa"/>
            <w:vAlign w:val="bottom"/>
            <w:tcBorders>
              <w:right w:val="single" w:sz="8" w:color="B5B5B5"/>
            </w:tcBorders>
            <w:shd w:val="clear" w:color="auto" w:fill="B5B5B5"/>
          </w:tcPr>
          <w:p>
            <w:pPr>
              <w:spacing w:after="0"/>
              <w:rPr>
                <w:sz w:val="24"/>
                <w:szCs w:val="24"/>
                <w:color w:val="auto"/>
              </w:rPr>
            </w:pPr>
          </w:p>
        </w:tc>
        <w:tc>
          <w:tcPr>
            <w:tcW w:w="2240" w:type="dxa"/>
            <w:vAlign w:val="bottom"/>
            <w:shd w:val="clear" w:color="auto" w:fill="B5B5B5"/>
          </w:tcPr>
          <w:p>
            <w:pPr>
              <w:spacing w:after="0"/>
              <w:rPr>
                <w:sz w:val="24"/>
                <w:szCs w:val="24"/>
                <w:color w:val="auto"/>
              </w:rPr>
            </w:pPr>
          </w:p>
        </w:tc>
        <w:tc>
          <w:tcPr>
            <w:tcW w:w="3640" w:type="dxa"/>
            <w:vAlign w:val="bottom"/>
            <w:vMerge w:val="continue"/>
            <w:shd w:val="clear" w:color="auto" w:fill="B5B5B5"/>
          </w:tcPr>
          <w:p>
            <w:pPr>
              <w:spacing w:after="0"/>
              <w:rPr>
                <w:sz w:val="24"/>
                <w:szCs w:val="24"/>
                <w:color w:val="auto"/>
              </w:rPr>
            </w:pPr>
          </w:p>
        </w:tc>
        <w:tc>
          <w:tcPr>
            <w:tcW w:w="160" w:type="dxa"/>
            <w:vAlign w:val="bottom"/>
            <w:shd w:val="clear" w:color="auto" w:fill="B5B5B5"/>
          </w:tcPr>
          <w:p>
            <w:pPr>
              <w:spacing w:after="0"/>
              <w:rPr>
                <w:sz w:val="24"/>
                <w:szCs w:val="24"/>
                <w:color w:val="auto"/>
              </w:rPr>
            </w:pPr>
          </w:p>
        </w:tc>
        <w:tc>
          <w:tcPr>
            <w:tcW w:w="3520" w:type="dxa"/>
            <w:vAlign w:val="bottom"/>
            <w:vMerge w:val="continue"/>
            <w:shd w:val="clear" w:color="auto" w:fill="B5B5B5"/>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60" w:type="dxa"/>
            <w:vAlign w:val="bottom"/>
            <w:tcBorders>
              <w:right w:val="single" w:sz="8" w:color="B5B5B5"/>
            </w:tcBorders>
            <w:shd w:val="clear" w:color="auto" w:fill="B5B5B5"/>
          </w:tcPr>
          <w:p>
            <w:pPr>
              <w:spacing w:after="0"/>
              <w:rPr>
                <w:sz w:val="6"/>
                <w:szCs w:val="6"/>
                <w:color w:val="auto"/>
              </w:rPr>
            </w:pPr>
          </w:p>
        </w:tc>
        <w:tc>
          <w:tcPr>
            <w:tcW w:w="300" w:type="dxa"/>
            <w:vAlign w:val="bottom"/>
            <w:tcBorders>
              <w:right w:val="single" w:sz="8" w:color="B5B5B5"/>
            </w:tcBorders>
            <w:shd w:val="clear" w:color="auto" w:fill="B5B5B5"/>
          </w:tcPr>
          <w:p>
            <w:pPr>
              <w:spacing w:after="0"/>
              <w:rPr>
                <w:sz w:val="6"/>
                <w:szCs w:val="6"/>
                <w:color w:val="auto"/>
              </w:rPr>
            </w:pPr>
          </w:p>
        </w:tc>
        <w:tc>
          <w:tcPr>
            <w:tcW w:w="2240" w:type="dxa"/>
            <w:vAlign w:val="bottom"/>
            <w:shd w:val="clear" w:color="auto" w:fill="B5B5B5"/>
          </w:tcPr>
          <w:p>
            <w:pPr>
              <w:spacing w:after="0"/>
              <w:rPr>
                <w:sz w:val="6"/>
                <w:szCs w:val="6"/>
                <w:color w:val="auto"/>
              </w:rPr>
            </w:pPr>
          </w:p>
        </w:tc>
        <w:tc>
          <w:tcPr>
            <w:tcW w:w="3640" w:type="dxa"/>
            <w:vAlign w:val="bottom"/>
            <w:vMerge w:val="continue"/>
            <w:shd w:val="clear" w:color="auto" w:fill="B5B5B5"/>
          </w:tcPr>
          <w:p>
            <w:pPr>
              <w:spacing w:after="0"/>
              <w:rPr>
                <w:sz w:val="6"/>
                <w:szCs w:val="6"/>
                <w:color w:val="auto"/>
              </w:rPr>
            </w:pPr>
          </w:p>
        </w:tc>
        <w:tc>
          <w:tcPr>
            <w:tcW w:w="160" w:type="dxa"/>
            <w:vAlign w:val="bottom"/>
          </w:tcPr>
          <w:p>
            <w:pPr>
              <w:spacing w:after="0"/>
              <w:rPr>
                <w:sz w:val="6"/>
                <w:szCs w:val="6"/>
                <w:color w:val="auto"/>
              </w:rPr>
            </w:pPr>
          </w:p>
        </w:tc>
        <w:tc>
          <w:tcPr>
            <w:tcW w:w="3520" w:type="dxa"/>
            <w:vAlign w:val="bottom"/>
            <w:vMerge w:val="continue"/>
            <w:shd w:val="clear" w:color="auto" w:fill="B5B5B5"/>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60" w:type="dxa"/>
            <w:vAlign w:val="bottom"/>
            <w:tcBorders>
              <w:right w:val="single" w:sz="8" w:color="B5B5B5"/>
            </w:tcBorders>
            <w:shd w:val="clear" w:color="auto" w:fill="B5B5B5"/>
          </w:tcPr>
          <w:p>
            <w:pPr>
              <w:spacing w:after="0"/>
              <w:rPr>
                <w:sz w:val="4"/>
                <w:szCs w:val="4"/>
                <w:color w:val="auto"/>
              </w:rPr>
            </w:pPr>
          </w:p>
        </w:tc>
        <w:tc>
          <w:tcPr>
            <w:tcW w:w="300" w:type="dxa"/>
            <w:vAlign w:val="bottom"/>
            <w:tcBorders>
              <w:right w:val="single" w:sz="8" w:color="B5B5B5"/>
            </w:tcBorders>
            <w:shd w:val="clear" w:color="auto" w:fill="B5B5B5"/>
          </w:tcPr>
          <w:p>
            <w:pPr>
              <w:spacing w:after="0"/>
              <w:rPr>
                <w:sz w:val="4"/>
                <w:szCs w:val="4"/>
                <w:color w:val="auto"/>
              </w:rPr>
            </w:pPr>
          </w:p>
        </w:tc>
        <w:tc>
          <w:tcPr>
            <w:tcW w:w="2240" w:type="dxa"/>
            <w:vAlign w:val="bottom"/>
            <w:shd w:val="clear" w:color="auto" w:fill="B5B5B5"/>
          </w:tcPr>
          <w:p>
            <w:pPr>
              <w:spacing w:after="0"/>
              <w:rPr>
                <w:sz w:val="4"/>
                <w:szCs w:val="4"/>
                <w:color w:val="auto"/>
              </w:rPr>
            </w:pPr>
          </w:p>
        </w:tc>
        <w:tc>
          <w:tcPr>
            <w:tcW w:w="3640" w:type="dxa"/>
            <w:vAlign w:val="bottom"/>
            <w:shd w:val="clear" w:color="auto" w:fill="B5B5B5"/>
          </w:tcPr>
          <w:p>
            <w:pPr>
              <w:spacing w:after="0"/>
              <w:rPr>
                <w:sz w:val="4"/>
                <w:szCs w:val="4"/>
                <w:color w:val="auto"/>
              </w:rPr>
            </w:pPr>
          </w:p>
        </w:tc>
        <w:tc>
          <w:tcPr>
            <w:tcW w:w="160" w:type="dxa"/>
            <w:vAlign w:val="bottom"/>
          </w:tcPr>
          <w:p>
            <w:pPr>
              <w:spacing w:after="0"/>
              <w:rPr>
                <w:sz w:val="4"/>
                <w:szCs w:val="4"/>
                <w:color w:val="auto"/>
              </w:rPr>
            </w:pPr>
          </w:p>
        </w:tc>
        <w:tc>
          <w:tcPr>
            <w:tcW w:w="3520" w:type="dxa"/>
            <w:vAlign w:val="bottom"/>
            <w:shd w:val="clear" w:color="auto" w:fill="B5B5B5"/>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60" w:type="dxa"/>
            <w:vAlign w:val="bottom"/>
            <w:tcBorders>
              <w:right w:val="single" w:sz="8" w:color="B5B5B5"/>
            </w:tcBorders>
            <w:shd w:val="clear" w:color="auto" w:fill="B5B5B5"/>
          </w:tcPr>
          <w:p>
            <w:pPr>
              <w:spacing w:after="0"/>
              <w:rPr>
                <w:sz w:val="24"/>
                <w:szCs w:val="24"/>
                <w:color w:val="auto"/>
              </w:rPr>
            </w:pPr>
          </w:p>
        </w:tc>
        <w:tc>
          <w:tcPr>
            <w:tcW w:w="300" w:type="dxa"/>
            <w:vAlign w:val="bottom"/>
            <w:tcBorders>
              <w:right w:val="single" w:sz="8" w:color="B5B5B5"/>
            </w:tcBorders>
            <w:shd w:val="clear" w:color="auto" w:fill="B5B5B5"/>
          </w:tcPr>
          <w:p>
            <w:pPr>
              <w:spacing w:after="0"/>
              <w:rPr>
                <w:sz w:val="24"/>
                <w:szCs w:val="24"/>
                <w:color w:val="auto"/>
              </w:rPr>
            </w:pPr>
          </w:p>
        </w:tc>
        <w:tc>
          <w:tcPr>
            <w:tcW w:w="2240" w:type="dxa"/>
            <w:vAlign w:val="bottom"/>
            <w:shd w:val="clear" w:color="auto" w:fill="B5B5B5"/>
          </w:tcPr>
          <w:p>
            <w:pPr>
              <w:spacing w:after="0"/>
              <w:rPr>
                <w:sz w:val="24"/>
                <w:szCs w:val="24"/>
                <w:color w:val="auto"/>
              </w:rPr>
            </w:pPr>
          </w:p>
        </w:tc>
        <w:tc>
          <w:tcPr>
            <w:tcW w:w="3640" w:type="dxa"/>
            <w:vAlign w:val="bottom"/>
            <w:shd w:val="clear" w:color="auto" w:fill="B5B5B5"/>
          </w:tcPr>
          <w:p>
            <w:pPr>
              <w:spacing w:after="0"/>
              <w:rPr>
                <w:sz w:val="24"/>
                <w:szCs w:val="24"/>
                <w:color w:val="auto"/>
              </w:rPr>
            </w:pPr>
          </w:p>
        </w:tc>
        <w:tc>
          <w:tcPr>
            <w:tcW w:w="160" w:type="dxa"/>
            <w:vAlign w:val="bottom"/>
            <w:shd w:val="clear" w:color="auto" w:fill="B5B5B5"/>
          </w:tcPr>
          <w:p>
            <w:pPr>
              <w:spacing w:after="0"/>
              <w:rPr>
                <w:sz w:val="24"/>
                <w:szCs w:val="24"/>
                <w:color w:val="auto"/>
              </w:rPr>
            </w:pPr>
          </w:p>
        </w:tc>
        <w:tc>
          <w:tcPr>
            <w:tcW w:w="3520" w:type="dxa"/>
            <w:vAlign w:val="bottom"/>
            <w:shd w:val="clear" w:color="auto" w:fill="B5B5B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-1660525</wp:posOffset>
            </wp:positionV>
            <wp:extent cx="264795" cy="2540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6">
                      <a:extLst>
                        <a:ext uri="{28A0092B-C50C-407E-A947-70E740481C1C}"/>
                      </a:extLst>
                    </a:blip>
                    <a:srcRect/>
                    <a:stretch>
                      <a:fillRect/>
                    </a:stretch>
                  </pic:blipFill>
                  <pic:spPr bwMode="auto">
                    <a:xfrm>
                      <a:off x="0" y="0"/>
                      <a:ext cx="264795" cy="25400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-1151255</wp:posOffset>
            </wp:positionV>
            <wp:extent cx="236855" cy="2368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7">
                      <a:extLst>
                        <a:ext uri="{28A0092B-C50C-407E-A947-70E740481C1C}"/>
                      </a:extLst>
                    </a:blip>
                    <a:srcRect/>
                    <a:stretch>
                      <a:fillRect/>
                    </a:stretch>
                  </pic:blipFill>
                  <pic:spPr bwMode="auto">
                    <a:xfrm>
                      <a:off x="0" y="0"/>
                      <a:ext cx="236855" cy="236855"/>
                    </a:xfrm>
                    <a:prstGeom prst="rect">
                      <a:avLst/>
                    </a:prstGeom>
                    <a:noFill/>
                  </pic:spPr>
                </pic:pic>
              </a:graphicData>
            </a:graphic>
          </wp:anchor>
        </w:drawing>
        <w:drawing>
          <wp:anchor simplePos="0" relativeHeight="251657728" behindDoc="1" locked="0" layoutInCell="0" allowOverlap="1">
            <wp:simplePos x="0" y="0"/>
            <wp:positionH relativeFrom="column">
              <wp:posOffset>3963035</wp:posOffset>
            </wp:positionH>
            <wp:positionV relativeFrom="paragraph">
              <wp:posOffset>-1304290</wp:posOffset>
            </wp:positionV>
            <wp:extent cx="254000" cy="2552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8">
                      <a:extLst>
                        <a:ext uri="{28A0092B-C50C-407E-A947-70E740481C1C}"/>
                      </a:extLst>
                    </a:blip>
                    <a:srcRect/>
                    <a:stretch>
                      <a:fillRect/>
                    </a:stretch>
                  </pic:blipFill>
                  <pic:spPr bwMode="auto">
                    <a:xfrm>
                      <a:off x="0" y="0"/>
                      <a:ext cx="254000" cy="25527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-1647825</wp:posOffset>
            </wp:positionV>
            <wp:extent cx="208915" cy="1765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9">
                      <a:extLst>
                        <a:ext uri="{28A0092B-C50C-407E-A947-70E740481C1C}"/>
                      </a:extLst>
                    </a:blip>
                    <a:srcRect/>
                    <a:stretch>
                      <a:fillRect/>
                    </a:stretch>
                  </pic:blipFill>
                  <pic:spPr bwMode="auto">
                    <a:xfrm>
                      <a:off x="0" y="0"/>
                      <a:ext cx="208915" cy="176530"/>
                    </a:xfrm>
                    <a:prstGeom prst="rect">
                      <a:avLst/>
                    </a:prstGeom>
                    <a:noFill/>
                  </pic:spPr>
                </pic:pic>
              </a:graphicData>
            </a:graphic>
          </wp:anchor>
        </w:drawing>
        <w:drawing>
          <wp:anchor simplePos="0" relativeHeight="251657728" behindDoc="1" locked="0" layoutInCell="0" allowOverlap="1">
            <wp:simplePos x="0" y="0"/>
            <wp:positionH relativeFrom="column">
              <wp:posOffset>1808480</wp:posOffset>
            </wp:positionH>
            <wp:positionV relativeFrom="paragraph">
              <wp:posOffset>-397510</wp:posOffset>
            </wp:positionV>
            <wp:extent cx="244475" cy="2349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0">
                      <a:extLst>
                        <a:ext uri="{28A0092B-C50C-407E-A947-70E740481C1C}"/>
                      </a:extLst>
                    </a:blip>
                    <a:srcRect/>
                    <a:stretch>
                      <a:fillRect/>
                    </a:stretch>
                  </pic:blipFill>
                  <pic:spPr bwMode="auto">
                    <a:xfrm>
                      <a:off x="0" y="0"/>
                      <a:ext cx="244475" cy="234950"/>
                    </a:xfrm>
                    <a:prstGeom prst="rect">
                      <a:avLst/>
                    </a:prstGeom>
                    <a:noFill/>
                  </pic:spPr>
                </pic:pic>
              </a:graphicData>
            </a:graphic>
          </wp:anchor>
        </w:drawing>
        <w:drawing>
          <wp:anchor simplePos="0" relativeHeight="251657728" behindDoc="1" locked="0" layoutInCell="0" allowOverlap="1">
            <wp:simplePos x="0" y="0"/>
            <wp:positionH relativeFrom="column">
              <wp:posOffset>3977005</wp:posOffset>
            </wp:positionH>
            <wp:positionV relativeFrom="paragraph">
              <wp:posOffset>-760730</wp:posOffset>
            </wp:positionV>
            <wp:extent cx="226695" cy="2222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1">
                      <a:extLst>
                        <a:ext uri="{28A0092B-C50C-407E-A947-70E740481C1C}"/>
                      </a:extLst>
                    </a:blip>
                    <a:srcRect/>
                    <a:stretch>
                      <a:fillRect/>
                    </a:stretch>
                  </pic:blipFill>
                  <pic:spPr bwMode="auto">
                    <a:xfrm>
                      <a:off x="0" y="0"/>
                      <a:ext cx="226695" cy="22225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-368935</wp:posOffset>
            </wp:positionV>
            <wp:extent cx="208280" cy="1765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2">
                      <a:extLst>
                        <a:ext uri="{28A0092B-C50C-407E-A947-70E740481C1C}"/>
                      </a:extLst>
                    </a:blip>
                    <a:srcRect/>
                    <a:stretch>
                      <a:fillRect/>
                    </a:stretch>
                  </pic:blipFill>
                  <pic:spPr bwMode="auto">
                    <a:xfrm>
                      <a:off x="0" y="0"/>
                      <a:ext cx="208280" cy="176530"/>
                    </a:xfrm>
                    <a:prstGeom prst="rect">
                      <a:avLst/>
                    </a:prstGeom>
                    <a:noFill/>
                  </pic:spPr>
                </pic:pic>
              </a:graphicData>
            </a:graphic>
          </wp:anchor>
        </w:drawing>
        <w:drawing>
          <wp:anchor simplePos="0" relativeHeight="251657728" behindDoc="1" locked="0" layoutInCell="0" allowOverlap="1">
            <wp:simplePos x="0" y="0"/>
            <wp:positionH relativeFrom="column">
              <wp:posOffset>1824990</wp:posOffset>
            </wp:positionH>
            <wp:positionV relativeFrom="paragraph">
              <wp:posOffset>-757555</wp:posOffset>
            </wp:positionV>
            <wp:extent cx="208915" cy="1905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3">
                      <a:extLst>
                        <a:ext uri="{28A0092B-C50C-407E-A947-70E740481C1C}"/>
                      </a:extLst>
                    </a:blip>
                    <a:srcRect/>
                    <a:stretch>
                      <a:fillRect/>
                    </a:stretch>
                  </pic:blipFill>
                  <pic:spPr bwMode="auto">
                    <a:xfrm>
                      <a:off x="0" y="0"/>
                      <a:ext cx="208915" cy="190500"/>
                    </a:xfrm>
                    <a:prstGeom prst="rect">
                      <a:avLst/>
                    </a:prstGeom>
                    <a:noFill/>
                  </pic:spPr>
                </pic:pic>
              </a:graphicData>
            </a:graphic>
          </wp:anchor>
        </w:drawing>
      </w:r>
    </w:p>
    <w:p>
      <w:pPr>
        <w:sectPr>
          <w:pgSz w:w="12240" w:h="15840" w:orient="portrait"/>
          <w:cols w:equalWidth="0" w:num="2">
            <w:col w:w="276" w:space="306"/>
            <w:col w:w="10180"/>
          </w:cols>
          <w:pgMar w:left="758" w:top="621" w:right="720" w:bottom="673" w:gutter="0" w:footer="0" w:header="0"/>
          <w:type w:val="continuous"/>
        </w:sectPr>
      </w:pPr>
    </w:p>
    <w:bookmarkStart w:id="25" w:name="page26"/>
    <w:bookmarkEnd w:id="25"/>
    <w:p>
      <w:pPr>
        <w:ind w:left="180"/>
        <w:spacing w:after="0"/>
        <w:rPr>
          <w:sz w:val="20"/>
          <w:szCs w:val="20"/>
          <w:color w:val="auto"/>
        </w:rPr>
      </w:pPr>
      <w:r>
        <w:rPr>
          <w:rFonts w:ascii="Times New Roman" w:cs="Times New Roman" w:eastAsia="Times New Roman" w:hAnsi="Times New Roman"/>
          <w:sz w:val="28"/>
          <w:szCs w:val="28"/>
          <w:color w:val="000750"/>
        </w:rPr>
        <w:t>Where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1430020</wp:posOffset>
            </wp:positionH>
            <wp:positionV relativeFrom="paragraph">
              <wp:posOffset>-77470</wp:posOffset>
            </wp:positionV>
            <wp:extent cx="599948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4">
                      <a:extLst>
                        <a:ext uri="{28A0092B-C50C-407E-A947-70E740481C1C}"/>
                      </a:extLst>
                    </a:blip>
                    <a:srcRect/>
                    <a:stretch>
                      <a:fillRect/>
                    </a:stretch>
                  </pic:blipFill>
                  <pic:spPr bwMode="auto">
                    <a:xfrm>
                      <a:off x="0" y="0"/>
                      <a:ext cx="5999480" cy="25400"/>
                    </a:xfrm>
                    <a:prstGeom prst="rect">
                      <a:avLst/>
                    </a:prstGeom>
                    <a:noFill/>
                  </pic:spPr>
                </pic:pic>
              </a:graphicData>
            </a:graphic>
          </wp:anchor>
        </w:drawing>
      </w:r>
    </w:p>
    <w:p>
      <w:pPr>
        <w:sectPr>
          <w:pgSz w:w="12240" w:h="15840" w:orient="portrait"/>
          <w:cols w:equalWidth="0" w:num="1">
            <w:col w:w="11080"/>
          </w:cols>
          <w:pgMar w:left="540" w:top="621" w:right="620" w:bottom="53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000750"/>
        </w:rPr>
        <w:t>SNFC Corporate Offices</w:t>
      </w:r>
    </w:p>
    <w:p>
      <w:pPr>
        <w:spacing w:after="0" w:line="38" w:lineRule="exact"/>
        <w:rPr>
          <w:sz w:val="20"/>
          <w:szCs w:val="20"/>
          <w:color w:val="auto"/>
        </w:rPr>
      </w:pPr>
    </w:p>
    <w:p>
      <w:pPr>
        <w:ind w:left="700" w:right="200" w:hanging="339"/>
        <w:spacing w:after="0" w:line="269" w:lineRule="auto"/>
        <w:rPr>
          <w:sz w:val="20"/>
          <w:szCs w:val="20"/>
          <w:color w:val="auto"/>
        </w:rPr>
      </w:pPr>
      <w:r>
        <w:rPr>
          <w:rFonts w:ascii="Arial" w:cs="Arial" w:eastAsia="Arial" w:hAnsi="Arial"/>
          <w:sz w:val="15"/>
          <w:szCs w:val="15"/>
          <w:color w:val="auto"/>
        </w:rPr>
        <w:t>Security National Financial Corporation 433 Ascension Way, 6th Floor Salt Lake City, UT 84123</w:t>
      </w:r>
    </w:p>
    <w:p>
      <w:pPr>
        <w:spacing w:after="0" w:line="20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P.O. Box 57250</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Salt Lake City, UT 84157-0250</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(801) 264-1060</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Toll Free: (800) 574-7117</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000750"/>
        </w:rPr>
        <w:t>Form 10-K Offer</w:t>
      </w:r>
    </w:p>
    <w:p>
      <w:pPr>
        <w:spacing w:after="0" w:line="38" w:lineRule="exact"/>
        <w:rPr>
          <w:sz w:val="20"/>
          <w:szCs w:val="20"/>
          <w:color w:val="auto"/>
        </w:rPr>
      </w:pPr>
    </w:p>
    <w:p>
      <w:pPr>
        <w:jc w:val="both"/>
        <w:ind w:right="140"/>
        <w:spacing w:after="0" w:line="275" w:lineRule="auto"/>
        <w:rPr>
          <w:sz w:val="20"/>
          <w:szCs w:val="20"/>
          <w:color w:val="auto"/>
        </w:rPr>
      </w:pPr>
      <w:r>
        <w:rPr>
          <w:rFonts w:ascii="Arial" w:cs="Arial" w:eastAsia="Arial" w:hAnsi="Arial"/>
          <w:sz w:val="15"/>
          <w:szCs w:val="15"/>
          <w:color w:val="auto"/>
        </w:rPr>
        <w:t>If you are a holder or beneficial owner of the company’s stock, the company will send you, upon request and at no charge, a copy of the company’s Annual Report on Form 10-K filed with the Securities &amp; Exchange Commission for the year 2025 (including a list of exhibits). All requests must be made in writing to the Corporate Secretary.</w:t>
      </w:r>
    </w:p>
    <w:p>
      <w:pPr>
        <w:spacing w:after="0" w:line="79" w:lineRule="exact"/>
        <w:rPr>
          <w:sz w:val="20"/>
          <w:szCs w:val="20"/>
          <w:color w:val="auto"/>
        </w:rPr>
      </w:pPr>
    </w:p>
    <w:p>
      <w:pPr>
        <w:ind w:left="700" w:right="200" w:hanging="339"/>
        <w:spacing w:after="0" w:line="260" w:lineRule="auto"/>
        <w:rPr>
          <w:sz w:val="20"/>
          <w:szCs w:val="20"/>
          <w:color w:val="auto"/>
        </w:rPr>
      </w:pPr>
      <w:r>
        <w:rPr>
          <w:rFonts w:ascii="Arial" w:cs="Arial" w:eastAsia="Arial" w:hAnsi="Arial"/>
          <w:sz w:val="15"/>
          <w:szCs w:val="15"/>
          <w:color w:val="auto"/>
        </w:rPr>
        <w:t>Security National Financial Corporation P.O. Box 57250</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Salt Lake City, Utah 84157-0250</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Stock Transfer Agents</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Zions First National Bank</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P.O. Box 30880</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Salt Lake City, UT 84130</w:t>
      </w:r>
    </w:p>
    <w:p>
      <w:pPr>
        <w:spacing w:after="0" w:line="240" w:lineRule="exact"/>
        <w:rPr>
          <w:sz w:val="20"/>
          <w:szCs w:val="20"/>
          <w:color w:val="auto"/>
        </w:rPr>
      </w:pPr>
    </w:p>
    <w:p>
      <w:pPr>
        <w:ind w:left="360"/>
        <w:spacing w:after="0" w:line="260" w:lineRule="auto"/>
        <w:rPr>
          <w:sz w:val="20"/>
          <w:szCs w:val="20"/>
          <w:color w:val="auto"/>
        </w:rPr>
      </w:pPr>
      <w:r>
        <w:rPr>
          <w:rFonts w:ascii="Arial" w:cs="Arial" w:eastAsia="Arial" w:hAnsi="Arial"/>
          <w:sz w:val="15"/>
          <w:szCs w:val="15"/>
          <w:color w:val="auto"/>
        </w:rPr>
        <w:t>Former Holders of Preferred Stock and/or Promissory Notes</w:t>
      </w:r>
    </w:p>
    <w:p>
      <w:pPr>
        <w:spacing w:after="0" w:line="26" w:lineRule="exact"/>
        <w:rPr>
          <w:sz w:val="20"/>
          <w:szCs w:val="20"/>
          <w:color w:val="auto"/>
        </w:rPr>
      </w:pPr>
    </w:p>
    <w:p>
      <w:pPr>
        <w:ind w:left="700" w:right="800"/>
        <w:spacing w:after="0" w:line="260" w:lineRule="auto"/>
        <w:rPr>
          <w:sz w:val="20"/>
          <w:szCs w:val="20"/>
          <w:color w:val="auto"/>
        </w:rPr>
      </w:pPr>
      <w:r>
        <w:rPr>
          <w:rFonts w:ascii="Arial" w:cs="Arial" w:eastAsia="Arial" w:hAnsi="Arial"/>
          <w:sz w:val="15"/>
          <w:szCs w:val="15"/>
          <w:color w:val="auto"/>
        </w:rPr>
        <w:t>Security National Financial Corporation</w:t>
      </w:r>
    </w:p>
    <w:p>
      <w:pPr>
        <w:spacing w:after="0" w:line="14" w:lineRule="exact"/>
        <w:rPr>
          <w:sz w:val="20"/>
          <w:szCs w:val="20"/>
          <w:color w:val="auto"/>
        </w:rPr>
      </w:pPr>
    </w:p>
    <w:p>
      <w:pPr>
        <w:ind w:left="700"/>
        <w:spacing w:after="0"/>
        <w:rPr>
          <w:sz w:val="20"/>
          <w:szCs w:val="20"/>
          <w:color w:val="auto"/>
        </w:rPr>
      </w:pPr>
      <w:r>
        <w:rPr>
          <w:rFonts w:ascii="Arial" w:cs="Arial" w:eastAsia="Arial" w:hAnsi="Arial"/>
          <w:sz w:val="15"/>
          <w:szCs w:val="15"/>
          <w:color w:val="auto"/>
        </w:rPr>
        <w:t>Attn: Stock Department</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P.O. Box 57250</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Salt Lake City, UT 84157-0250</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Certified Public Accountants</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Deloitte &amp; Touche LLP</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Salt Lake City, Utah</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Company E-mail Address: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contact@securitynational.com</w:t>
      </w:r>
    </w:p>
    <w:p>
      <w:pPr>
        <w:spacing w:after="0" w:line="228" w:lineRule="exact"/>
        <w:rPr>
          <w:sz w:val="20"/>
          <w:szCs w:val="20"/>
          <w:color w:val="auto"/>
        </w:rPr>
      </w:pPr>
    </w:p>
    <w:p>
      <w:pPr>
        <w:spacing w:after="0"/>
        <w:rPr>
          <w:sz w:val="20"/>
          <w:szCs w:val="20"/>
          <w:color w:val="auto"/>
        </w:rPr>
      </w:pPr>
      <w:r>
        <w:rPr>
          <w:rFonts w:ascii="Arial" w:cs="Arial" w:eastAsia="Arial" w:hAnsi="Arial"/>
          <w:sz w:val="15"/>
          <w:szCs w:val="15"/>
          <w:color w:val="auto"/>
        </w:rPr>
        <w:t>Company Internet Address: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www.securitynational.com</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180340</wp:posOffset>
                </wp:positionV>
                <wp:extent cx="2235200" cy="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5200" cy="4763"/>
                        </a:xfrm>
                        <a:prstGeom prst="line">
                          <a:avLst/>
                        </a:prstGeom>
                        <a:solidFill>
                          <a:srgbClr val="FFFFFF"/>
                        </a:solidFill>
                        <a:ln w="6350">
                          <a:solidFill>
                            <a:srgbClr val="000750"/>
                          </a:solidFill>
                          <a:miter lim="800000"/>
                          <a:headEnd/>
                          <a:tailEnd/>
                        </a:ln>
                      </wps:spPr>
                      <wps:bodyPr/>
                    </wps:wsp>
                  </a:graphicData>
                </a:graphic>
              </wp:anchor>
            </w:drawing>
          </mc:Choice>
          <mc:Fallback>
            <w:pict>
              <v:line id="Shape 94" o:spid="_x0000_s11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1pt,14.2pt" to="176.1pt,14.2pt" o:allowincell="f" strokecolor="#000750" strokeweight="0.5pt"/>
            </w:pict>
          </mc:Fallback>
        </mc:AlternateConten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000750"/>
        </w:rPr>
        <w:t>Life Insurance Offices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Security National Life Insurance Company</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433 Ascension Way, 6th Floor</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Salt Lake City, UT 84123</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(800) 574-7117</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Security National Life Insurance Company</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Home Service Division</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1080 River Oaks Drive</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Suite #B204</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Flowood, MS 39232</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(800) 826-6803</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Kilpatrick Life Insurance Company</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1818 Marshall St.</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Shreveport, LA 71101</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(800) 235-0555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000750"/>
        </w:rPr>
        <w:t>Fast Funding Offices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C&amp;J Financial, LLC</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200 Market Way</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Rainbow City, AL 35906</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(800) 785-0003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184785</wp:posOffset>
                </wp:positionV>
                <wp:extent cx="2233930" cy="0"/>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3930" cy="4763"/>
                        </a:xfrm>
                        <a:prstGeom prst="line">
                          <a:avLst/>
                        </a:prstGeom>
                        <a:solidFill>
                          <a:srgbClr val="FFFFFF"/>
                        </a:solidFill>
                        <a:ln w="6350">
                          <a:solidFill>
                            <a:srgbClr val="000750"/>
                          </a:solidFill>
                          <a:miter lim="800000"/>
                          <a:headEnd/>
                          <a:tailEnd/>
                        </a:ln>
                      </wps:spPr>
                      <wps:bodyPr/>
                    </wps:wsp>
                  </a:graphicData>
                </a:graphic>
              </wp:anchor>
            </w:drawing>
          </mc:Choice>
          <mc:Fallback>
            <w:pict>
              <v:line id="Shape 95" o:spid="_x0000_s11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4.55pt" to="175.8pt,14.55pt" o:allowincell="f" strokecolor="#000750" strokeweight="0.5pt"/>
            </w:pict>
          </mc:Fallback>
        </mc:AlternateConten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000750"/>
        </w:rPr>
        <w:t>Mortuaries &amp; Cemeteries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Security National Funeral Homes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and Cemeteries Operations</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433 Ascension Way, 6th Floor</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Salt Lake City, UT 84123</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(801) 268-8771</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Memorial Holladay-Cottonwood Mortuary</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4670 S. Highland Drive</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Salt Lake City, UT 84117</w:t>
      </w:r>
    </w:p>
    <w:p>
      <w:pPr>
        <w:spacing w:after="0" w:line="28" w:lineRule="exact"/>
        <w:rPr>
          <w:sz w:val="20"/>
          <w:szCs w:val="20"/>
          <w:color w:val="auto"/>
        </w:rPr>
      </w:pPr>
    </w:p>
    <w:p>
      <w:pPr>
        <w:ind w:left="740"/>
        <w:spacing w:after="0"/>
        <w:rPr>
          <w:sz w:val="20"/>
          <w:szCs w:val="20"/>
          <w:color w:val="auto"/>
        </w:rPr>
      </w:pPr>
      <w:r>
        <w:rPr>
          <w:rFonts w:ascii="Arial" w:cs="Arial" w:eastAsia="Arial" w:hAnsi="Arial"/>
          <w:sz w:val="15"/>
          <w:szCs w:val="15"/>
          <w:color w:val="auto"/>
        </w:rPr>
        <w:t>Telephone: (801) 278-2801</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Memorial Lake Hills Mortuary &amp;</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Cemetery</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10055 S. State Street</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Sandy, UT 84070</w:t>
      </w:r>
    </w:p>
    <w:p>
      <w:pPr>
        <w:spacing w:after="0" w:line="28" w:lineRule="exact"/>
        <w:rPr>
          <w:sz w:val="20"/>
          <w:szCs w:val="20"/>
          <w:color w:val="auto"/>
        </w:rPr>
      </w:pPr>
    </w:p>
    <w:p>
      <w:pPr>
        <w:ind w:left="740"/>
        <w:spacing w:after="0"/>
        <w:rPr>
          <w:sz w:val="20"/>
          <w:szCs w:val="20"/>
          <w:color w:val="auto"/>
        </w:rPr>
      </w:pPr>
      <w:r>
        <w:rPr>
          <w:rFonts w:ascii="Arial" w:cs="Arial" w:eastAsia="Arial" w:hAnsi="Arial"/>
          <w:sz w:val="15"/>
          <w:szCs w:val="15"/>
          <w:color w:val="auto"/>
        </w:rPr>
        <w:t>Telephone: (801) 566-1249</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Memorial Lake View Mortuary &amp; Cemetery</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1640 E. Lakeview Drive</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Bountiful, UT 84010</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(801) 298-1564</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Memorial Murray Mortuary</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5850 S. 900 E.</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Murray, UT 84121</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(801) 262-4631</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Memorial Mountain View Mortuary &amp;</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Cemetery</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3115 E. 7800 S.</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Cottonwood Heights, UT 84121</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(801) 943-0831</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Memorial Redwood Mortuary &amp; Cemetery</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6500 S. Redwood Road</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West Jordan, UT 84123</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(801) 969-3456</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Memorial Holladay Cemetery</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4900 S. Memory Lane</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Holladay, UT 84117</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(801) 278-2803</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Singing Hills Memorial Park</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2800 Dehesa Road</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El Cajon, CA 92019</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(619) 444-3000</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Affordable Funerals &amp; Cremations</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4387 South 500 West</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Murray, UT 84123</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(801) 287-8233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Affordable Funerals &amp; Cremations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St. George Location</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157 E. Riverside Drive #3A</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St. George, UT 84790</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(435) 680-7035</w:t>
      </w:r>
    </w:p>
    <w:p>
      <w:pPr>
        <w:spacing w:after="0" w:line="240" w:lineRule="exact"/>
        <w:rPr>
          <w:sz w:val="20"/>
          <w:szCs w:val="20"/>
          <w:color w:val="auto"/>
        </w:rPr>
      </w:pPr>
    </w:p>
    <w:p>
      <w:pPr>
        <w:ind w:left="700" w:right="700" w:hanging="339"/>
        <w:spacing w:after="0" w:line="272" w:lineRule="auto"/>
        <w:rPr>
          <w:sz w:val="20"/>
          <w:szCs w:val="20"/>
          <w:color w:val="auto"/>
        </w:rPr>
      </w:pPr>
      <w:r>
        <w:rPr>
          <w:rFonts w:ascii="Arial" w:cs="Arial" w:eastAsia="Arial" w:hAnsi="Arial"/>
          <w:sz w:val="15"/>
          <w:szCs w:val="15"/>
          <w:color w:val="auto"/>
        </w:rPr>
        <w:t>Heber Valley Funeral Home 288 N. Main Street Heber City, UT 84032 Telephone: (435) 654-5458</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Probst Family Funeral Home</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79 E. Main Street</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Midway, UT 84049</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(435) 654-5959</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Holbrook Mortuary</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3251 S 2300 E</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Millcreek, UT 84109</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(801) 484-2045</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Rivera Family Funeral Home</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818 Paseo del Pueblo Sur</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Taos, NM 87571</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(575) 758-3841</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Rivera Family Funeral Home &amp; Crematory</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305 Calle Salazar</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Espanola, NM 87532</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(505) 753-2288</w:t>
      </w:r>
    </w:p>
    <w:p>
      <w:pPr>
        <w:spacing w:after="0" w:line="2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Rivera Family Funeral Home</w:t>
      </w:r>
    </w:p>
    <w:p>
      <w:pPr>
        <w:spacing w:after="0" w:line="40" w:lineRule="exact"/>
        <w:rPr>
          <w:sz w:val="20"/>
          <w:szCs w:val="20"/>
          <w:color w:val="auto"/>
        </w:rPr>
      </w:pPr>
    </w:p>
    <w:p>
      <w:pPr>
        <w:ind w:left="700" w:right="720" w:hanging="342"/>
        <w:spacing w:after="0" w:line="272" w:lineRule="auto"/>
        <w:tabs>
          <w:tab w:leader="none" w:pos="509" w:val="left"/>
        </w:tabs>
        <w:numPr>
          <w:ilvl w:val="0"/>
          <w:numId w:val="5"/>
        </w:numPr>
        <w:rPr>
          <w:rFonts w:ascii="Arial" w:cs="Arial" w:eastAsia="Arial" w:hAnsi="Arial"/>
          <w:sz w:val="15"/>
          <w:szCs w:val="15"/>
          <w:color w:val="auto"/>
        </w:rPr>
      </w:pPr>
      <w:r>
        <w:rPr>
          <w:rFonts w:ascii="Arial" w:cs="Arial" w:eastAsia="Arial" w:hAnsi="Arial"/>
          <w:sz w:val="15"/>
          <w:szCs w:val="15"/>
          <w:color w:val="auto"/>
        </w:rPr>
        <w:t>Santa Fe Memorial Gardens 417 East Rodeo Rd. Santa Fe, NM 87505 Telephone: (505) 989-7032</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Rivera Family Funeral Home</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1627 A Central Avenue</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Los Alamos, NM 87544</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(505) 663-6880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184785</wp:posOffset>
                </wp:positionV>
                <wp:extent cx="2234565" cy="0"/>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34565" cy="4763"/>
                        </a:xfrm>
                        <a:prstGeom prst="line">
                          <a:avLst/>
                        </a:prstGeom>
                        <a:solidFill>
                          <a:srgbClr val="FFFFFF"/>
                        </a:solidFill>
                        <a:ln w="6350">
                          <a:solidFill>
                            <a:srgbClr val="000750"/>
                          </a:solidFill>
                          <a:miter lim="800000"/>
                          <a:headEnd/>
                          <a:tailEnd/>
                        </a:ln>
                      </wps:spPr>
                      <wps:bodyPr/>
                    </wps:wsp>
                  </a:graphicData>
                </a:graphic>
              </wp:anchor>
            </w:drawing>
          </mc:Choice>
          <mc:Fallback>
            <w:pict>
              <v:line id="Shape 96" o:spid="_x0000_s11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4.55pt" to="175.85pt,14.55pt" o:allowincell="f" strokecolor="#000750" strokeweight="0.5pt"/>
            </w:pict>
          </mc:Fallback>
        </mc:AlternateConten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000750"/>
        </w:rPr>
        <w:t>Mortgage Offices</w:t>
      </w:r>
    </w:p>
    <w:p>
      <w:pPr>
        <w:spacing w:after="0" w:line="206" w:lineRule="exact"/>
        <w:rPr>
          <w:sz w:val="20"/>
          <w:szCs w:val="20"/>
          <w:color w:val="auto"/>
        </w:rPr>
      </w:pPr>
    </w:p>
    <w:p>
      <w:pPr>
        <w:ind w:left="360"/>
        <w:spacing w:after="0"/>
        <w:rPr>
          <w:sz w:val="20"/>
          <w:szCs w:val="20"/>
          <w:color w:val="auto"/>
        </w:rPr>
      </w:pPr>
      <w:r>
        <w:rPr>
          <w:rFonts w:ascii="Arial" w:cs="Arial" w:eastAsia="Arial" w:hAnsi="Arial"/>
          <w:sz w:val="15"/>
          <w:szCs w:val="15"/>
          <w:color w:val="auto"/>
        </w:rPr>
        <w:t>SecurityNational Mortgage</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Company–Operations</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433 Ascension Way, 5th Floor</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Salt Lake City, UT 84123</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Telephone: (801) 264-8111</w:t>
      </w:r>
    </w:p>
    <w:p>
      <w:pPr>
        <w:spacing w:after="0" w:line="240" w:lineRule="exact"/>
        <w:rPr>
          <w:sz w:val="20"/>
          <w:szCs w:val="20"/>
          <w:color w:val="auto"/>
        </w:rPr>
      </w:pPr>
    </w:p>
    <w:p>
      <w:pPr>
        <w:ind w:left="360" w:right="1080"/>
        <w:spacing w:after="0" w:line="260" w:lineRule="auto"/>
        <w:rPr>
          <w:sz w:val="20"/>
          <w:szCs w:val="20"/>
          <w:color w:val="auto"/>
        </w:rPr>
      </w:pPr>
      <w:r>
        <w:rPr>
          <w:rFonts w:ascii="Arial" w:cs="Arial" w:eastAsia="Arial" w:hAnsi="Arial"/>
          <w:sz w:val="15"/>
          <w:szCs w:val="15"/>
          <w:color w:val="auto"/>
        </w:rPr>
        <w:t>SecurityNational Mortgage Company–Sales Offices</w:t>
      </w:r>
    </w:p>
    <w:p>
      <w:pPr>
        <w:spacing w:after="0" w:line="21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ARIZONA</w:t>
      </w:r>
    </w:p>
    <w:p>
      <w:pPr>
        <w:spacing w:after="0" w:line="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Chandler</w:t>
      </w:r>
    </w:p>
    <w:p>
      <w:pPr>
        <w:spacing w:after="0" w:line="2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2301 S. Stearman Dr, Off #3</w:t>
      </w:r>
    </w:p>
    <w:p>
      <w:pPr>
        <w:spacing w:after="0" w:line="2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Chandler, AZ 85286</w:t>
      </w:r>
    </w:p>
    <w:p>
      <w:pPr>
        <w:spacing w:after="0" w:line="2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Telephone: (844) 820-8699</w:t>
      </w:r>
    </w:p>
    <w:p>
      <w:pPr>
        <w:spacing w:after="0" w:line="228" w:lineRule="exact"/>
        <w:rPr>
          <w:sz w:val="20"/>
          <w:szCs w:val="20"/>
          <w:color w:val="auto"/>
        </w:rPr>
      </w:pPr>
    </w:p>
    <w:p>
      <w:pPr>
        <w:ind w:left="700"/>
        <w:spacing w:after="0"/>
        <w:rPr>
          <w:sz w:val="20"/>
          <w:szCs w:val="20"/>
          <w:color w:val="auto"/>
        </w:rPr>
      </w:pPr>
      <w:r>
        <w:rPr>
          <w:rFonts w:ascii="Arial" w:cs="Arial" w:eastAsia="Arial" w:hAnsi="Arial"/>
          <w:sz w:val="15"/>
          <w:szCs w:val="15"/>
          <w:color w:val="auto"/>
        </w:rPr>
        <w:t>Goodyear</w:t>
      </w:r>
    </w:p>
    <w:p>
      <w:pPr>
        <w:spacing w:after="0" w:line="2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1360 N. Bullard Ave</w:t>
      </w:r>
    </w:p>
    <w:p>
      <w:pPr>
        <w:spacing w:after="0" w:line="2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Suite 200, Off I-207 &amp; J-208</w:t>
      </w:r>
    </w:p>
    <w:p>
      <w:pPr>
        <w:spacing w:after="0" w:line="2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Goodyear, AZ 85395</w:t>
      </w:r>
    </w:p>
    <w:p>
      <w:pPr>
        <w:spacing w:after="0" w:line="2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Telephone: (844) 820-8699</w:t>
      </w:r>
    </w:p>
    <w:p>
      <w:pPr>
        <w:sectPr>
          <w:pgSz w:w="12240" w:h="15840" w:orient="portrait"/>
          <w:cols w:equalWidth="0" w:num="3">
            <w:col w:w="3480" w:space="340"/>
            <w:col w:w="3500" w:space="320"/>
            <w:col w:w="3440"/>
          </w:cols>
          <w:pgMar w:left="540" w:top="621" w:right="620" w:bottom="533"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218"/>
        </w:trPr>
        <w:tc>
          <w:tcPr>
            <w:tcW w:w="4360" w:type="dxa"/>
            <w:vAlign w:val="bottom"/>
            <w:tcBorders>
              <w:bottom w:val="single" w:sz="8" w:color="CCCCCC"/>
            </w:tcBorders>
          </w:tcPr>
          <w:p>
            <w:pPr>
              <w:spacing w:after="0"/>
              <w:rPr>
                <w:sz w:val="18"/>
                <w:szCs w:val="18"/>
                <w:color w:val="auto"/>
              </w:rPr>
            </w:pPr>
          </w:p>
        </w:tc>
        <w:tc>
          <w:tcPr>
            <w:tcW w:w="3860" w:type="dxa"/>
            <w:vAlign w:val="bottom"/>
            <w:tcBorders>
              <w:bottom w:val="single" w:sz="8" w:color="CCCCCC"/>
            </w:tcBorders>
          </w:tcPr>
          <w:p>
            <w:pPr>
              <w:spacing w:after="0"/>
              <w:rPr>
                <w:sz w:val="18"/>
                <w:szCs w:val="18"/>
                <w:color w:val="auto"/>
              </w:rPr>
            </w:pPr>
          </w:p>
        </w:tc>
        <w:tc>
          <w:tcPr>
            <w:tcW w:w="1220" w:type="dxa"/>
            <w:vAlign w:val="bottom"/>
            <w:tcBorders>
              <w:bottom w:val="single" w:sz="8" w:color="CCCCCC"/>
            </w:tcBorders>
          </w:tcPr>
          <w:p>
            <w:pPr>
              <w:spacing w:after="0"/>
              <w:rPr>
                <w:sz w:val="18"/>
                <w:szCs w:val="18"/>
                <w:color w:val="auto"/>
              </w:rPr>
            </w:pPr>
          </w:p>
        </w:tc>
        <w:tc>
          <w:tcPr>
            <w:tcW w:w="2140" w:type="dxa"/>
            <w:vAlign w:val="bottom"/>
            <w:vMerge w:val="restart"/>
          </w:tcPr>
          <w:p>
            <w:pPr>
              <w:ind w:left="360"/>
              <w:spacing w:after="0"/>
              <w:rPr>
                <w:sz w:val="20"/>
                <w:szCs w:val="20"/>
                <w:color w:val="auto"/>
              </w:rPr>
            </w:pPr>
            <w:r>
              <w:rPr>
                <w:rFonts w:ascii="Times New Roman" w:cs="Times New Roman" w:eastAsia="Times New Roman" w:hAnsi="Times New Roman"/>
                <w:sz w:val="28"/>
                <w:szCs w:val="28"/>
                <w:color w:val="000750"/>
              </w:rPr>
              <w:t>Where We Are</w:t>
            </w:r>
          </w:p>
        </w:tc>
        <w:tc>
          <w:tcPr>
            <w:tcW w:w="0" w:type="dxa"/>
            <w:vAlign w:val="bottom"/>
          </w:tcPr>
          <w:p>
            <w:pPr>
              <w:spacing w:after="0"/>
              <w:rPr>
                <w:sz w:val="1"/>
                <w:szCs w:val="1"/>
                <w:color w:val="auto"/>
              </w:rPr>
            </w:pPr>
          </w:p>
        </w:tc>
      </w:tr>
      <w:tr>
        <w:trPr>
          <w:trHeight w:val="148"/>
        </w:trPr>
        <w:tc>
          <w:tcPr>
            <w:tcW w:w="436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26"/>
        </w:trPr>
        <w:tc>
          <w:tcPr>
            <w:tcW w:w="4360" w:type="dxa"/>
            <w:vAlign w:val="bottom"/>
          </w:tcPr>
          <w:p>
            <w:pPr>
              <w:spacing w:after="0"/>
              <w:rPr>
                <w:sz w:val="24"/>
                <w:szCs w:val="24"/>
                <w:color w:val="auto"/>
              </w:rPr>
            </w:pPr>
          </w:p>
        </w:tc>
        <w:tc>
          <w:tcPr>
            <w:tcW w:w="3860" w:type="dxa"/>
            <w:vAlign w:val="bottom"/>
          </w:tcPr>
          <w:p>
            <w:pPr>
              <w:ind w:left="660"/>
              <w:spacing w:after="0"/>
              <w:rPr>
                <w:sz w:val="20"/>
                <w:szCs w:val="20"/>
                <w:color w:val="auto"/>
              </w:rPr>
            </w:pPr>
            <w:r>
              <w:rPr>
                <w:rFonts w:ascii="Arial" w:cs="Arial" w:eastAsia="Arial" w:hAnsi="Arial"/>
                <w:sz w:val="15"/>
                <w:szCs w:val="15"/>
                <w:color w:val="auto"/>
              </w:rPr>
              <w:t>Edwards</w:t>
            </w:r>
          </w:p>
        </w:tc>
        <w:tc>
          <w:tcPr>
            <w:tcW w:w="3360" w:type="dxa"/>
            <w:vAlign w:val="bottom"/>
            <w:gridSpan w:val="2"/>
          </w:tcPr>
          <w:p>
            <w:pPr>
              <w:ind w:left="660"/>
              <w:spacing w:after="0"/>
              <w:rPr>
                <w:sz w:val="20"/>
                <w:szCs w:val="20"/>
                <w:color w:val="auto"/>
              </w:rPr>
            </w:pPr>
            <w:r>
              <w:rPr>
                <w:rFonts w:ascii="Arial" w:cs="Arial" w:eastAsia="Arial" w:hAnsi="Arial"/>
                <w:sz w:val="15"/>
                <w:szCs w:val="15"/>
                <w:color w:val="auto"/>
              </w:rPr>
              <w:t>Lihue</w:t>
            </w:r>
          </w:p>
        </w:tc>
        <w:tc>
          <w:tcPr>
            <w:tcW w:w="0" w:type="dxa"/>
            <w:vAlign w:val="bottom"/>
          </w:tcPr>
          <w:p>
            <w:pPr>
              <w:spacing w:after="0"/>
              <w:rPr>
                <w:sz w:val="1"/>
                <w:szCs w:val="1"/>
                <w:color w:val="auto"/>
              </w:rPr>
            </w:pPr>
          </w:p>
        </w:tc>
      </w:tr>
      <w:tr>
        <w:trPr>
          <w:trHeight w:val="200"/>
        </w:trPr>
        <w:tc>
          <w:tcPr>
            <w:tcW w:w="4360" w:type="dxa"/>
            <w:vAlign w:val="bottom"/>
          </w:tcPr>
          <w:p>
            <w:pPr>
              <w:ind w:left="1220"/>
              <w:spacing w:after="0"/>
              <w:rPr>
                <w:sz w:val="20"/>
                <w:szCs w:val="20"/>
                <w:color w:val="auto"/>
              </w:rPr>
            </w:pPr>
            <w:r>
              <w:rPr>
                <w:rFonts w:ascii="Arial" w:cs="Arial" w:eastAsia="Arial" w:hAnsi="Arial"/>
                <w:sz w:val="15"/>
                <w:szCs w:val="15"/>
                <w:color w:val="auto"/>
              </w:rPr>
              <w:t>15150 W. Park Place, Ste 215, Off 2041</w:t>
            </w:r>
          </w:p>
        </w:tc>
        <w:tc>
          <w:tcPr>
            <w:tcW w:w="3860" w:type="dxa"/>
            <w:vAlign w:val="bottom"/>
          </w:tcPr>
          <w:p>
            <w:pPr>
              <w:ind w:left="860"/>
              <w:spacing w:after="0"/>
              <w:rPr>
                <w:sz w:val="20"/>
                <w:szCs w:val="20"/>
                <w:color w:val="auto"/>
              </w:rPr>
            </w:pPr>
            <w:r>
              <w:rPr>
                <w:rFonts w:ascii="Arial" w:cs="Arial" w:eastAsia="Arial" w:hAnsi="Arial"/>
                <w:sz w:val="15"/>
                <w:szCs w:val="15"/>
                <w:color w:val="auto"/>
              </w:rPr>
              <w:t>27 Main Street, Suite C-104B</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4370 Kukui Grove Street</w:t>
            </w:r>
          </w:p>
        </w:tc>
        <w:tc>
          <w:tcPr>
            <w:tcW w:w="0" w:type="dxa"/>
            <w:vAlign w:val="bottom"/>
          </w:tcPr>
          <w:p>
            <w:pPr>
              <w:spacing w:after="0"/>
              <w:rPr>
                <w:sz w:val="1"/>
                <w:szCs w:val="1"/>
                <w:color w:val="auto"/>
              </w:rPr>
            </w:pPr>
          </w:p>
        </w:tc>
      </w:tr>
      <w:tr>
        <w:trPr>
          <w:trHeight w:val="200"/>
        </w:trPr>
        <w:tc>
          <w:tcPr>
            <w:tcW w:w="4360" w:type="dxa"/>
            <w:vAlign w:val="bottom"/>
          </w:tcPr>
          <w:p>
            <w:pPr>
              <w:ind w:left="1220"/>
              <w:spacing w:after="0"/>
              <w:rPr>
                <w:sz w:val="20"/>
                <w:szCs w:val="20"/>
                <w:color w:val="auto"/>
              </w:rPr>
            </w:pPr>
            <w:r>
              <w:rPr>
                <w:rFonts w:ascii="Arial" w:cs="Arial" w:eastAsia="Arial" w:hAnsi="Arial"/>
                <w:sz w:val="15"/>
                <w:szCs w:val="15"/>
                <w:color w:val="auto"/>
              </w:rPr>
              <w:t>Goodyear, AZ 85395</w:t>
            </w:r>
          </w:p>
        </w:tc>
        <w:tc>
          <w:tcPr>
            <w:tcW w:w="3860" w:type="dxa"/>
            <w:vAlign w:val="bottom"/>
          </w:tcPr>
          <w:p>
            <w:pPr>
              <w:ind w:left="860"/>
              <w:spacing w:after="0"/>
              <w:rPr>
                <w:sz w:val="20"/>
                <w:szCs w:val="20"/>
                <w:color w:val="auto"/>
              </w:rPr>
            </w:pPr>
            <w:r>
              <w:rPr>
                <w:rFonts w:ascii="Arial" w:cs="Arial" w:eastAsia="Arial" w:hAnsi="Arial"/>
                <w:sz w:val="15"/>
                <w:szCs w:val="15"/>
                <w:color w:val="auto"/>
              </w:rPr>
              <w:t>Edwards, CO 81632</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Suite #201</w:t>
            </w:r>
          </w:p>
        </w:tc>
        <w:tc>
          <w:tcPr>
            <w:tcW w:w="0" w:type="dxa"/>
            <w:vAlign w:val="bottom"/>
          </w:tcPr>
          <w:p>
            <w:pPr>
              <w:spacing w:after="0"/>
              <w:rPr>
                <w:sz w:val="1"/>
                <w:szCs w:val="1"/>
                <w:color w:val="auto"/>
              </w:rPr>
            </w:pPr>
          </w:p>
        </w:tc>
      </w:tr>
      <w:tr>
        <w:trPr>
          <w:trHeight w:val="200"/>
        </w:trPr>
        <w:tc>
          <w:tcPr>
            <w:tcW w:w="4360" w:type="dxa"/>
            <w:vAlign w:val="bottom"/>
          </w:tcPr>
          <w:p>
            <w:pPr>
              <w:ind w:left="1220"/>
              <w:spacing w:after="0"/>
              <w:rPr>
                <w:sz w:val="20"/>
                <w:szCs w:val="20"/>
                <w:color w:val="auto"/>
              </w:rPr>
            </w:pPr>
            <w:r>
              <w:rPr>
                <w:rFonts w:ascii="Arial" w:cs="Arial" w:eastAsia="Arial" w:hAnsi="Arial"/>
                <w:sz w:val="15"/>
                <w:szCs w:val="15"/>
                <w:color w:val="auto"/>
              </w:rPr>
              <w:t>Telephone: (844) 820-8699</w:t>
            </w:r>
          </w:p>
        </w:tc>
        <w:tc>
          <w:tcPr>
            <w:tcW w:w="3860" w:type="dxa"/>
            <w:vAlign w:val="bottom"/>
          </w:tcPr>
          <w:p>
            <w:pPr>
              <w:ind w:left="860"/>
              <w:spacing w:after="0"/>
              <w:rPr>
                <w:sz w:val="20"/>
                <w:szCs w:val="20"/>
                <w:color w:val="auto"/>
              </w:rPr>
            </w:pPr>
            <w:r>
              <w:rPr>
                <w:rFonts w:ascii="Arial" w:cs="Arial" w:eastAsia="Arial" w:hAnsi="Arial"/>
                <w:sz w:val="15"/>
                <w:szCs w:val="15"/>
                <w:color w:val="auto"/>
              </w:rPr>
              <w:t>Telephone: (970) 331-2919</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Lihue, HI 96766</w:t>
            </w: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Telephone: (808) 823-8050</w:t>
            </w:r>
          </w:p>
        </w:tc>
        <w:tc>
          <w:tcPr>
            <w:tcW w:w="0" w:type="dxa"/>
            <w:vAlign w:val="bottom"/>
          </w:tcPr>
          <w:p>
            <w:pPr>
              <w:spacing w:after="0"/>
              <w:rPr>
                <w:sz w:val="1"/>
                <w:szCs w:val="1"/>
                <w:color w:val="auto"/>
              </w:rPr>
            </w:pPr>
          </w:p>
        </w:tc>
      </w:tr>
      <w:tr>
        <w:trPr>
          <w:trHeight w:val="200"/>
        </w:trPr>
        <w:tc>
          <w:tcPr>
            <w:tcW w:w="4360" w:type="dxa"/>
            <w:vAlign w:val="bottom"/>
          </w:tcPr>
          <w:p>
            <w:pPr>
              <w:ind w:left="1220"/>
              <w:spacing w:after="0"/>
              <w:rPr>
                <w:sz w:val="20"/>
                <w:szCs w:val="20"/>
                <w:color w:val="auto"/>
              </w:rPr>
            </w:pPr>
            <w:r>
              <w:rPr>
                <w:rFonts w:ascii="Arial" w:cs="Arial" w:eastAsia="Arial" w:hAnsi="Arial"/>
                <w:sz w:val="15"/>
                <w:szCs w:val="15"/>
                <w:color w:val="auto"/>
              </w:rPr>
              <w:t>Mesa</w:t>
            </w:r>
          </w:p>
        </w:tc>
        <w:tc>
          <w:tcPr>
            <w:tcW w:w="3860" w:type="dxa"/>
            <w:vAlign w:val="bottom"/>
          </w:tcPr>
          <w:p>
            <w:pPr>
              <w:ind w:left="320"/>
              <w:spacing w:after="0"/>
              <w:rPr>
                <w:sz w:val="20"/>
                <w:szCs w:val="20"/>
                <w:color w:val="auto"/>
              </w:rPr>
            </w:pPr>
            <w:r>
              <w:rPr>
                <w:rFonts w:ascii="Arial" w:cs="Arial" w:eastAsia="Arial" w:hAnsi="Arial"/>
                <w:sz w:val="15"/>
                <w:szCs w:val="15"/>
                <w:color w:val="auto"/>
              </w:rPr>
              <w:t>CONNECTICUT</w:t>
            </w:r>
          </w:p>
        </w:tc>
        <w:tc>
          <w:tcPr>
            <w:tcW w:w="1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1630 S. Stapley Dr, Ste 206</w:t>
            </w:r>
          </w:p>
        </w:tc>
        <w:tc>
          <w:tcPr>
            <w:tcW w:w="3860" w:type="dxa"/>
            <w:vAlign w:val="bottom"/>
          </w:tcPr>
          <w:p>
            <w:pPr>
              <w:ind w:left="660"/>
              <w:spacing w:after="0"/>
              <w:rPr>
                <w:sz w:val="20"/>
                <w:szCs w:val="20"/>
                <w:color w:val="auto"/>
              </w:rPr>
            </w:pPr>
            <w:r>
              <w:rPr>
                <w:rFonts w:ascii="Arial" w:cs="Arial" w:eastAsia="Arial" w:hAnsi="Arial"/>
                <w:sz w:val="15"/>
                <w:szCs w:val="15"/>
                <w:color w:val="auto"/>
              </w:rPr>
              <w:t>Glastonbury</w:t>
            </w:r>
          </w:p>
        </w:tc>
        <w:tc>
          <w:tcPr>
            <w:tcW w:w="3360" w:type="dxa"/>
            <w:vAlign w:val="bottom"/>
            <w:gridSpan w:val="2"/>
          </w:tcPr>
          <w:p>
            <w:pPr>
              <w:ind w:left="660"/>
              <w:spacing w:after="0"/>
              <w:rPr>
                <w:sz w:val="20"/>
                <w:szCs w:val="20"/>
                <w:color w:val="auto"/>
              </w:rPr>
            </w:pPr>
            <w:r>
              <w:rPr>
                <w:rFonts w:ascii="Arial" w:cs="Arial" w:eastAsia="Arial" w:hAnsi="Arial"/>
                <w:sz w:val="15"/>
                <w:szCs w:val="15"/>
                <w:color w:val="auto"/>
              </w:rPr>
              <w:t>Wailuku</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Mesa, AZ 85204</w:t>
            </w:r>
          </w:p>
        </w:tc>
        <w:tc>
          <w:tcPr>
            <w:tcW w:w="3860" w:type="dxa"/>
            <w:vAlign w:val="bottom"/>
          </w:tcPr>
          <w:p>
            <w:pPr>
              <w:ind w:left="860"/>
              <w:spacing w:after="0"/>
              <w:rPr>
                <w:sz w:val="20"/>
                <w:szCs w:val="20"/>
                <w:color w:val="auto"/>
              </w:rPr>
            </w:pPr>
            <w:r>
              <w:rPr>
                <w:rFonts w:ascii="Arial" w:cs="Arial" w:eastAsia="Arial" w:hAnsi="Arial"/>
                <w:sz w:val="15"/>
                <w:szCs w:val="15"/>
                <w:color w:val="auto"/>
              </w:rPr>
              <w:t>447 Naubuc Ave, Unit 110</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1955 Main St, Ste 301</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Telephone: (866) 718-2929</w:t>
            </w:r>
          </w:p>
        </w:tc>
        <w:tc>
          <w:tcPr>
            <w:tcW w:w="3860" w:type="dxa"/>
            <w:vAlign w:val="bottom"/>
          </w:tcPr>
          <w:p>
            <w:pPr>
              <w:ind w:left="860"/>
              <w:spacing w:after="0"/>
              <w:rPr>
                <w:sz w:val="20"/>
                <w:szCs w:val="20"/>
                <w:color w:val="auto"/>
              </w:rPr>
            </w:pPr>
            <w:r>
              <w:rPr>
                <w:rFonts w:ascii="Arial" w:cs="Arial" w:eastAsia="Arial" w:hAnsi="Arial"/>
                <w:sz w:val="15"/>
                <w:szCs w:val="15"/>
                <w:color w:val="auto"/>
              </w:rPr>
              <w:t>Glastonbury, CT 06033</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Wailuku, HI 96793</w:t>
            </w: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3860" w:type="dxa"/>
            <w:vAlign w:val="bottom"/>
          </w:tcPr>
          <w:p>
            <w:pPr>
              <w:ind w:left="860"/>
              <w:spacing w:after="0"/>
              <w:rPr>
                <w:sz w:val="20"/>
                <w:szCs w:val="20"/>
                <w:color w:val="auto"/>
              </w:rPr>
            </w:pPr>
            <w:r>
              <w:rPr>
                <w:rFonts w:ascii="Arial" w:cs="Arial" w:eastAsia="Arial" w:hAnsi="Arial"/>
                <w:sz w:val="15"/>
                <w:szCs w:val="15"/>
                <w:color w:val="auto"/>
              </w:rPr>
              <w:t>Telephone: (844) 323-4640</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Telephone: (844) 820-8699</w:t>
            </w:r>
          </w:p>
        </w:tc>
        <w:tc>
          <w:tcPr>
            <w:tcW w:w="0" w:type="dxa"/>
            <w:vAlign w:val="bottom"/>
          </w:tcPr>
          <w:p>
            <w:pPr>
              <w:spacing w:after="0"/>
              <w:rPr>
                <w:sz w:val="1"/>
                <w:szCs w:val="1"/>
                <w:color w:val="auto"/>
              </w:rPr>
            </w:pPr>
          </w:p>
        </w:tc>
      </w:tr>
      <w:tr>
        <w:trPr>
          <w:trHeight w:val="200"/>
        </w:trPr>
        <w:tc>
          <w:tcPr>
            <w:tcW w:w="4360" w:type="dxa"/>
            <w:vAlign w:val="bottom"/>
          </w:tcPr>
          <w:p>
            <w:pPr>
              <w:ind w:left="1220"/>
              <w:spacing w:after="0"/>
              <w:rPr>
                <w:sz w:val="20"/>
                <w:szCs w:val="20"/>
                <w:color w:val="auto"/>
              </w:rPr>
            </w:pPr>
            <w:r>
              <w:rPr>
                <w:rFonts w:ascii="Arial" w:cs="Arial" w:eastAsia="Arial" w:hAnsi="Arial"/>
                <w:sz w:val="15"/>
                <w:szCs w:val="15"/>
                <w:color w:val="auto"/>
              </w:rPr>
              <w:t>Phoenix</w:t>
            </w:r>
          </w:p>
        </w:tc>
        <w:tc>
          <w:tcPr>
            <w:tcW w:w="38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5100 N. 99th Ave, Unit 101</w:t>
            </w:r>
          </w:p>
        </w:tc>
        <w:tc>
          <w:tcPr>
            <w:tcW w:w="3860" w:type="dxa"/>
            <w:vAlign w:val="bottom"/>
          </w:tcPr>
          <w:p>
            <w:pPr>
              <w:ind w:left="660"/>
              <w:spacing w:after="0"/>
              <w:rPr>
                <w:sz w:val="20"/>
                <w:szCs w:val="20"/>
                <w:color w:val="auto"/>
              </w:rPr>
            </w:pPr>
            <w:r>
              <w:rPr>
                <w:rFonts w:ascii="Arial" w:cs="Arial" w:eastAsia="Arial" w:hAnsi="Arial"/>
                <w:sz w:val="15"/>
                <w:szCs w:val="15"/>
                <w:color w:val="auto"/>
              </w:rPr>
              <w:t>Milford</w:t>
            </w:r>
          </w:p>
        </w:tc>
        <w:tc>
          <w:tcPr>
            <w:tcW w:w="3360" w:type="dxa"/>
            <w:vAlign w:val="bottom"/>
            <w:gridSpan w:val="2"/>
          </w:tcPr>
          <w:p>
            <w:pPr>
              <w:ind w:left="320"/>
              <w:spacing w:after="0"/>
              <w:rPr>
                <w:sz w:val="20"/>
                <w:szCs w:val="20"/>
                <w:color w:val="auto"/>
              </w:rPr>
            </w:pPr>
            <w:r>
              <w:rPr>
                <w:rFonts w:ascii="Arial" w:cs="Arial" w:eastAsia="Arial" w:hAnsi="Arial"/>
                <w:sz w:val="15"/>
                <w:szCs w:val="15"/>
                <w:color w:val="auto"/>
              </w:rPr>
              <w:t>IDAHO</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Phoenix, AZ 85037</w:t>
            </w:r>
          </w:p>
        </w:tc>
        <w:tc>
          <w:tcPr>
            <w:tcW w:w="3860" w:type="dxa"/>
            <w:vAlign w:val="bottom"/>
          </w:tcPr>
          <w:p>
            <w:pPr>
              <w:ind w:left="860"/>
              <w:spacing w:after="0"/>
              <w:rPr>
                <w:sz w:val="20"/>
                <w:szCs w:val="20"/>
                <w:color w:val="auto"/>
              </w:rPr>
            </w:pPr>
            <w:r>
              <w:rPr>
                <w:rFonts w:ascii="Arial" w:cs="Arial" w:eastAsia="Arial" w:hAnsi="Arial"/>
                <w:sz w:val="15"/>
                <w:szCs w:val="15"/>
                <w:color w:val="auto"/>
              </w:rPr>
              <w:t>84 Broad St, 2nd Flr, Rm #6</w:t>
            </w:r>
          </w:p>
        </w:tc>
        <w:tc>
          <w:tcPr>
            <w:tcW w:w="3360" w:type="dxa"/>
            <w:vAlign w:val="bottom"/>
            <w:gridSpan w:val="2"/>
          </w:tcPr>
          <w:p>
            <w:pPr>
              <w:ind w:left="660"/>
              <w:spacing w:after="0"/>
              <w:rPr>
                <w:sz w:val="20"/>
                <w:szCs w:val="20"/>
                <w:color w:val="auto"/>
              </w:rPr>
            </w:pPr>
            <w:r>
              <w:rPr>
                <w:rFonts w:ascii="Arial" w:cs="Arial" w:eastAsia="Arial" w:hAnsi="Arial"/>
                <w:sz w:val="15"/>
                <w:szCs w:val="15"/>
                <w:color w:val="auto"/>
              </w:rPr>
              <w:t>Twin Falls</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Telephone: (602) 273-9610</w:t>
            </w:r>
          </w:p>
        </w:tc>
        <w:tc>
          <w:tcPr>
            <w:tcW w:w="3860" w:type="dxa"/>
            <w:vAlign w:val="bottom"/>
          </w:tcPr>
          <w:p>
            <w:pPr>
              <w:ind w:left="860"/>
              <w:spacing w:after="0"/>
              <w:rPr>
                <w:sz w:val="20"/>
                <w:szCs w:val="20"/>
                <w:color w:val="auto"/>
              </w:rPr>
            </w:pPr>
            <w:r>
              <w:rPr>
                <w:rFonts w:ascii="Arial" w:cs="Arial" w:eastAsia="Arial" w:hAnsi="Arial"/>
                <w:sz w:val="15"/>
                <w:szCs w:val="15"/>
                <w:color w:val="auto"/>
              </w:rPr>
              <w:t>Milford, CT 06460</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205 Shoshone St N, Ste 202</w:t>
            </w: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3860" w:type="dxa"/>
            <w:vAlign w:val="bottom"/>
          </w:tcPr>
          <w:p>
            <w:pPr>
              <w:ind w:left="860"/>
              <w:spacing w:after="0"/>
              <w:rPr>
                <w:sz w:val="20"/>
                <w:szCs w:val="20"/>
                <w:color w:val="auto"/>
              </w:rPr>
            </w:pPr>
            <w:r>
              <w:rPr>
                <w:rFonts w:ascii="Arial" w:cs="Arial" w:eastAsia="Arial" w:hAnsi="Arial"/>
                <w:sz w:val="15"/>
                <w:szCs w:val="15"/>
                <w:color w:val="auto"/>
              </w:rPr>
              <w:t>Telephone: (844) 323-4640</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Twin Falls, ID 83301</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1951 West Camelback Road</w:t>
            </w:r>
          </w:p>
        </w:tc>
        <w:tc>
          <w:tcPr>
            <w:tcW w:w="3860" w:type="dxa"/>
            <w:vAlign w:val="bottom"/>
          </w:tcPr>
          <w:p>
            <w:pPr>
              <w:spacing w:after="0"/>
              <w:rPr>
                <w:sz w:val="17"/>
                <w:szCs w:val="17"/>
                <w:color w:val="auto"/>
              </w:rPr>
            </w:pP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Telephone: (844) 820-8699</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Ste 200</w:t>
            </w:r>
          </w:p>
        </w:tc>
        <w:tc>
          <w:tcPr>
            <w:tcW w:w="3860" w:type="dxa"/>
            <w:vAlign w:val="bottom"/>
          </w:tcPr>
          <w:p>
            <w:pPr>
              <w:ind w:left="660"/>
              <w:spacing w:after="0"/>
              <w:rPr>
                <w:sz w:val="20"/>
                <w:szCs w:val="20"/>
                <w:color w:val="auto"/>
              </w:rPr>
            </w:pPr>
            <w:r>
              <w:rPr>
                <w:rFonts w:ascii="Arial" w:cs="Arial" w:eastAsia="Arial" w:hAnsi="Arial"/>
                <w:sz w:val="15"/>
                <w:szCs w:val="15"/>
                <w:color w:val="auto"/>
              </w:rPr>
              <w:t>Vernon</w:t>
            </w:r>
          </w:p>
        </w:tc>
        <w:tc>
          <w:tcPr>
            <w:tcW w:w="1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Phoenix, AZ 85015</w:t>
            </w:r>
          </w:p>
        </w:tc>
        <w:tc>
          <w:tcPr>
            <w:tcW w:w="3860" w:type="dxa"/>
            <w:vAlign w:val="bottom"/>
          </w:tcPr>
          <w:p>
            <w:pPr>
              <w:ind w:left="860"/>
              <w:spacing w:after="0"/>
              <w:rPr>
                <w:sz w:val="20"/>
                <w:szCs w:val="20"/>
                <w:color w:val="auto"/>
              </w:rPr>
            </w:pPr>
            <w:r>
              <w:rPr>
                <w:rFonts w:ascii="Arial" w:cs="Arial" w:eastAsia="Arial" w:hAnsi="Arial"/>
                <w:sz w:val="15"/>
                <w:szCs w:val="15"/>
                <w:color w:val="auto"/>
              </w:rPr>
              <w:t>15 Lakeview Dr.</w:t>
            </w:r>
          </w:p>
        </w:tc>
        <w:tc>
          <w:tcPr>
            <w:tcW w:w="3360" w:type="dxa"/>
            <w:vAlign w:val="bottom"/>
            <w:gridSpan w:val="2"/>
          </w:tcPr>
          <w:p>
            <w:pPr>
              <w:ind w:left="320"/>
              <w:spacing w:after="0"/>
              <w:rPr>
                <w:sz w:val="20"/>
                <w:szCs w:val="20"/>
                <w:color w:val="auto"/>
              </w:rPr>
            </w:pPr>
            <w:r>
              <w:rPr>
                <w:rFonts w:ascii="Arial" w:cs="Arial" w:eastAsia="Arial" w:hAnsi="Arial"/>
                <w:sz w:val="15"/>
                <w:szCs w:val="15"/>
                <w:color w:val="auto"/>
              </w:rPr>
              <w:t>ILLINOIS</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Telephone: (602) 354-7461</w:t>
            </w:r>
          </w:p>
        </w:tc>
        <w:tc>
          <w:tcPr>
            <w:tcW w:w="3860" w:type="dxa"/>
            <w:vAlign w:val="bottom"/>
          </w:tcPr>
          <w:p>
            <w:pPr>
              <w:ind w:left="860"/>
              <w:spacing w:after="0"/>
              <w:rPr>
                <w:sz w:val="20"/>
                <w:szCs w:val="20"/>
                <w:color w:val="auto"/>
              </w:rPr>
            </w:pPr>
            <w:r>
              <w:rPr>
                <w:rFonts w:ascii="Arial" w:cs="Arial" w:eastAsia="Arial" w:hAnsi="Arial"/>
                <w:sz w:val="15"/>
                <w:szCs w:val="15"/>
                <w:color w:val="auto"/>
              </w:rPr>
              <w:t>Vernon, CT 06066</w:t>
            </w:r>
          </w:p>
        </w:tc>
        <w:tc>
          <w:tcPr>
            <w:tcW w:w="3360" w:type="dxa"/>
            <w:vAlign w:val="bottom"/>
            <w:gridSpan w:val="2"/>
          </w:tcPr>
          <w:p>
            <w:pPr>
              <w:ind w:left="660"/>
              <w:spacing w:after="0"/>
              <w:rPr>
                <w:sz w:val="20"/>
                <w:szCs w:val="20"/>
                <w:color w:val="auto"/>
              </w:rPr>
            </w:pPr>
            <w:r>
              <w:rPr>
                <w:rFonts w:ascii="Arial" w:cs="Arial" w:eastAsia="Arial" w:hAnsi="Arial"/>
                <w:sz w:val="15"/>
                <w:szCs w:val="15"/>
                <w:color w:val="auto"/>
              </w:rPr>
              <w:t>Roselle</w:t>
            </w: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3860" w:type="dxa"/>
            <w:vAlign w:val="bottom"/>
          </w:tcPr>
          <w:p>
            <w:pPr>
              <w:ind w:left="860"/>
              <w:spacing w:after="0"/>
              <w:rPr>
                <w:sz w:val="20"/>
                <w:szCs w:val="20"/>
                <w:color w:val="auto"/>
              </w:rPr>
            </w:pPr>
            <w:r>
              <w:rPr>
                <w:rFonts w:ascii="Arial" w:cs="Arial" w:eastAsia="Arial" w:hAnsi="Arial"/>
                <w:sz w:val="15"/>
                <w:szCs w:val="15"/>
                <w:color w:val="auto"/>
              </w:rPr>
              <w:t>Telephone: (860) 604-1688</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1350 Lake St, Ste 006 &amp; 007</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705 E. Coronado Rd</w:t>
            </w:r>
          </w:p>
        </w:tc>
        <w:tc>
          <w:tcPr>
            <w:tcW w:w="3860" w:type="dxa"/>
            <w:vAlign w:val="bottom"/>
          </w:tcPr>
          <w:p>
            <w:pPr>
              <w:spacing w:after="0"/>
              <w:rPr>
                <w:sz w:val="17"/>
                <w:szCs w:val="17"/>
                <w:color w:val="auto"/>
              </w:rPr>
            </w:pP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Roselle, IL 60172</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Phoenix, AZ 85006</w:t>
            </w:r>
          </w:p>
        </w:tc>
        <w:tc>
          <w:tcPr>
            <w:tcW w:w="3860" w:type="dxa"/>
            <w:vAlign w:val="bottom"/>
          </w:tcPr>
          <w:p>
            <w:pPr>
              <w:ind w:left="320"/>
              <w:spacing w:after="0"/>
              <w:rPr>
                <w:sz w:val="20"/>
                <w:szCs w:val="20"/>
                <w:color w:val="auto"/>
              </w:rPr>
            </w:pPr>
            <w:r>
              <w:rPr>
                <w:rFonts w:ascii="Arial" w:cs="Arial" w:eastAsia="Arial" w:hAnsi="Arial"/>
                <w:sz w:val="15"/>
                <w:szCs w:val="15"/>
                <w:color w:val="auto"/>
              </w:rPr>
              <w:t>FLORIDA</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Telephone: (866) 718-2929</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Telephone: (844) 820-8699</w:t>
            </w:r>
          </w:p>
        </w:tc>
        <w:tc>
          <w:tcPr>
            <w:tcW w:w="3860" w:type="dxa"/>
            <w:vAlign w:val="bottom"/>
          </w:tcPr>
          <w:p>
            <w:pPr>
              <w:ind w:left="660"/>
              <w:spacing w:after="0"/>
              <w:rPr>
                <w:sz w:val="20"/>
                <w:szCs w:val="20"/>
                <w:color w:val="auto"/>
              </w:rPr>
            </w:pPr>
            <w:r>
              <w:rPr>
                <w:rFonts w:ascii="Arial" w:cs="Arial" w:eastAsia="Arial" w:hAnsi="Arial"/>
                <w:sz w:val="15"/>
                <w:szCs w:val="15"/>
                <w:color w:val="auto"/>
              </w:rPr>
              <w:t>Cape Coral</w:t>
            </w:r>
          </w:p>
        </w:tc>
        <w:tc>
          <w:tcPr>
            <w:tcW w:w="1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3860" w:type="dxa"/>
            <w:vAlign w:val="bottom"/>
          </w:tcPr>
          <w:p>
            <w:pPr>
              <w:ind w:left="860"/>
              <w:spacing w:after="0"/>
              <w:rPr>
                <w:sz w:val="20"/>
                <w:szCs w:val="20"/>
                <w:color w:val="auto"/>
              </w:rPr>
            </w:pPr>
            <w:r>
              <w:rPr>
                <w:rFonts w:ascii="Arial" w:cs="Arial" w:eastAsia="Arial" w:hAnsi="Arial"/>
                <w:sz w:val="15"/>
                <w:szCs w:val="15"/>
                <w:color w:val="auto"/>
              </w:rPr>
              <w:t>2326 Del Prado Blvd, Unit 18C</w:t>
            </w:r>
          </w:p>
        </w:tc>
        <w:tc>
          <w:tcPr>
            <w:tcW w:w="3360" w:type="dxa"/>
            <w:vAlign w:val="bottom"/>
            <w:gridSpan w:val="2"/>
          </w:tcPr>
          <w:p>
            <w:pPr>
              <w:ind w:left="320"/>
              <w:spacing w:after="0"/>
              <w:rPr>
                <w:sz w:val="20"/>
                <w:szCs w:val="20"/>
                <w:color w:val="auto"/>
              </w:rPr>
            </w:pPr>
            <w:r>
              <w:rPr>
                <w:rFonts w:ascii="Arial" w:cs="Arial" w:eastAsia="Arial" w:hAnsi="Arial"/>
                <w:sz w:val="15"/>
                <w:szCs w:val="15"/>
                <w:color w:val="auto"/>
              </w:rPr>
              <w:t>INDIANA</w:t>
            </w:r>
          </w:p>
        </w:tc>
        <w:tc>
          <w:tcPr>
            <w:tcW w:w="0" w:type="dxa"/>
            <w:vAlign w:val="bottom"/>
          </w:tcPr>
          <w:p>
            <w:pPr>
              <w:spacing w:after="0"/>
              <w:rPr>
                <w:sz w:val="1"/>
                <w:szCs w:val="1"/>
                <w:color w:val="auto"/>
              </w:rPr>
            </w:pPr>
          </w:p>
        </w:tc>
      </w:tr>
      <w:tr>
        <w:trPr>
          <w:trHeight w:val="200"/>
        </w:trPr>
        <w:tc>
          <w:tcPr>
            <w:tcW w:w="4360" w:type="dxa"/>
            <w:vAlign w:val="bottom"/>
          </w:tcPr>
          <w:p>
            <w:pPr>
              <w:ind w:left="880"/>
              <w:spacing w:after="0"/>
              <w:rPr>
                <w:sz w:val="20"/>
                <w:szCs w:val="20"/>
                <w:color w:val="auto"/>
              </w:rPr>
            </w:pPr>
            <w:r>
              <w:rPr>
                <w:rFonts w:ascii="Arial" w:cs="Arial" w:eastAsia="Arial" w:hAnsi="Arial"/>
                <w:sz w:val="15"/>
                <w:szCs w:val="15"/>
                <w:color w:val="auto"/>
              </w:rPr>
              <w:t>ARKANSAS</w:t>
            </w:r>
          </w:p>
        </w:tc>
        <w:tc>
          <w:tcPr>
            <w:tcW w:w="3860" w:type="dxa"/>
            <w:vAlign w:val="bottom"/>
          </w:tcPr>
          <w:p>
            <w:pPr>
              <w:ind w:left="860"/>
              <w:spacing w:after="0"/>
              <w:rPr>
                <w:sz w:val="20"/>
                <w:szCs w:val="20"/>
                <w:color w:val="auto"/>
              </w:rPr>
            </w:pPr>
            <w:r>
              <w:rPr>
                <w:rFonts w:ascii="Arial" w:cs="Arial" w:eastAsia="Arial" w:hAnsi="Arial"/>
                <w:sz w:val="15"/>
                <w:szCs w:val="15"/>
                <w:color w:val="auto"/>
              </w:rPr>
              <w:t>Cape Coral, FL 33990</w:t>
            </w:r>
          </w:p>
        </w:tc>
        <w:tc>
          <w:tcPr>
            <w:tcW w:w="3360" w:type="dxa"/>
            <w:vAlign w:val="bottom"/>
            <w:gridSpan w:val="2"/>
          </w:tcPr>
          <w:p>
            <w:pPr>
              <w:ind w:left="660"/>
              <w:spacing w:after="0"/>
              <w:rPr>
                <w:sz w:val="20"/>
                <w:szCs w:val="20"/>
                <w:color w:val="auto"/>
              </w:rPr>
            </w:pPr>
            <w:r>
              <w:rPr>
                <w:rFonts w:ascii="Arial" w:cs="Arial" w:eastAsia="Arial" w:hAnsi="Arial"/>
                <w:sz w:val="15"/>
                <w:szCs w:val="15"/>
                <w:color w:val="auto"/>
              </w:rPr>
              <w:t>Indianapolis</w:t>
            </w:r>
          </w:p>
        </w:tc>
        <w:tc>
          <w:tcPr>
            <w:tcW w:w="0" w:type="dxa"/>
            <w:vAlign w:val="bottom"/>
          </w:tcPr>
          <w:p>
            <w:pPr>
              <w:spacing w:after="0"/>
              <w:rPr>
                <w:sz w:val="1"/>
                <w:szCs w:val="1"/>
                <w:color w:val="auto"/>
              </w:rPr>
            </w:pPr>
          </w:p>
        </w:tc>
      </w:tr>
      <w:tr>
        <w:trPr>
          <w:trHeight w:val="200"/>
        </w:trPr>
        <w:tc>
          <w:tcPr>
            <w:tcW w:w="4360" w:type="dxa"/>
            <w:vAlign w:val="bottom"/>
          </w:tcPr>
          <w:p>
            <w:pPr>
              <w:ind w:left="1220"/>
              <w:spacing w:after="0"/>
              <w:rPr>
                <w:sz w:val="20"/>
                <w:szCs w:val="20"/>
                <w:color w:val="auto"/>
              </w:rPr>
            </w:pPr>
            <w:r>
              <w:rPr>
                <w:rFonts w:ascii="Arial" w:cs="Arial" w:eastAsia="Arial" w:hAnsi="Arial"/>
                <w:sz w:val="15"/>
                <w:szCs w:val="15"/>
                <w:color w:val="auto"/>
              </w:rPr>
              <w:t>Rogers</w:t>
            </w:r>
          </w:p>
        </w:tc>
        <w:tc>
          <w:tcPr>
            <w:tcW w:w="3860" w:type="dxa"/>
            <w:vAlign w:val="bottom"/>
          </w:tcPr>
          <w:p>
            <w:pPr>
              <w:ind w:left="860"/>
              <w:spacing w:after="0"/>
              <w:rPr>
                <w:sz w:val="20"/>
                <w:szCs w:val="20"/>
                <w:color w:val="auto"/>
              </w:rPr>
            </w:pPr>
            <w:r>
              <w:rPr>
                <w:rFonts w:ascii="Arial" w:cs="Arial" w:eastAsia="Arial" w:hAnsi="Arial"/>
                <w:sz w:val="15"/>
                <w:szCs w:val="15"/>
                <w:color w:val="auto"/>
              </w:rPr>
              <w:t>Telephone: (866) 827-9558</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450 E. 96th St</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3612 W Southern Hills Blvd, Ste 5</w:t>
            </w:r>
          </w:p>
        </w:tc>
        <w:tc>
          <w:tcPr>
            <w:tcW w:w="3860" w:type="dxa"/>
            <w:vAlign w:val="bottom"/>
          </w:tcPr>
          <w:p>
            <w:pPr>
              <w:spacing w:after="0"/>
              <w:rPr>
                <w:sz w:val="17"/>
                <w:szCs w:val="17"/>
                <w:color w:val="auto"/>
              </w:rPr>
            </w:pP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Ste 500, Off 5008 &amp; 5009</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Rogers, AR 72758</w:t>
            </w:r>
          </w:p>
        </w:tc>
        <w:tc>
          <w:tcPr>
            <w:tcW w:w="3860" w:type="dxa"/>
            <w:vAlign w:val="bottom"/>
          </w:tcPr>
          <w:p>
            <w:pPr>
              <w:ind w:left="660"/>
              <w:spacing w:after="0"/>
              <w:rPr>
                <w:sz w:val="20"/>
                <w:szCs w:val="20"/>
                <w:color w:val="auto"/>
              </w:rPr>
            </w:pPr>
            <w:r>
              <w:rPr>
                <w:rFonts w:ascii="Arial" w:cs="Arial" w:eastAsia="Arial" w:hAnsi="Arial"/>
                <w:sz w:val="15"/>
                <w:szCs w:val="15"/>
                <w:color w:val="auto"/>
              </w:rPr>
              <w:t>Daytona Beach</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Indianapolis, IN 46240</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Telephone: (844) 323-4640</w:t>
            </w:r>
          </w:p>
        </w:tc>
        <w:tc>
          <w:tcPr>
            <w:tcW w:w="3860" w:type="dxa"/>
            <w:vAlign w:val="bottom"/>
          </w:tcPr>
          <w:p>
            <w:pPr>
              <w:ind w:left="860"/>
              <w:spacing w:after="0"/>
              <w:rPr>
                <w:sz w:val="20"/>
                <w:szCs w:val="20"/>
                <w:color w:val="auto"/>
              </w:rPr>
            </w:pPr>
            <w:r>
              <w:rPr>
                <w:rFonts w:ascii="Arial" w:cs="Arial" w:eastAsia="Arial" w:hAnsi="Arial"/>
                <w:sz w:val="15"/>
                <w:szCs w:val="15"/>
                <w:color w:val="auto"/>
              </w:rPr>
              <w:t>132 W. International Speedway Blvd</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Telephone: (844) 323-4640</w:t>
            </w: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3860" w:type="dxa"/>
            <w:vAlign w:val="bottom"/>
          </w:tcPr>
          <w:p>
            <w:pPr>
              <w:ind w:left="860"/>
              <w:spacing w:after="0"/>
              <w:rPr>
                <w:sz w:val="20"/>
                <w:szCs w:val="20"/>
                <w:color w:val="auto"/>
              </w:rPr>
            </w:pPr>
            <w:r>
              <w:rPr>
                <w:rFonts w:ascii="Arial" w:cs="Arial" w:eastAsia="Arial" w:hAnsi="Arial"/>
                <w:sz w:val="15"/>
                <w:szCs w:val="15"/>
                <w:color w:val="auto"/>
              </w:rPr>
              <w:t>Ste 15</w:t>
            </w:r>
          </w:p>
        </w:tc>
        <w:tc>
          <w:tcPr>
            <w:tcW w:w="1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tcPr>
          <w:p>
            <w:pPr>
              <w:ind w:left="880"/>
              <w:spacing w:after="0"/>
              <w:rPr>
                <w:sz w:val="20"/>
                <w:szCs w:val="20"/>
                <w:color w:val="auto"/>
              </w:rPr>
            </w:pPr>
            <w:r>
              <w:rPr>
                <w:rFonts w:ascii="Arial" w:cs="Arial" w:eastAsia="Arial" w:hAnsi="Arial"/>
                <w:sz w:val="15"/>
                <w:szCs w:val="15"/>
                <w:color w:val="auto"/>
              </w:rPr>
              <w:t>CALIFORNIA</w:t>
            </w:r>
          </w:p>
        </w:tc>
        <w:tc>
          <w:tcPr>
            <w:tcW w:w="3860" w:type="dxa"/>
            <w:vAlign w:val="bottom"/>
          </w:tcPr>
          <w:p>
            <w:pPr>
              <w:ind w:left="860"/>
              <w:spacing w:after="0"/>
              <w:rPr>
                <w:sz w:val="20"/>
                <w:szCs w:val="20"/>
                <w:color w:val="auto"/>
              </w:rPr>
            </w:pPr>
            <w:r>
              <w:rPr>
                <w:rFonts w:ascii="Arial" w:cs="Arial" w:eastAsia="Arial" w:hAnsi="Arial"/>
                <w:sz w:val="15"/>
                <w:szCs w:val="15"/>
                <w:color w:val="auto"/>
              </w:rPr>
              <w:t>Daytona Beach, FL 32114</w:t>
            </w:r>
          </w:p>
        </w:tc>
        <w:tc>
          <w:tcPr>
            <w:tcW w:w="3360" w:type="dxa"/>
            <w:vAlign w:val="bottom"/>
            <w:gridSpan w:val="2"/>
          </w:tcPr>
          <w:p>
            <w:pPr>
              <w:ind w:left="320"/>
              <w:spacing w:after="0"/>
              <w:rPr>
                <w:sz w:val="20"/>
                <w:szCs w:val="20"/>
                <w:color w:val="auto"/>
              </w:rPr>
            </w:pPr>
            <w:r>
              <w:rPr>
                <w:rFonts w:ascii="Arial" w:cs="Arial" w:eastAsia="Arial" w:hAnsi="Arial"/>
                <w:sz w:val="15"/>
                <w:szCs w:val="15"/>
                <w:color w:val="auto"/>
              </w:rPr>
              <w:t>KENTUCKY</w:t>
            </w:r>
          </w:p>
        </w:tc>
        <w:tc>
          <w:tcPr>
            <w:tcW w:w="0" w:type="dxa"/>
            <w:vAlign w:val="bottom"/>
          </w:tcPr>
          <w:p>
            <w:pPr>
              <w:spacing w:after="0"/>
              <w:rPr>
                <w:sz w:val="1"/>
                <w:szCs w:val="1"/>
                <w:color w:val="auto"/>
              </w:rPr>
            </w:pPr>
          </w:p>
        </w:tc>
      </w:tr>
      <w:tr>
        <w:trPr>
          <w:trHeight w:val="200"/>
        </w:trPr>
        <w:tc>
          <w:tcPr>
            <w:tcW w:w="4360" w:type="dxa"/>
            <w:vAlign w:val="bottom"/>
          </w:tcPr>
          <w:p>
            <w:pPr>
              <w:ind w:left="1220"/>
              <w:spacing w:after="0"/>
              <w:rPr>
                <w:sz w:val="20"/>
                <w:szCs w:val="20"/>
                <w:color w:val="auto"/>
              </w:rPr>
            </w:pPr>
            <w:r>
              <w:rPr>
                <w:rFonts w:ascii="Arial" w:cs="Arial" w:eastAsia="Arial" w:hAnsi="Arial"/>
                <w:sz w:val="15"/>
                <w:szCs w:val="15"/>
                <w:color w:val="auto"/>
              </w:rPr>
              <w:t>Santa Rosa</w:t>
            </w:r>
          </w:p>
        </w:tc>
        <w:tc>
          <w:tcPr>
            <w:tcW w:w="3860" w:type="dxa"/>
            <w:vAlign w:val="bottom"/>
          </w:tcPr>
          <w:p>
            <w:pPr>
              <w:ind w:left="860"/>
              <w:spacing w:after="0"/>
              <w:rPr>
                <w:sz w:val="20"/>
                <w:szCs w:val="20"/>
                <w:color w:val="auto"/>
              </w:rPr>
            </w:pPr>
            <w:r>
              <w:rPr>
                <w:rFonts w:ascii="Arial" w:cs="Arial" w:eastAsia="Arial" w:hAnsi="Arial"/>
                <w:sz w:val="15"/>
                <w:szCs w:val="15"/>
                <w:color w:val="auto"/>
              </w:rPr>
              <w:t>Telephone: (866) 827-9558</w:t>
            </w:r>
          </w:p>
        </w:tc>
        <w:tc>
          <w:tcPr>
            <w:tcW w:w="3360" w:type="dxa"/>
            <w:vAlign w:val="bottom"/>
            <w:gridSpan w:val="2"/>
          </w:tcPr>
          <w:p>
            <w:pPr>
              <w:ind w:left="660"/>
              <w:spacing w:after="0"/>
              <w:rPr>
                <w:sz w:val="20"/>
                <w:szCs w:val="20"/>
                <w:color w:val="auto"/>
              </w:rPr>
            </w:pPr>
            <w:r>
              <w:rPr>
                <w:rFonts w:ascii="Arial" w:cs="Arial" w:eastAsia="Arial" w:hAnsi="Arial"/>
                <w:sz w:val="15"/>
                <w:szCs w:val="15"/>
                <w:color w:val="auto"/>
              </w:rPr>
              <w:t>Elizabethtown</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2455 Bennett Valley Rd</w:t>
            </w:r>
          </w:p>
        </w:tc>
        <w:tc>
          <w:tcPr>
            <w:tcW w:w="3860" w:type="dxa"/>
            <w:vAlign w:val="bottom"/>
          </w:tcPr>
          <w:p>
            <w:pPr>
              <w:spacing w:after="0"/>
              <w:rPr>
                <w:sz w:val="17"/>
                <w:szCs w:val="17"/>
                <w:color w:val="auto"/>
              </w:rPr>
            </w:pP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81 Boulder Drive</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Bldg C, Ste C107</w:t>
            </w:r>
          </w:p>
        </w:tc>
        <w:tc>
          <w:tcPr>
            <w:tcW w:w="3860" w:type="dxa"/>
            <w:vAlign w:val="bottom"/>
          </w:tcPr>
          <w:p>
            <w:pPr>
              <w:ind w:left="660"/>
              <w:spacing w:after="0"/>
              <w:rPr>
                <w:sz w:val="20"/>
                <w:szCs w:val="20"/>
                <w:color w:val="auto"/>
              </w:rPr>
            </w:pPr>
            <w:r>
              <w:rPr>
                <w:rFonts w:ascii="Arial" w:cs="Arial" w:eastAsia="Arial" w:hAnsi="Arial"/>
                <w:sz w:val="15"/>
                <w:szCs w:val="15"/>
                <w:color w:val="auto"/>
              </w:rPr>
              <w:t>Ft. Myers</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Elizabethtown, KY 42701</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Santa Rosa, CA 95404</w:t>
            </w:r>
          </w:p>
        </w:tc>
        <w:tc>
          <w:tcPr>
            <w:tcW w:w="3860" w:type="dxa"/>
            <w:vAlign w:val="bottom"/>
          </w:tcPr>
          <w:p>
            <w:pPr>
              <w:ind w:left="860"/>
              <w:spacing w:after="0"/>
              <w:rPr>
                <w:sz w:val="20"/>
                <w:szCs w:val="20"/>
                <w:color w:val="auto"/>
              </w:rPr>
            </w:pPr>
            <w:r>
              <w:rPr>
                <w:rFonts w:ascii="Arial" w:cs="Arial" w:eastAsia="Arial" w:hAnsi="Arial"/>
                <w:sz w:val="15"/>
                <w:szCs w:val="15"/>
                <w:color w:val="auto"/>
              </w:rPr>
              <w:t>8191 College Parkway #302</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Telephone: (877) 518-9450</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Telephone: (844) 323-4640</w:t>
            </w:r>
          </w:p>
        </w:tc>
        <w:tc>
          <w:tcPr>
            <w:tcW w:w="3860" w:type="dxa"/>
            <w:vAlign w:val="bottom"/>
          </w:tcPr>
          <w:p>
            <w:pPr>
              <w:ind w:left="860"/>
              <w:spacing w:after="0"/>
              <w:rPr>
                <w:sz w:val="20"/>
                <w:szCs w:val="20"/>
                <w:color w:val="auto"/>
              </w:rPr>
            </w:pPr>
            <w:r>
              <w:rPr>
                <w:rFonts w:ascii="Arial" w:cs="Arial" w:eastAsia="Arial" w:hAnsi="Arial"/>
                <w:sz w:val="15"/>
                <w:szCs w:val="15"/>
                <w:color w:val="auto"/>
              </w:rPr>
              <w:t>Ft. Myers, FL 33919</w:t>
            </w:r>
          </w:p>
        </w:tc>
        <w:tc>
          <w:tcPr>
            <w:tcW w:w="1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3860" w:type="dxa"/>
            <w:vAlign w:val="bottom"/>
          </w:tcPr>
          <w:p>
            <w:pPr>
              <w:ind w:left="860"/>
              <w:spacing w:after="0"/>
              <w:rPr>
                <w:sz w:val="20"/>
                <w:szCs w:val="20"/>
                <w:color w:val="auto"/>
              </w:rPr>
            </w:pPr>
            <w:r>
              <w:rPr>
                <w:rFonts w:ascii="Arial" w:cs="Arial" w:eastAsia="Arial" w:hAnsi="Arial"/>
                <w:sz w:val="15"/>
                <w:szCs w:val="15"/>
                <w:color w:val="auto"/>
              </w:rPr>
              <w:t>Telephone: (888) 550-9221</w:t>
            </w:r>
          </w:p>
        </w:tc>
        <w:tc>
          <w:tcPr>
            <w:tcW w:w="3360" w:type="dxa"/>
            <w:vAlign w:val="bottom"/>
            <w:gridSpan w:val="2"/>
          </w:tcPr>
          <w:p>
            <w:pPr>
              <w:ind w:left="660"/>
              <w:spacing w:after="0"/>
              <w:rPr>
                <w:sz w:val="20"/>
                <w:szCs w:val="20"/>
                <w:color w:val="auto"/>
              </w:rPr>
            </w:pPr>
            <w:r>
              <w:rPr>
                <w:rFonts w:ascii="Arial" w:cs="Arial" w:eastAsia="Arial" w:hAnsi="Arial"/>
                <w:sz w:val="15"/>
                <w:szCs w:val="15"/>
                <w:color w:val="auto"/>
              </w:rPr>
              <w:t>Louisville</w:t>
            </w:r>
          </w:p>
        </w:tc>
        <w:tc>
          <w:tcPr>
            <w:tcW w:w="0" w:type="dxa"/>
            <w:vAlign w:val="bottom"/>
          </w:tcPr>
          <w:p>
            <w:pPr>
              <w:spacing w:after="0"/>
              <w:rPr>
                <w:sz w:val="1"/>
                <w:szCs w:val="1"/>
                <w:color w:val="auto"/>
              </w:rPr>
            </w:pPr>
          </w:p>
        </w:tc>
      </w:tr>
      <w:tr>
        <w:trPr>
          <w:trHeight w:val="200"/>
        </w:trPr>
        <w:tc>
          <w:tcPr>
            <w:tcW w:w="4360" w:type="dxa"/>
            <w:vAlign w:val="bottom"/>
          </w:tcPr>
          <w:p>
            <w:pPr>
              <w:ind w:left="1220"/>
              <w:spacing w:after="0"/>
              <w:rPr>
                <w:sz w:val="20"/>
                <w:szCs w:val="20"/>
                <w:color w:val="auto"/>
              </w:rPr>
            </w:pPr>
            <w:r>
              <w:rPr>
                <w:rFonts w:ascii="Arial" w:cs="Arial" w:eastAsia="Arial" w:hAnsi="Arial"/>
                <w:sz w:val="15"/>
                <w:szCs w:val="15"/>
                <w:color w:val="auto"/>
              </w:rPr>
              <w:t>West Covina</w:t>
            </w:r>
          </w:p>
        </w:tc>
        <w:tc>
          <w:tcPr>
            <w:tcW w:w="3860" w:type="dxa"/>
            <w:vAlign w:val="bottom"/>
          </w:tcPr>
          <w:p>
            <w:pPr>
              <w:spacing w:after="0"/>
              <w:rPr>
                <w:sz w:val="17"/>
                <w:szCs w:val="17"/>
                <w:color w:val="auto"/>
              </w:rPr>
            </w:pP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9300 Shelbyville Rd, Ste 1205</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2934 E. Garvey Ave., South</w:t>
            </w:r>
          </w:p>
        </w:tc>
        <w:tc>
          <w:tcPr>
            <w:tcW w:w="3860" w:type="dxa"/>
            <w:vAlign w:val="bottom"/>
          </w:tcPr>
          <w:p>
            <w:pPr>
              <w:ind w:left="660"/>
              <w:spacing w:after="0"/>
              <w:rPr>
                <w:sz w:val="20"/>
                <w:szCs w:val="20"/>
                <w:color w:val="auto"/>
              </w:rPr>
            </w:pPr>
            <w:r>
              <w:rPr>
                <w:rFonts w:ascii="Arial" w:cs="Arial" w:eastAsia="Arial" w:hAnsi="Arial"/>
                <w:sz w:val="15"/>
                <w:szCs w:val="15"/>
                <w:color w:val="auto"/>
              </w:rPr>
              <w:t>Lake Mary</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Louisville, KY 40222</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Ste #250-N</w:t>
            </w:r>
          </w:p>
        </w:tc>
        <w:tc>
          <w:tcPr>
            <w:tcW w:w="3860" w:type="dxa"/>
            <w:vAlign w:val="bottom"/>
          </w:tcPr>
          <w:p>
            <w:pPr>
              <w:ind w:left="860"/>
              <w:spacing w:after="0"/>
              <w:rPr>
                <w:sz w:val="20"/>
                <w:szCs w:val="20"/>
                <w:color w:val="auto"/>
              </w:rPr>
            </w:pPr>
            <w:r>
              <w:rPr>
                <w:rFonts w:ascii="Arial" w:cs="Arial" w:eastAsia="Arial" w:hAnsi="Arial"/>
                <w:sz w:val="15"/>
                <w:szCs w:val="15"/>
                <w:color w:val="auto"/>
              </w:rPr>
              <w:t>250 International Pkwy</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Telephone: (844) 323-4640</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West Covina, CA 91791</w:t>
            </w:r>
          </w:p>
        </w:tc>
        <w:tc>
          <w:tcPr>
            <w:tcW w:w="3860" w:type="dxa"/>
            <w:vAlign w:val="bottom"/>
          </w:tcPr>
          <w:p>
            <w:pPr>
              <w:ind w:left="860"/>
              <w:spacing w:after="0"/>
              <w:rPr>
                <w:sz w:val="20"/>
                <w:szCs w:val="20"/>
                <w:color w:val="auto"/>
              </w:rPr>
            </w:pPr>
            <w:r>
              <w:rPr>
                <w:rFonts w:ascii="Arial" w:cs="Arial" w:eastAsia="Arial" w:hAnsi="Arial"/>
                <w:sz w:val="15"/>
                <w:szCs w:val="15"/>
                <w:color w:val="auto"/>
              </w:rPr>
              <w:t>Ste 120</w:t>
            </w:r>
          </w:p>
        </w:tc>
        <w:tc>
          <w:tcPr>
            <w:tcW w:w="1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Telephone: (626) 209-2126</w:t>
            </w:r>
          </w:p>
        </w:tc>
        <w:tc>
          <w:tcPr>
            <w:tcW w:w="3860" w:type="dxa"/>
            <w:vAlign w:val="bottom"/>
          </w:tcPr>
          <w:p>
            <w:pPr>
              <w:ind w:left="860"/>
              <w:spacing w:after="0"/>
              <w:rPr>
                <w:sz w:val="20"/>
                <w:szCs w:val="20"/>
                <w:color w:val="auto"/>
              </w:rPr>
            </w:pPr>
            <w:r>
              <w:rPr>
                <w:rFonts w:ascii="Arial" w:cs="Arial" w:eastAsia="Arial" w:hAnsi="Arial"/>
                <w:sz w:val="15"/>
                <w:szCs w:val="15"/>
                <w:color w:val="auto"/>
              </w:rPr>
              <w:t>Lake Mary, FL 32746</w:t>
            </w:r>
          </w:p>
        </w:tc>
        <w:tc>
          <w:tcPr>
            <w:tcW w:w="3360" w:type="dxa"/>
            <w:vAlign w:val="bottom"/>
            <w:gridSpan w:val="2"/>
          </w:tcPr>
          <w:p>
            <w:pPr>
              <w:ind w:left="320"/>
              <w:spacing w:after="0"/>
              <w:rPr>
                <w:sz w:val="20"/>
                <w:szCs w:val="20"/>
                <w:color w:val="auto"/>
              </w:rPr>
            </w:pPr>
            <w:r>
              <w:rPr>
                <w:rFonts w:ascii="Arial" w:cs="Arial" w:eastAsia="Arial" w:hAnsi="Arial"/>
                <w:sz w:val="15"/>
                <w:szCs w:val="15"/>
                <w:color w:val="auto"/>
              </w:rPr>
              <w:t>MONTANA</w:t>
            </w: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3860" w:type="dxa"/>
            <w:vAlign w:val="bottom"/>
          </w:tcPr>
          <w:p>
            <w:pPr>
              <w:ind w:left="860"/>
              <w:spacing w:after="0"/>
              <w:rPr>
                <w:sz w:val="20"/>
                <w:szCs w:val="20"/>
                <w:color w:val="auto"/>
              </w:rPr>
            </w:pPr>
            <w:r>
              <w:rPr>
                <w:rFonts w:ascii="Arial" w:cs="Arial" w:eastAsia="Arial" w:hAnsi="Arial"/>
                <w:sz w:val="15"/>
                <w:szCs w:val="15"/>
                <w:color w:val="auto"/>
              </w:rPr>
              <w:t>Telephone: (407) 302-8384</w:t>
            </w:r>
          </w:p>
        </w:tc>
        <w:tc>
          <w:tcPr>
            <w:tcW w:w="3360" w:type="dxa"/>
            <w:vAlign w:val="bottom"/>
            <w:gridSpan w:val="2"/>
          </w:tcPr>
          <w:p>
            <w:pPr>
              <w:ind w:left="660"/>
              <w:spacing w:after="0"/>
              <w:rPr>
                <w:sz w:val="20"/>
                <w:szCs w:val="20"/>
                <w:color w:val="auto"/>
              </w:rPr>
            </w:pPr>
            <w:r>
              <w:rPr>
                <w:rFonts w:ascii="Arial" w:cs="Arial" w:eastAsia="Arial" w:hAnsi="Arial"/>
                <w:sz w:val="15"/>
                <w:szCs w:val="15"/>
                <w:color w:val="auto"/>
              </w:rPr>
              <w:t>Billings</w:t>
            </w:r>
          </w:p>
        </w:tc>
        <w:tc>
          <w:tcPr>
            <w:tcW w:w="0" w:type="dxa"/>
            <w:vAlign w:val="bottom"/>
          </w:tcPr>
          <w:p>
            <w:pPr>
              <w:spacing w:after="0"/>
              <w:rPr>
                <w:sz w:val="1"/>
                <w:szCs w:val="1"/>
                <w:color w:val="auto"/>
              </w:rPr>
            </w:pPr>
          </w:p>
        </w:tc>
      </w:tr>
      <w:tr>
        <w:trPr>
          <w:trHeight w:val="200"/>
        </w:trPr>
        <w:tc>
          <w:tcPr>
            <w:tcW w:w="4360" w:type="dxa"/>
            <w:vAlign w:val="bottom"/>
          </w:tcPr>
          <w:p>
            <w:pPr>
              <w:ind w:left="1220"/>
              <w:spacing w:after="0"/>
              <w:rPr>
                <w:sz w:val="20"/>
                <w:szCs w:val="20"/>
                <w:color w:val="auto"/>
              </w:rPr>
            </w:pPr>
            <w:r>
              <w:rPr>
                <w:rFonts w:ascii="Arial" w:cs="Arial" w:eastAsia="Arial" w:hAnsi="Arial"/>
                <w:sz w:val="15"/>
                <w:szCs w:val="15"/>
                <w:color w:val="auto"/>
              </w:rPr>
              <w:t>Yucca Valley</w:t>
            </w:r>
          </w:p>
        </w:tc>
        <w:tc>
          <w:tcPr>
            <w:tcW w:w="3860" w:type="dxa"/>
            <w:vAlign w:val="bottom"/>
          </w:tcPr>
          <w:p>
            <w:pPr>
              <w:spacing w:after="0"/>
              <w:rPr>
                <w:sz w:val="17"/>
                <w:szCs w:val="17"/>
                <w:color w:val="auto"/>
              </w:rPr>
            </w:pP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960 S 24th Street W, Ste I</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7398 Fox Trail, Unit B</w:t>
            </w:r>
          </w:p>
        </w:tc>
        <w:tc>
          <w:tcPr>
            <w:tcW w:w="3860" w:type="dxa"/>
            <w:vAlign w:val="bottom"/>
          </w:tcPr>
          <w:p>
            <w:pPr>
              <w:ind w:left="660"/>
              <w:spacing w:after="0"/>
              <w:rPr>
                <w:sz w:val="20"/>
                <w:szCs w:val="20"/>
                <w:color w:val="auto"/>
              </w:rPr>
            </w:pPr>
            <w:r>
              <w:rPr>
                <w:rFonts w:ascii="Arial" w:cs="Arial" w:eastAsia="Arial" w:hAnsi="Arial"/>
                <w:sz w:val="15"/>
                <w:szCs w:val="15"/>
                <w:color w:val="auto"/>
              </w:rPr>
              <w:t>Seminole</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Billings, MT 59102</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Yucca Valley, CA 92284</w:t>
            </w:r>
          </w:p>
        </w:tc>
        <w:tc>
          <w:tcPr>
            <w:tcW w:w="3860" w:type="dxa"/>
            <w:vAlign w:val="bottom"/>
          </w:tcPr>
          <w:p>
            <w:pPr>
              <w:ind w:left="860"/>
              <w:spacing w:after="0"/>
              <w:rPr>
                <w:sz w:val="20"/>
                <w:szCs w:val="20"/>
                <w:color w:val="auto"/>
              </w:rPr>
            </w:pPr>
            <w:r>
              <w:rPr>
                <w:rFonts w:ascii="Arial" w:cs="Arial" w:eastAsia="Arial" w:hAnsi="Arial"/>
                <w:sz w:val="15"/>
                <w:szCs w:val="15"/>
                <w:color w:val="auto"/>
              </w:rPr>
              <w:t>5666 Seminole Blvd, Suite 128</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Telephone: (844) 323-4640</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Telephone: (760) 853-2600</w:t>
            </w:r>
          </w:p>
        </w:tc>
        <w:tc>
          <w:tcPr>
            <w:tcW w:w="3860" w:type="dxa"/>
            <w:vAlign w:val="bottom"/>
          </w:tcPr>
          <w:p>
            <w:pPr>
              <w:ind w:left="860"/>
              <w:spacing w:after="0"/>
              <w:rPr>
                <w:sz w:val="20"/>
                <w:szCs w:val="20"/>
                <w:color w:val="auto"/>
              </w:rPr>
            </w:pPr>
            <w:r>
              <w:rPr>
                <w:rFonts w:ascii="Arial" w:cs="Arial" w:eastAsia="Arial" w:hAnsi="Arial"/>
                <w:sz w:val="15"/>
                <w:szCs w:val="15"/>
                <w:color w:val="auto"/>
              </w:rPr>
              <w:t>Seminole, FL 33772</w:t>
            </w:r>
          </w:p>
        </w:tc>
        <w:tc>
          <w:tcPr>
            <w:tcW w:w="1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3860" w:type="dxa"/>
            <w:vAlign w:val="bottom"/>
          </w:tcPr>
          <w:p>
            <w:pPr>
              <w:ind w:left="860"/>
              <w:spacing w:after="0"/>
              <w:rPr>
                <w:sz w:val="20"/>
                <w:szCs w:val="20"/>
                <w:color w:val="auto"/>
              </w:rPr>
            </w:pPr>
            <w:r>
              <w:rPr>
                <w:rFonts w:ascii="Arial" w:cs="Arial" w:eastAsia="Arial" w:hAnsi="Arial"/>
                <w:sz w:val="15"/>
                <w:szCs w:val="15"/>
                <w:color w:val="auto"/>
              </w:rPr>
              <w:t>Telephone: (727) 498-3570</w:t>
            </w:r>
          </w:p>
        </w:tc>
        <w:tc>
          <w:tcPr>
            <w:tcW w:w="3360" w:type="dxa"/>
            <w:vAlign w:val="bottom"/>
            <w:gridSpan w:val="2"/>
          </w:tcPr>
          <w:p>
            <w:pPr>
              <w:ind w:left="320"/>
              <w:spacing w:after="0"/>
              <w:rPr>
                <w:sz w:val="20"/>
                <w:szCs w:val="20"/>
                <w:color w:val="auto"/>
              </w:rPr>
            </w:pPr>
            <w:r>
              <w:rPr>
                <w:rFonts w:ascii="Arial" w:cs="Arial" w:eastAsia="Arial" w:hAnsi="Arial"/>
                <w:sz w:val="15"/>
                <w:szCs w:val="15"/>
                <w:color w:val="auto"/>
              </w:rPr>
              <w:t>NEVADA</w:t>
            </w:r>
          </w:p>
        </w:tc>
        <w:tc>
          <w:tcPr>
            <w:tcW w:w="0" w:type="dxa"/>
            <w:vAlign w:val="bottom"/>
          </w:tcPr>
          <w:p>
            <w:pPr>
              <w:spacing w:after="0"/>
              <w:rPr>
                <w:sz w:val="1"/>
                <w:szCs w:val="1"/>
                <w:color w:val="auto"/>
              </w:rPr>
            </w:pPr>
          </w:p>
        </w:tc>
      </w:tr>
      <w:tr>
        <w:trPr>
          <w:trHeight w:val="200"/>
        </w:trPr>
        <w:tc>
          <w:tcPr>
            <w:tcW w:w="4360" w:type="dxa"/>
            <w:vAlign w:val="bottom"/>
          </w:tcPr>
          <w:p>
            <w:pPr>
              <w:ind w:left="880"/>
              <w:spacing w:after="0"/>
              <w:rPr>
                <w:sz w:val="20"/>
                <w:szCs w:val="20"/>
                <w:color w:val="auto"/>
              </w:rPr>
            </w:pPr>
            <w:r>
              <w:rPr>
                <w:rFonts w:ascii="Arial" w:cs="Arial" w:eastAsia="Arial" w:hAnsi="Arial"/>
                <w:sz w:val="15"/>
                <w:szCs w:val="15"/>
                <w:color w:val="auto"/>
              </w:rPr>
              <w:t>COLORADO</w:t>
            </w:r>
          </w:p>
        </w:tc>
        <w:tc>
          <w:tcPr>
            <w:tcW w:w="3860" w:type="dxa"/>
            <w:vAlign w:val="bottom"/>
          </w:tcPr>
          <w:p>
            <w:pPr>
              <w:spacing w:after="0"/>
              <w:rPr>
                <w:sz w:val="17"/>
                <w:szCs w:val="17"/>
                <w:color w:val="auto"/>
              </w:rPr>
            </w:pPr>
          </w:p>
        </w:tc>
        <w:tc>
          <w:tcPr>
            <w:tcW w:w="3360" w:type="dxa"/>
            <w:vAlign w:val="bottom"/>
            <w:gridSpan w:val="2"/>
          </w:tcPr>
          <w:p>
            <w:pPr>
              <w:ind w:left="660"/>
              <w:spacing w:after="0"/>
              <w:rPr>
                <w:sz w:val="20"/>
                <w:szCs w:val="20"/>
                <w:color w:val="auto"/>
              </w:rPr>
            </w:pPr>
            <w:r>
              <w:rPr>
                <w:rFonts w:ascii="Arial" w:cs="Arial" w:eastAsia="Arial" w:hAnsi="Arial"/>
                <w:sz w:val="15"/>
                <w:szCs w:val="15"/>
                <w:color w:val="auto"/>
              </w:rPr>
              <w:t>Henderson</w:t>
            </w:r>
          </w:p>
        </w:tc>
        <w:tc>
          <w:tcPr>
            <w:tcW w:w="0" w:type="dxa"/>
            <w:vAlign w:val="bottom"/>
          </w:tcPr>
          <w:p>
            <w:pPr>
              <w:spacing w:after="0"/>
              <w:rPr>
                <w:sz w:val="1"/>
                <w:szCs w:val="1"/>
                <w:color w:val="auto"/>
              </w:rPr>
            </w:pPr>
          </w:p>
        </w:tc>
      </w:tr>
      <w:tr>
        <w:trPr>
          <w:trHeight w:val="200"/>
        </w:trPr>
        <w:tc>
          <w:tcPr>
            <w:tcW w:w="4360" w:type="dxa"/>
            <w:vAlign w:val="bottom"/>
          </w:tcPr>
          <w:p>
            <w:pPr>
              <w:ind w:left="1220"/>
              <w:spacing w:after="0"/>
              <w:rPr>
                <w:sz w:val="20"/>
                <w:szCs w:val="20"/>
                <w:color w:val="auto"/>
              </w:rPr>
            </w:pPr>
            <w:r>
              <w:rPr>
                <w:rFonts w:ascii="Arial" w:cs="Arial" w:eastAsia="Arial" w:hAnsi="Arial"/>
                <w:sz w:val="15"/>
                <w:szCs w:val="15"/>
                <w:color w:val="auto"/>
              </w:rPr>
              <w:t>Aurora</w:t>
            </w:r>
          </w:p>
        </w:tc>
        <w:tc>
          <w:tcPr>
            <w:tcW w:w="3860" w:type="dxa"/>
            <w:vAlign w:val="bottom"/>
          </w:tcPr>
          <w:p>
            <w:pPr>
              <w:ind w:left="320"/>
              <w:spacing w:after="0"/>
              <w:rPr>
                <w:sz w:val="20"/>
                <w:szCs w:val="20"/>
                <w:color w:val="auto"/>
              </w:rPr>
            </w:pPr>
            <w:r>
              <w:rPr>
                <w:rFonts w:ascii="Arial" w:cs="Arial" w:eastAsia="Arial" w:hAnsi="Arial"/>
                <w:sz w:val="15"/>
                <w:szCs w:val="15"/>
                <w:color w:val="auto"/>
              </w:rPr>
              <w:t>GEORGIA</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650 S. Green Valley Pkwy, Ste 130</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5982 S. Zeno Ct.</w:t>
            </w:r>
          </w:p>
        </w:tc>
        <w:tc>
          <w:tcPr>
            <w:tcW w:w="3860" w:type="dxa"/>
            <w:vAlign w:val="bottom"/>
          </w:tcPr>
          <w:p>
            <w:pPr>
              <w:ind w:left="660"/>
              <w:spacing w:after="0"/>
              <w:rPr>
                <w:sz w:val="20"/>
                <w:szCs w:val="20"/>
                <w:color w:val="auto"/>
              </w:rPr>
            </w:pPr>
            <w:r>
              <w:rPr>
                <w:rFonts w:ascii="Arial" w:cs="Arial" w:eastAsia="Arial" w:hAnsi="Arial"/>
                <w:sz w:val="15"/>
                <w:szCs w:val="15"/>
                <w:color w:val="auto"/>
              </w:rPr>
              <w:t>Atlanta</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Henderson, NV 89052</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Aurora, CO 80016</w:t>
            </w:r>
          </w:p>
        </w:tc>
        <w:tc>
          <w:tcPr>
            <w:tcW w:w="3860" w:type="dxa"/>
            <w:vAlign w:val="bottom"/>
          </w:tcPr>
          <w:p>
            <w:pPr>
              <w:ind w:left="860"/>
              <w:spacing w:after="0"/>
              <w:rPr>
                <w:sz w:val="20"/>
                <w:szCs w:val="20"/>
                <w:color w:val="auto"/>
              </w:rPr>
            </w:pPr>
            <w:r>
              <w:rPr>
                <w:rFonts w:ascii="Arial" w:cs="Arial" w:eastAsia="Arial" w:hAnsi="Arial"/>
                <w:sz w:val="15"/>
                <w:szCs w:val="15"/>
                <w:color w:val="auto"/>
              </w:rPr>
              <w:t>1800 Phoenix Blvd, Ste 128</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Telephone: (877) 518-9450</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Telephone: (844) 820-8699</w:t>
            </w:r>
          </w:p>
        </w:tc>
        <w:tc>
          <w:tcPr>
            <w:tcW w:w="3860" w:type="dxa"/>
            <w:vAlign w:val="bottom"/>
          </w:tcPr>
          <w:p>
            <w:pPr>
              <w:ind w:left="860"/>
              <w:spacing w:after="0"/>
              <w:rPr>
                <w:sz w:val="20"/>
                <w:szCs w:val="20"/>
                <w:color w:val="auto"/>
              </w:rPr>
            </w:pPr>
            <w:r>
              <w:rPr>
                <w:rFonts w:ascii="Arial" w:cs="Arial" w:eastAsia="Arial" w:hAnsi="Arial"/>
                <w:sz w:val="15"/>
                <w:szCs w:val="15"/>
                <w:color w:val="auto"/>
              </w:rPr>
              <w:t>Atlanta, GA 30349</w:t>
            </w:r>
          </w:p>
        </w:tc>
        <w:tc>
          <w:tcPr>
            <w:tcW w:w="1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3860" w:type="dxa"/>
            <w:vAlign w:val="bottom"/>
          </w:tcPr>
          <w:p>
            <w:pPr>
              <w:ind w:left="860"/>
              <w:spacing w:after="0"/>
              <w:rPr>
                <w:sz w:val="20"/>
                <w:szCs w:val="20"/>
                <w:color w:val="auto"/>
              </w:rPr>
            </w:pPr>
            <w:r>
              <w:rPr>
                <w:rFonts w:ascii="Arial" w:cs="Arial" w:eastAsia="Arial" w:hAnsi="Arial"/>
                <w:sz w:val="15"/>
                <w:szCs w:val="15"/>
                <w:color w:val="auto"/>
              </w:rPr>
              <w:t>Telephone: (866) 718-2929</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2546 Findlater St.</w:t>
            </w:r>
          </w:p>
        </w:tc>
        <w:tc>
          <w:tcPr>
            <w:tcW w:w="0" w:type="dxa"/>
            <w:vAlign w:val="bottom"/>
          </w:tcPr>
          <w:p>
            <w:pPr>
              <w:spacing w:after="0"/>
              <w:rPr>
                <w:sz w:val="1"/>
                <w:szCs w:val="1"/>
                <w:color w:val="auto"/>
              </w:rPr>
            </w:pPr>
          </w:p>
        </w:tc>
      </w:tr>
      <w:tr>
        <w:trPr>
          <w:trHeight w:val="200"/>
        </w:trPr>
        <w:tc>
          <w:tcPr>
            <w:tcW w:w="4360" w:type="dxa"/>
            <w:vAlign w:val="bottom"/>
          </w:tcPr>
          <w:p>
            <w:pPr>
              <w:ind w:left="1220"/>
              <w:spacing w:after="0"/>
              <w:rPr>
                <w:sz w:val="20"/>
                <w:szCs w:val="20"/>
                <w:color w:val="auto"/>
              </w:rPr>
            </w:pPr>
            <w:r>
              <w:rPr>
                <w:rFonts w:ascii="Arial" w:cs="Arial" w:eastAsia="Arial" w:hAnsi="Arial"/>
                <w:sz w:val="15"/>
                <w:szCs w:val="15"/>
                <w:color w:val="auto"/>
              </w:rPr>
              <w:t>Colorado Springs</w:t>
            </w:r>
          </w:p>
        </w:tc>
        <w:tc>
          <w:tcPr>
            <w:tcW w:w="3860" w:type="dxa"/>
            <w:vAlign w:val="bottom"/>
          </w:tcPr>
          <w:p>
            <w:pPr>
              <w:spacing w:after="0"/>
              <w:rPr>
                <w:sz w:val="17"/>
                <w:szCs w:val="17"/>
                <w:color w:val="auto"/>
              </w:rPr>
            </w:pP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Henderson, NV 89044</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5475 Tech Center Drive, Suite 215</w:t>
            </w:r>
          </w:p>
        </w:tc>
        <w:tc>
          <w:tcPr>
            <w:tcW w:w="3860" w:type="dxa"/>
            <w:vAlign w:val="bottom"/>
          </w:tcPr>
          <w:p>
            <w:pPr>
              <w:ind w:left="860"/>
              <w:spacing w:after="0"/>
              <w:rPr>
                <w:sz w:val="20"/>
                <w:szCs w:val="20"/>
                <w:color w:val="auto"/>
              </w:rPr>
            </w:pPr>
            <w:r>
              <w:rPr>
                <w:rFonts w:ascii="Arial" w:cs="Arial" w:eastAsia="Arial" w:hAnsi="Arial"/>
                <w:sz w:val="15"/>
                <w:szCs w:val="15"/>
                <w:color w:val="auto"/>
              </w:rPr>
              <w:t>3344 Peachtree Road NE</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Telephone: (866) 827-9558</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Colorado Springs, CO 80919</w:t>
            </w:r>
          </w:p>
        </w:tc>
        <w:tc>
          <w:tcPr>
            <w:tcW w:w="3860" w:type="dxa"/>
            <w:vAlign w:val="bottom"/>
          </w:tcPr>
          <w:p>
            <w:pPr>
              <w:ind w:left="860"/>
              <w:spacing w:after="0"/>
              <w:rPr>
                <w:sz w:val="20"/>
                <w:szCs w:val="20"/>
                <w:color w:val="auto"/>
              </w:rPr>
            </w:pPr>
            <w:r>
              <w:rPr>
                <w:rFonts w:ascii="Arial" w:cs="Arial" w:eastAsia="Arial" w:hAnsi="Arial"/>
                <w:sz w:val="15"/>
                <w:szCs w:val="15"/>
                <w:color w:val="auto"/>
              </w:rPr>
              <w:t>Ste 800, Off 17 &amp; 18</w:t>
            </w:r>
          </w:p>
        </w:tc>
        <w:tc>
          <w:tcPr>
            <w:tcW w:w="1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Telephone: (844) 323-4640</w:t>
            </w:r>
          </w:p>
        </w:tc>
        <w:tc>
          <w:tcPr>
            <w:tcW w:w="3860" w:type="dxa"/>
            <w:vAlign w:val="bottom"/>
          </w:tcPr>
          <w:p>
            <w:pPr>
              <w:ind w:left="860"/>
              <w:spacing w:after="0"/>
              <w:rPr>
                <w:sz w:val="20"/>
                <w:szCs w:val="20"/>
                <w:color w:val="auto"/>
              </w:rPr>
            </w:pPr>
            <w:r>
              <w:rPr>
                <w:rFonts w:ascii="Arial" w:cs="Arial" w:eastAsia="Arial" w:hAnsi="Arial"/>
                <w:sz w:val="15"/>
                <w:szCs w:val="15"/>
                <w:color w:val="auto"/>
              </w:rPr>
              <w:t>Atlanta, GA 30326</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2635 St. Rose Parkway, Suite 100</w:t>
            </w: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3860" w:type="dxa"/>
            <w:vAlign w:val="bottom"/>
          </w:tcPr>
          <w:p>
            <w:pPr>
              <w:ind w:left="860"/>
              <w:spacing w:after="0"/>
              <w:rPr>
                <w:sz w:val="20"/>
                <w:szCs w:val="20"/>
                <w:color w:val="auto"/>
              </w:rPr>
            </w:pPr>
            <w:r>
              <w:rPr>
                <w:rFonts w:ascii="Arial" w:cs="Arial" w:eastAsia="Arial" w:hAnsi="Arial"/>
                <w:sz w:val="15"/>
                <w:szCs w:val="15"/>
                <w:color w:val="auto"/>
              </w:rPr>
              <w:t>Telephone: (404) 924-6148</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Henderson, NV 89052</w:t>
            </w:r>
          </w:p>
        </w:tc>
        <w:tc>
          <w:tcPr>
            <w:tcW w:w="0" w:type="dxa"/>
            <w:vAlign w:val="bottom"/>
          </w:tcPr>
          <w:p>
            <w:pPr>
              <w:spacing w:after="0"/>
              <w:rPr>
                <w:sz w:val="1"/>
                <w:szCs w:val="1"/>
                <w:color w:val="auto"/>
              </w:rPr>
            </w:pPr>
          </w:p>
        </w:tc>
      </w:tr>
      <w:tr>
        <w:trPr>
          <w:trHeight w:val="200"/>
        </w:trPr>
        <w:tc>
          <w:tcPr>
            <w:tcW w:w="4360" w:type="dxa"/>
            <w:vAlign w:val="bottom"/>
          </w:tcPr>
          <w:p>
            <w:pPr>
              <w:ind w:left="1220"/>
              <w:spacing w:after="0"/>
              <w:rPr>
                <w:sz w:val="20"/>
                <w:szCs w:val="20"/>
                <w:color w:val="auto"/>
              </w:rPr>
            </w:pPr>
            <w:r>
              <w:rPr>
                <w:rFonts w:ascii="Arial" w:cs="Arial" w:eastAsia="Arial" w:hAnsi="Arial"/>
                <w:sz w:val="15"/>
                <w:szCs w:val="15"/>
                <w:color w:val="auto"/>
              </w:rPr>
              <w:t>Denver</w:t>
            </w:r>
          </w:p>
        </w:tc>
        <w:tc>
          <w:tcPr>
            <w:tcW w:w="3860" w:type="dxa"/>
            <w:vAlign w:val="bottom"/>
          </w:tcPr>
          <w:p>
            <w:pPr>
              <w:spacing w:after="0"/>
              <w:rPr>
                <w:sz w:val="17"/>
                <w:szCs w:val="17"/>
                <w:color w:val="auto"/>
              </w:rPr>
            </w:pP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Telephone: (702) 487-5626</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7800 East Union Avenue, Suite 930</w:t>
            </w:r>
          </w:p>
        </w:tc>
        <w:tc>
          <w:tcPr>
            <w:tcW w:w="3860" w:type="dxa"/>
            <w:vAlign w:val="bottom"/>
          </w:tcPr>
          <w:p>
            <w:pPr>
              <w:ind w:left="320"/>
              <w:spacing w:after="0"/>
              <w:rPr>
                <w:sz w:val="20"/>
                <w:szCs w:val="20"/>
                <w:color w:val="auto"/>
              </w:rPr>
            </w:pPr>
            <w:r>
              <w:rPr>
                <w:rFonts w:ascii="Arial" w:cs="Arial" w:eastAsia="Arial" w:hAnsi="Arial"/>
                <w:sz w:val="15"/>
                <w:szCs w:val="15"/>
                <w:color w:val="auto"/>
              </w:rPr>
              <w:t>HAWAII</w:t>
            </w:r>
          </w:p>
        </w:tc>
        <w:tc>
          <w:tcPr>
            <w:tcW w:w="1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Denver, CO 80237</w:t>
            </w:r>
          </w:p>
        </w:tc>
        <w:tc>
          <w:tcPr>
            <w:tcW w:w="3860" w:type="dxa"/>
            <w:vAlign w:val="bottom"/>
          </w:tcPr>
          <w:p>
            <w:pPr>
              <w:ind w:left="660"/>
              <w:spacing w:after="0"/>
              <w:rPr>
                <w:sz w:val="20"/>
                <w:szCs w:val="20"/>
                <w:color w:val="auto"/>
              </w:rPr>
            </w:pPr>
            <w:r>
              <w:rPr>
                <w:rFonts w:ascii="Arial" w:cs="Arial" w:eastAsia="Arial" w:hAnsi="Arial"/>
                <w:sz w:val="15"/>
                <w:szCs w:val="15"/>
                <w:color w:val="auto"/>
              </w:rPr>
              <w:t>Honolulu</w:t>
            </w:r>
          </w:p>
        </w:tc>
        <w:tc>
          <w:tcPr>
            <w:tcW w:w="3360" w:type="dxa"/>
            <w:vAlign w:val="bottom"/>
            <w:gridSpan w:val="2"/>
          </w:tcPr>
          <w:p>
            <w:pPr>
              <w:ind w:left="660"/>
              <w:spacing w:after="0"/>
              <w:rPr>
                <w:sz w:val="20"/>
                <w:szCs w:val="20"/>
                <w:color w:val="auto"/>
              </w:rPr>
            </w:pPr>
            <w:r>
              <w:rPr>
                <w:rFonts w:ascii="Arial" w:cs="Arial" w:eastAsia="Arial" w:hAnsi="Arial"/>
                <w:sz w:val="15"/>
                <w:szCs w:val="15"/>
                <w:color w:val="auto"/>
              </w:rPr>
              <w:t>Las Vegas</w:t>
            </w:r>
          </w:p>
        </w:tc>
        <w:tc>
          <w:tcPr>
            <w:tcW w:w="0" w:type="dxa"/>
            <w:vAlign w:val="bottom"/>
          </w:tcPr>
          <w:p>
            <w:pPr>
              <w:spacing w:after="0"/>
              <w:rPr>
                <w:sz w:val="1"/>
                <w:szCs w:val="1"/>
                <w:color w:val="auto"/>
              </w:rPr>
            </w:pPr>
          </w:p>
        </w:tc>
      </w:tr>
      <w:tr>
        <w:trPr>
          <w:trHeight w:val="200"/>
        </w:trPr>
        <w:tc>
          <w:tcPr>
            <w:tcW w:w="4360" w:type="dxa"/>
            <w:vAlign w:val="bottom"/>
          </w:tcPr>
          <w:p>
            <w:pPr>
              <w:ind w:left="1420"/>
              <w:spacing w:after="0"/>
              <w:rPr>
                <w:sz w:val="20"/>
                <w:szCs w:val="20"/>
                <w:color w:val="auto"/>
              </w:rPr>
            </w:pPr>
            <w:r>
              <w:rPr>
                <w:rFonts w:ascii="Arial" w:cs="Arial" w:eastAsia="Arial" w:hAnsi="Arial"/>
                <w:sz w:val="15"/>
                <w:szCs w:val="15"/>
                <w:color w:val="auto"/>
              </w:rPr>
              <w:t>Telephone: (844) 323 4640</w:t>
            </w:r>
          </w:p>
        </w:tc>
        <w:tc>
          <w:tcPr>
            <w:tcW w:w="3860" w:type="dxa"/>
            <w:vAlign w:val="bottom"/>
          </w:tcPr>
          <w:p>
            <w:pPr>
              <w:ind w:left="860"/>
              <w:spacing w:after="0"/>
              <w:rPr>
                <w:sz w:val="20"/>
                <w:szCs w:val="20"/>
                <w:color w:val="auto"/>
              </w:rPr>
            </w:pPr>
            <w:r>
              <w:rPr>
                <w:rFonts w:ascii="Arial" w:cs="Arial" w:eastAsia="Arial" w:hAnsi="Arial"/>
                <w:sz w:val="15"/>
                <w:szCs w:val="15"/>
                <w:color w:val="auto"/>
              </w:rPr>
              <w:t>677 Ala Moana Boulevard, Suite 609</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1180 N Town Center Dr, Suite 265</w:t>
            </w: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3860" w:type="dxa"/>
            <w:vAlign w:val="bottom"/>
          </w:tcPr>
          <w:p>
            <w:pPr>
              <w:ind w:left="860"/>
              <w:spacing w:after="0"/>
              <w:rPr>
                <w:sz w:val="20"/>
                <w:szCs w:val="20"/>
                <w:color w:val="auto"/>
              </w:rPr>
            </w:pPr>
            <w:r>
              <w:rPr>
                <w:rFonts w:ascii="Arial" w:cs="Arial" w:eastAsia="Arial" w:hAnsi="Arial"/>
                <w:sz w:val="15"/>
                <w:szCs w:val="15"/>
                <w:color w:val="auto"/>
              </w:rPr>
              <w:t>Honolulu, HI 96813</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Las Vegas, NV 89144</w:t>
            </w:r>
          </w:p>
        </w:tc>
        <w:tc>
          <w:tcPr>
            <w:tcW w:w="0" w:type="dxa"/>
            <w:vAlign w:val="bottom"/>
          </w:tcPr>
          <w:p>
            <w:pPr>
              <w:spacing w:after="0"/>
              <w:rPr>
                <w:sz w:val="1"/>
                <w:szCs w:val="1"/>
                <w:color w:val="auto"/>
              </w:rPr>
            </w:pPr>
          </w:p>
        </w:tc>
      </w:tr>
      <w:tr>
        <w:trPr>
          <w:trHeight w:val="200"/>
        </w:trPr>
        <w:tc>
          <w:tcPr>
            <w:tcW w:w="4360" w:type="dxa"/>
            <w:vAlign w:val="bottom"/>
          </w:tcPr>
          <w:p>
            <w:pPr>
              <w:spacing w:after="0"/>
              <w:rPr>
                <w:sz w:val="17"/>
                <w:szCs w:val="17"/>
                <w:color w:val="auto"/>
              </w:rPr>
            </w:pPr>
          </w:p>
        </w:tc>
        <w:tc>
          <w:tcPr>
            <w:tcW w:w="3860" w:type="dxa"/>
            <w:vAlign w:val="bottom"/>
          </w:tcPr>
          <w:p>
            <w:pPr>
              <w:ind w:left="860"/>
              <w:spacing w:after="0"/>
              <w:rPr>
                <w:sz w:val="20"/>
                <w:szCs w:val="20"/>
                <w:color w:val="auto"/>
              </w:rPr>
            </w:pPr>
            <w:r>
              <w:rPr>
                <w:rFonts w:ascii="Arial" w:cs="Arial" w:eastAsia="Arial" w:hAnsi="Arial"/>
                <w:sz w:val="15"/>
                <w:szCs w:val="15"/>
                <w:color w:val="auto"/>
              </w:rPr>
              <w:t>Telephone: (808) 809-7990</w:t>
            </w:r>
          </w:p>
        </w:tc>
        <w:tc>
          <w:tcPr>
            <w:tcW w:w="3360" w:type="dxa"/>
            <w:vAlign w:val="bottom"/>
            <w:gridSpan w:val="2"/>
          </w:tcPr>
          <w:p>
            <w:pPr>
              <w:ind w:left="860"/>
              <w:spacing w:after="0"/>
              <w:rPr>
                <w:sz w:val="20"/>
                <w:szCs w:val="20"/>
                <w:color w:val="auto"/>
              </w:rPr>
            </w:pPr>
            <w:r>
              <w:rPr>
                <w:rFonts w:ascii="Arial" w:cs="Arial" w:eastAsia="Arial" w:hAnsi="Arial"/>
                <w:sz w:val="15"/>
                <w:szCs w:val="15"/>
                <w:color w:val="auto"/>
              </w:rPr>
              <w:t>Telephone: (844) 323-4640</w:t>
            </w:r>
          </w:p>
        </w:tc>
        <w:tc>
          <w:tcPr>
            <w:tcW w:w="0" w:type="dxa"/>
            <w:vAlign w:val="bottom"/>
          </w:tcPr>
          <w:p>
            <w:pPr>
              <w:spacing w:after="0"/>
              <w:rPr>
                <w:sz w:val="1"/>
                <w:szCs w:val="1"/>
                <w:color w:val="auto"/>
              </w:rPr>
            </w:pPr>
          </w:p>
        </w:tc>
      </w:tr>
    </w:tbl>
    <w:p>
      <w:pPr>
        <w:sectPr>
          <w:pgSz w:w="12240" w:h="15840" w:orient="portrait"/>
          <w:cols w:equalWidth="0" w:num="1">
            <w:col w:w="11580"/>
          </w:cols>
          <w:pgMar w:left="0" w:top="621" w:right="660" w:bottom="742"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8"/>
          <w:szCs w:val="28"/>
          <w:color w:val="000750"/>
        </w:rPr>
        <w:t>Where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1315720</wp:posOffset>
            </wp:positionH>
            <wp:positionV relativeFrom="paragraph">
              <wp:posOffset>-77470</wp:posOffset>
            </wp:positionV>
            <wp:extent cx="599948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5">
                      <a:extLst>
                        <a:ext uri="{28A0092B-C50C-407E-A947-70E740481C1C}"/>
                      </a:extLst>
                    </a:blip>
                    <a:srcRect/>
                    <a:stretch>
                      <a:fillRect/>
                    </a:stretch>
                  </pic:blipFill>
                  <pic:spPr bwMode="auto">
                    <a:xfrm>
                      <a:off x="0" y="0"/>
                      <a:ext cx="5999480" cy="2540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180"/>
        <w:spacing w:after="0"/>
        <w:tabs>
          <w:tab w:leader="none" w:pos="4320" w:val="left"/>
        </w:tabs>
        <w:rPr>
          <w:sz w:val="20"/>
          <w:szCs w:val="20"/>
          <w:color w:val="auto"/>
        </w:rPr>
      </w:pPr>
      <w:r>
        <w:rPr>
          <w:rFonts w:ascii="Arial" w:cs="Arial" w:eastAsia="Arial" w:hAnsi="Arial"/>
          <w:sz w:val="15"/>
          <w:szCs w:val="15"/>
          <w:color w:val="auto"/>
        </w:rPr>
        <w:t>OHIO</w:t>
      </w:r>
      <w:r>
        <w:rPr>
          <w:sz w:val="20"/>
          <w:szCs w:val="20"/>
          <w:color w:val="auto"/>
        </w:rPr>
        <w:tab/>
      </w:r>
      <w:r>
        <w:rPr>
          <w:rFonts w:ascii="Arial" w:cs="Arial" w:eastAsia="Arial" w:hAnsi="Arial"/>
          <w:sz w:val="15"/>
          <w:szCs w:val="15"/>
          <w:color w:val="auto"/>
        </w:rPr>
        <w:t>Houston</w:t>
      </w:r>
    </w:p>
    <w:p>
      <w:pPr>
        <w:spacing w:after="0" w:line="30" w:lineRule="exact"/>
        <w:rPr>
          <w:sz w:val="20"/>
          <w:szCs w:val="20"/>
          <w:color w:val="auto"/>
        </w:rPr>
      </w:pPr>
    </w:p>
    <w:p>
      <w:pPr>
        <w:ind w:left="520"/>
        <w:spacing w:after="0"/>
        <w:tabs>
          <w:tab w:leader="none" w:pos="4520" w:val="left"/>
        </w:tabs>
        <w:rPr>
          <w:sz w:val="20"/>
          <w:szCs w:val="20"/>
          <w:color w:val="auto"/>
        </w:rPr>
      </w:pPr>
      <w:r>
        <w:rPr>
          <w:rFonts w:ascii="Arial" w:cs="Arial" w:eastAsia="Arial" w:hAnsi="Arial"/>
          <w:sz w:val="15"/>
          <w:szCs w:val="15"/>
          <w:color w:val="auto"/>
        </w:rPr>
        <w:t>Westerville</w:t>
      </w:r>
      <w:r>
        <w:rPr>
          <w:sz w:val="20"/>
          <w:szCs w:val="20"/>
          <w:color w:val="auto"/>
        </w:rPr>
        <w:tab/>
      </w:r>
      <w:r>
        <w:rPr>
          <w:rFonts w:ascii="Arial" w:cs="Arial" w:eastAsia="Arial" w:hAnsi="Arial"/>
          <w:sz w:val="15"/>
          <w:szCs w:val="15"/>
          <w:color w:val="auto"/>
        </w:rPr>
        <w:t>800 Town &amp; Country Blvd.</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670 Meridian Way, Suite 146</w:t>
      </w:r>
      <w:r>
        <w:rPr>
          <w:sz w:val="20"/>
          <w:szCs w:val="20"/>
          <w:color w:val="auto"/>
        </w:rPr>
        <w:tab/>
      </w:r>
      <w:r>
        <w:rPr>
          <w:rFonts w:ascii="Arial" w:cs="Arial" w:eastAsia="Arial" w:hAnsi="Arial"/>
          <w:sz w:val="15"/>
          <w:szCs w:val="15"/>
          <w:color w:val="auto"/>
        </w:rPr>
        <w:t>Ste 500, Off 369 &amp; 370</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Westerville, OH 43082</w:t>
      </w:r>
      <w:r>
        <w:rPr>
          <w:sz w:val="20"/>
          <w:szCs w:val="20"/>
          <w:color w:val="auto"/>
        </w:rPr>
        <w:tab/>
      </w:r>
      <w:r>
        <w:rPr>
          <w:rFonts w:ascii="Arial" w:cs="Arial" w:eastAsia="Arial" w:hAnsi="Arial"/>
          <w:sz w:val="15"/>
          <w:szCs w:val="15"/>
          <w:color w:val="auto"/>
        </w:rPr>
        <w:t>Houston, TX 77024</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Telephone: (614) 441-9978</w:t>
      </w:r>
      <w:r>
        <w:rPr>
          <w:sz w:val="20"/>
          <w:szCs w:val="20"/>
          <w:color w:val="auto"/>
        </w:rPr>
        <w:tab/>
      </w:r>
      <w:r>
        <w:rPr>
          <w:rFonts w:ascii="Arial" w:cs="Arial" w:eastAsia="Arial" w:hAnsi="Arial"/>
          <w:sz w:val="15"/>
          <w:szCs w:val="15"/>
          <w:color w:val="auto"/>
        </w:rPr>
        <w:t>Telephone: (855) 203-1300</w:t>
      </w:r>
    </w:p>
    <w:p>
      <w:pPr>
        <w:spacing w:after="0" w:line="225" w:lineRule="exact"/>
        <w:rPr>
          <w:sz w:val="20"/>
          <w:szCs w:val="20"/>
          <w:color w:val="auto"/>
        </w:rPr>
      </w:pPr>
    </w:p>
    <w:p>
      <w:pPr>
        <w:ind w:left="180"/>
        <w:spacing w:after="0"/>
        <w:tabs>
          <w:tab w:leader="none" w:pos="4320" w:val="left"/>
        </w:tabs>
        <w:rPr>
          <w:sz w:val="20"/>
          <w:szCs w:val="20"/>
          <w:color w:val="auto"/>
        </w:rPr>
      </w:pPr>
      <w:r>
        <w:rPr>
          <w:rFonts w:ascii="Arial" w:cs="Arial" w:eastAsia="Arial" w:hAnsi="Arial"/>
          <w:sz w:val="15"/>
          <w:szCs w:val="15"/>
          <w:color w:val="auto"/>
        </w:rPr>
        <w:t>OREGON</w:t>
      </w:r>
      <w:r>
        <w:rPr>
          <w:sz w:val="20"/>
          <w:szCs w:val="20"/>
          <w:color w:val="auto"/>
        </w:rPr>
        <w:tab/>
      </w:r>
      <w:r>
        <w:rPr>
          <w:rFonts w:ascii="Arial" w:cs="Arial" w:eastAsia="Arial" w:hAnsi="Arial"/>
          <w:sz w:val="15"/>
          <w:szCs w:val="15"/>
          <w:color w:val="auto"/>
        </w:rPr>
        <w:t>Katy</w:t>
      </w:r>
    </w:p>
    <w:p>
      <w:pPr>
        <w:spacing w:after="0" w:line="30" w:lineRule="exact"/>
        <w:rPr>
          <w:sz w:val="20"/>
          <w:szCs w:val="20"/>
          <w:color w:val="auto"/>
        </w:rPr>
      </w:pPr>
    </w:p>
    <w:p>
      <w:pPr>
        <w:ind w:left="520"/>
        <w:spacing w:after="0"/>
        <w:tabs>
          <w:tab w:leader="none" w:pos="4520" w:val="left"/>
        </w:tabs>
        <w:rPr>
          <w:sz w:val="20"/>
          <w:szCs w:val="20"/>
          <w:color w:val="auto"/>
        </w:rPr>
      </w:pPr>
      <w:r>
        <w:rPr>
          <w:rFonts w:ascii="Arial" w:cs="Arial" w:eastAsia="Arial" w:hAnsi="Arial"/>
          <w:sz w:val="15"/>
          <w:szCs w:val="15"/>
          <w:color w:val="auto"/>
        </w:rPr>
        <w:t>Portland</w:t>
      </w:r>
      <w:r>
        <w:rPr>
          <w:sz w:val="20"/>
          <w:szCs w:val="20"/>
          <w:color w:val="auto"/>
        </w:rPr>
        <w:tab/>
      </w:r>
      <w:r>
        <w:rPr>
          <w:rFonts w:ascii="Arial" w:cs="Arial" w:eastAsia="Arial" w:hAnsi="Arial"/>
          <w:sz w:val="15"/>
          <w:szCs w:val="15"/>
          <w:color w:val="auto"/>
        </w:rPr>
        <w:t>1526 Katy Gap Rd, Unit 802</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3115 NE Sandy Blvd. Unit 227</w:t>
      </w:r>
      <w:r>
        <w:rPr>
          <w:sz w:val="20"/>
          <w:szCs w:val="20"/>
          <w:color w:val="auto"/>
        </w:rPr>
        <w:tab/>
      </w:r>
      <w:r>
        <w:rPr>
          <w:rFonts w:ascii="Arial" w:cs="Arial" w:eastAsia="Arial" w:hAnsi="Arial"/>
          <w:sz w:val="15"/>
          <w:szCs w:val="15"/>
          <w:color w:val="auto"/>
        </w:rPr>
        <w:t>Katy, TX 77494</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Portland OR 97232</w:t>
      </w:r>
      <w:r>
        <w:rPr>
          <w:sz w:val="20"/>
          <w:szCs w:val="20"/>
          <w:color w:val="auto"/>
        </w:rPr>
        <w:tab/>
      </w:r>
      <w:r>
        <w:rPr>
          <w:rFonts w:ascii="Arial" w:cs="Arial" w:eastAsia="Arial" w:hAnsi="Arial"/>
          <w:sz w:val="15"/>
          <w:szCs w:val="15"/>
          <w:color w:val="auto"/>
        </w:rPr>
        <w:t>Telephone: (855) 203-1300</w:t>
      </w:r>
    </w:p>
    <w:p>
      <w:pPr>
        <w:spacing w:after="0" w:line="28"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Telephone: (971) 544-7192</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23302 W Fernhurst Dr, Ste 300</w:t>
      </w:r>
    </w:p>
    <w:p>
      <w:pPr>
        <w:spacing w:after="0" w:line="25" w:lineRule="exact"/>
        <w:rPr>
          <w:sz w:val="20"/>
          <w:szCs w:val="20"/>
          <w:color w:val="auto"/>
        </w:rPr>
      </w:pPr>
    </w:p>
    <w:p>
      <w:pPr>
        <w:ind w:left="180"/>
        <w:spacing w:after="0"/>
        <w:tabs>
          <w:tab w:leader="none" w:pos="4520" w:val="left"/>
        </w:tabs>
        <w:rPr>
          <w:sz w:val="20"/>
          <w:szCs w:val="20"/>
          <w:color w:val="auto"/>
        </w:rPr>
      </w:pPr>
      <w:r>
        <w:rPr>
          <w:rFonts w:ascii="Arial" w:cs="Arial" w:eastAsia="Arial" w:hAnsi="Arial"/>
          <w:sz w:val="15"/>
          <w:szCs w:val="15"/>
          <w:color w:val="auto"/>
        </w:rPr>
        <w:t>PENNSYLVANIA</w:t>
      </w:r>
      <w:r>
        <w:rPr>
          <w:sz w:val="20"/>
          <w:szCs w:val="20"/>
          <w:color w:val="auto"/>
        </w:rPr>
        <w:tab/>
      </w:r>
      <w:r>
        <w:rPr>
          <w:rFonts w:ascii="Arial" w:cs="Arial" w:eastAsia="Arial" w:hAnsi="Arial"/>
          <w:sz w:val="15"/>
          <w:szCs w:val="15"/>
          <w:color w:val="auto"/>
        </w:rPr>
        <w:t>Katy, TX 77494</w:t>
      </w:r>
    </w:p>
    <w:p>
      <w:pPr>
        <w:spacing w:after="0" w:line="30" w:lineRule="exact"/>
        <w:rPr>
          <w:sz w:val="20"/>
          <w:szCs w:val="20"/>
          <w:color w:val="auto"/>
        </w:rPr>
      </w:pPr>
    </w:p>
    <w:p>
      <w:pPr>
        <w:ind w:left="520"/>
        <w:spacing w:after="0"/>
        <w:tabs>
          <w:tab w:leader="none" w:pos="4520" w:val="left"/>
        </w:tabs>
        <w:rPr>
          <w:sz w:val="20"/>
          <w:szCs w:val="20"/>
          <w:color w:val="auto"/>
        </w:rPr>
      </w:pPr>
      <w:r>
        <w:rPr>
          <w:rFonts w:ascii="Arial" w:cs="Arial" w:eastAsia="Arial" w:hAnsi="Arial"/>
          <w:sz w:val="15"/>
          <w:szCs w:val="15"/>
          <w:color w:val="auto"/>
        </w:rPr>
        <w:t>Philadelphia</w:t>
      </w:r>
      <w:r>
        <w:rPr>
          <w:sz w:val="20"/>
          <w:szCs w:val="20"/>
          <w:color w:val="auto"/>
        </w:rPr>
        <w:tab/>
      </w:r>
      <w:r>
        <w:rPr>
          <w:rFonts w:ascii="Arial" w:cs="Arial" w:eastAsia="Arial" w:hAnsi="Arial"/>
          <w:sz w:val="15"/>
          <w:szCs w:val="15"/>
          <w:color w:val="auto"/>
        </w:rPr>
        <w:t>Telephone: (832) 786-6699</w:t>
      </w:r>
    </w:p>
    <w:p>
      <w:pPr>
        <w:spacing w:after="0" w:line="28" w:lineRule="exact"/>
        <w:rPr>
          <w:sz w:val="20"/>
          <w:szCs w:val="20"/>
          <w:color w:val="auto"/>
        </w:rPr>
      </w:pPr>
    </w:p>
    <w:p>
      <w:pPr>
        <w:ind w:left="720"/>
        <w:spacing w:after="0"/>
        <w:rPr>
          <w:sz w:val="20"/>
          <w:szCs w:val="20"/>
          <w:color w:val="auto"/>
        </w:rPr>
      </w:pPr>
      <w:r>
        <w:rPr>
          <w:rFonts w:ascii="Arial" w:cs="Arial" w:eastAsia="Arial" w:hAnsi="Arial"/>
          <w:sz w:val="15"/>
          <w:szCs w:val="15"/>
          <w:color w:val="auto"/>
        </w:rPr>
        <w:t>100 S. Juniper, 3rd Flr, Off A05</w:t>
      </w:r>
    </w:p>
    <w:p>
      <w:pPr>
        <w:spacing w:after="0" w:line="28" w:lineRule="exact"/>
        <w:rPr>
          <w:sz w:val="20"/>
          <w:szCs w:val="20"/>
          <w:color w:val="auto"/>
        </w:rPr>
      </w:pPr>
    </w:p>
    <w:p>
      <w:pPr>
        <w:ind w:left="720"/>
        <w:spacing w:after="0"/>
        <w:tabs>
          <w:tab w:leader="none" w:pos="4320" w:val="left"/>
        </w:tabs>
        <w:rPr>
          <w:sz w:val="20"/>
          <w:szCs w:val="20"/>
          <w:color w:val="auto"/>
        </w:rPr>
      </w:pPr>
      <w:r>
        <w:rPr>
          <w:rFonts w:ascii="Arial" w:cs="Arial" w:eastAsia="Arial" w:hAnsi="Arial"/>
          <w:sz w:val="15"/>
          <w:szCs w:val="15"/>
          <w:color w:val="auto"/>
        </w:rPr>
        <w:t>Philadelphia, PA 19107</w:t>
      </w:r>
      <w:r>
        <w:rPr>
          <w:sz w:val="20"/>
          <w:szCs w:val="20"/>
          <w:color w:val="auto"/>
        </w:rPr>
        <w:tab/>
      </w:r>
      <w:r>
        <w:rPr>
          <w:rFonts w:ascii="Arial" w:cs="Arial" w:eastAsia="Arial" w:hAnsi="Arial"/>
          <w:sz w:val="15"/>
          <w:szCs w:val="15"/>
          <w:color w:val="auto"/>
        </w:rPr>
        <w:t>Spring</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Telephone: (844) 323-4640</w:t>
      </w:r>
      <w:r>
        <w:rPr>
          <w:sz w:val="20"/>
          <w:szCs w:val="20"/>
          <w:color w:val="auto"/>
        </w:rPr>
        <w:tab/>
      </w:r>
      <w:r>
        <w:rPr>
          <w:rFonts w:ascii="Arial" w:cs="Arial" w:eastAsia="Arial" w:hAnsi="Arial"/>
          <w:sz w:val="15"/>
          <w:szCs w:val="15"/>
          <w:color w:val="auto"/>
        </w:rPr>
        <w:t>25329 Budde Rd, Ste 1001</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Spring, TX 77380</w:t>
      </w:r>
    </w:p>
    <w:p>
      <w:pPr>
        <w:spacing w:after="0" w:line="25" w:lineRule="exact"/>
        <w:rPr>
          <w:sz w:val="20"/>
          <w:szCs w:val="20"/>
          <w:color w:val="auto"/>
        </w:rPr>
      </w:pPr>
    </w:p>
    <w:p>
      <w:pPr>
        <w:ind w:left="180"/>
        <w:spacing w:after="0"/>
        <w:tabs>
          <w:tab w:leader="none" w:pos="4520" w:val="left"/>
        </w:tabs>
        <w:rPr>
          <w:sz w:val="20"/>
          <w:szCs w:val="20"/>
          <w:color w:val="auto"/>
        </w:rPr>
      </w:pPr>
      <w:r>
        <w:rPr>
          <w:rFonts w:ascii="Arial" w:cs="Arial" w:eastAsia="Arial" w:hAnsi="Arial"/>
          <w:sz w:val="15"/>
          <w:szCs w:val="15"/>
          <w:color w:val="auto"/>
        </w:rPr>
        <w:t>TENNESSEE</w:t>
      </w:r>
      <w:r>
        <w:rPr>
          <w:sz w:val="20"/>
          <w:szCs w:val="20"/>
          <w:color w:val="auto"/>
        </w:rPr>
        <w:tab/>
      </w:r>
      <w:r>
        <w:rPr>
          <w:rFonts w:ascii="Arial" w:cs="Arial" w:eastAsia="Arial" w:hAnsi="Arial"/>
          <w:sz w:val="15"/>
          <w:szCs w:val="15"/>
          <w:color w:val="auto"/>
        </w:rPr>
        <w:t>Telephone: (855) 203-1300</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Memphis</w:t>
      </w:r>
    </w:p>
    <w:p>
      <w:pPr>
        <w:spacing w:after="0" w:line="28" w:lineRule="exact"/>
        <w:rPr>
          <w:sz w:val="20"/>
          <w:szCs w:val="20"/>
          <w:color w:val="auto"/>
        </w:rPr>
      </w:pPr>
    </w:p>
    <w:p>
      <w:pPr>
        <w:ind w:left="720"/>
        <w:spacing w:after="0"/>
        <w:tabs>
          <w:tab w:leader="none" w:pos="4320" w:val="left"/>
        </w:tabs>
        <w:rPr>
          <w:sz w:val="20"/>
          <w:szCs w:val="20"/>
          <w:color w:val="auto"/>
        </w:rPr>
      </w:pPr>
      <w:r>
        <w:rPr>
          <w:rFonts w:ascii="Arial" w:cs="Arial" w:eastAsia="Arial" w:hAnsi="Arial"/>
          <w:sz w:val="15"/>
          <w:szCs w:val="15"/>
          <w:color w:val="auto"/>
        </w:rPr>
        <w:t>3292 Winbrook Dr.</w:t>
      </w:r>
      <w:r>
        <w:rPr>
          <w:sz w:val="20"/>
          <w:szCs w:val="20"/>
          <w:color w:val="auto"/>
        </w:rPr>
        <w:tab/>
      </w:r>
      <w:r>
        <w:rPr>
          <w:rFonts w:ascii="Arial" w:cs="Arial" w:eastAsia="Arial" w:hAnsi="Arial"/>
          <w:sz w:val="15"/>
          <w:szCs w:val="15"/>
          <w:color w:val="auto"/>
        </w:rPr>
        <w:t>Sugar Land</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Memphis, TN 38116</w:t>
      </w:r>
      <w:r>
        <w:rPr>
          <w:sz w:val="20"/>
          <w:szCs w:val="20"/>
          <w:color w:val="auto"/>
        </w:rPr>
        <w:tab/>
      </w:r>
      <w:r>
        <w:rPr>
          <w:rFonts w:ascii="Arial" w:cs="Arial" w:eastAsia="Arial" w:hAnsi="Arial"/>
          <w:sz w:val="15"/>
          <w:szCs w:val="15"/>
          <w:color w:val="auto"/>
        </w:rPr>
        <w:t>14090 Southwest Freeway</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Telephone: (866) 827-9558</w:t>
      </w:r>
      <w:r>
        <w:rPr>
          <w:sz w:val="20"/>
          <w:szCs w:val="20"/>
          <w:color w:val="auto"/>
        </w:rPr>
        <w:tab/>
      </w:r>
      <w:r>
        <w:rPr>
          <w:rFonts w:ascii="Arial" w:cs="Arial" w:eastAsia="Arial" w:hAnsi="Arial"/>
          <w:sz w:val="15"/>
          <w:szCs w:val="15"/>
          <w:color w:val="auto"/>
        </w:rPr>
        <w:t>Ste 300, Off 355</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Sugar Land, TX 77478</w:t>
      </w:r>
    </w:p>
    <w:p>
      <w:pPr>
        <w:spacing w:after="0" w:line="25" w:lineRule="exact"/>
        <w:rPr>
          <w:sz w:val="20"/>
          <w:szCs w:val="20"/>
          <w:color w:val="auto"/>
        </w:rPr>
      </w:pPr>
    </w:p>
    <w:p>
      <w:pPr>
        <w:ind w:left="180"/>
        <w:spacing w:after="0"/>
        <w:tabs>
          <w:tab w:leader="none" w:pos="4520" w:val="left"/>
        </w:tabs>
        <w:rPr>
          <w:sz w:val="20"/>
          <w:szCs w:val="20"/>
          <w:color w:val="auto"/>
        </w:rPr>
      </w:pPr>
      <w:r>
        <w:rPr>
          <w:rFonts w:ascii="Arial" w:cs="Arial" w:eastAsia="Arial" w:hAnsi="Arial"/>
          <w:sz w:val="15"/>
          <w:szCs w:val="15"/>
          <w:color w:val="auto"/>
        </w:rPr>
        <w:t>TEXAS</w:t>
      </w:r>
      <w:r>
        <w:rPr>
          <w:sz w:val="20"/>
          <w:szCs w:val="20"/>
          <w:color w:val="auto"/>
        </w:rPr>
        <w:tab/>
      </w:r>
      <w:r>
        <w:rPr>
          <w:rFonts w:ascii="Arial" w:cs="Arial" w:eastAsia="Arial" w:hAnsi="Arial"/>
          <w:sz w:val="15"/>
          <w:szCs w:val="15"/>
          <w:color w:val="auto"/>
        </w:rPr>
        <w:t>Telephone: (855) 203-1300</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Amarillo</w:t>
      </w:r>
    </w:p>
    <w:p>
      <w:pPr>
        <w:spacing w:after="0" w:line="28" w:lineRule="exact"/>
        <w:rPr>
          <w:sz w:val="20"/>
          <w:szCs w:val="20"/>
          <w:color w:val="auto"/>
        </w:rPr>
      </w:pPr>
    </w:p>
    <w:p>
      <w:pPr>
        <w:ind w:left="720"/>
        <w:spacing w:after="0"/>
        <w:tabs>
          <w:tab w:leader="none" w:pos="4320" w:val="left"/>
        </w:tabs>
        <w:rPr>
          <w:sz w:val="20"/>
          <w:szCs w:val="20"/>
          <w:color w:val="auto"/>
        </w:rPr>
      </w:pPr>
      <w:r>
        <w:rPr>
          <w:rFonts w:ascii="Arial" w:cs="Arial" w:eastAsia="Arial" w:hAnsi="Arial"/>
          <w:sz w:val="15"/>
          <w:szCs w:val="15"/>
          <w:color w:val="auto"/>
        </w:rPr>
        <w:t>6661 Canyon Dr, Unit D</w:t>
      </w:r>
      <w:r>
        <w:rPr>
          <w:sz w:val="20"/>
          <w:szCs w:val="20"/>
          <w:color w:val="auto"/>
        </w:rPr>
        <w:tab/>
      </w:r>
      <w:r>
        <w:rPr>
          <w:rFonts w:ascii="Arial" w:cs="Arial" w:eastAsia="Arial" w:hAnsi="Arial"/>
          <w:sz w:val="15"/>
          <w:szCs w:val="15"/>
          <w:color w:val="auto"/>
        </w:rPr>
        <w:t>The Woodlands</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Amarillo, TX 79110</w:t>
      </w:r>
      <w:r>
        <w:rPr>
          <w:sz w:val="20"/>
          <w:szCs w:val="20"/>
          <w:color w:val="auto"/>
        </w:rPr>
        <w:tab/>
      </w:r>
      <w:r>
        <w:rPr>
          <w:rFonts w:ascii="Arial" w:cs="Arial" w:eastAsia="Arial" w:hAnsi="Arial"/>
          <w:sz w:val="15"/>
          <w:szCs w:val="15"/>
          <w:color w:val="auto"/>
        </w:rPr>
        <w:t>2001 Timberloch Place</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Telephone: (855) 203-1300</w:t>
      </w:r>
      <w:r>
        <w:rPr>
          <w:sz w:val="20"/>
          <w:szCs w:val="20"/>
          <w:color w:val="auto"/>
        </w:rPr>
        <w:tab/>
      </w:r>
      <w:r>
        <w:rPr>
          <w:rFonts w:ascii="Arial" w:cs="Arial" w:eastAsia="Arial" w:hAnsi="Arial"/>
          <w:sz w:val="15"/>
          <w:szCs w:val="15"/>
          <w:color w:val="auto"/>
        </w:rPr>
        <w:t>Ste 500, Off 531</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The Woodlands, TX 77380</w:t>
      </w:r>
    </w:p>
    <w:p>
      <w:pPr>
        <w:spacing w:after="0" w:line="28" w:lineRule="exact"/>
        <w:rPr>
          <w:sz w:val="20"/>
          <w:szCs w:val="20"/>
          <w:color w:val="auto"/>
        </w:rPr>
      </w:pPr>
    </w:p>
    <w:p>
      <w:pPr>
        <w:ind w:left="520"/>
        <w:spacing w:after="0"/>
        <w:tabs>
          <w:tab w:leader="none" w:pos="4520" w:val="left"/>
        </w:tabs>
        <w:rPr>
          <w:sz w:val="20"/>
          <w:szCs w:val="20"/>
          <w:color w:val="auto"/>
        </w:rPr>
      </w:pPr>
      <w:r>
        <w:rPr>
          <w:rFonts w:ascii="Arial" w:cs="Arial" w:eastAsia="Arial" w:hAnsi="Arial"/>
          <w:sz w:val="15"/>
          <w:szCs w:val="15"/>
          <w:color w:val="auto"/>
        </w:rPr>
        <w:t>Austin</w:t>
      </w:r>
      <w:r>
        <w:rPr>
          <w:sz w:val="20"/>
          <w:szCs w:val="20"/>
          <w:color w:val="auto"/>
        </w:rPr>
        <w:tab/>
      </w:r>
      <w:r>
        <w:rPr>
          <w:rFonts w:ascii="Arial" w:cs="Arial" w:eastAsia="Arial" w:hAnsi="Arial"/>
          <w:sz w:val="15"/>
          <w:szCs w:val="15"/>
          <w:color w:val="auto"/>
        </w:rPr>
        <w:t>Telephone: (855) 203-1300</w:t>
      </w:r>
    </w:p>
    <w:p>
      <w:pPr>
        <w:spacing w:after="0" w:line="28" w:lineRule="exact"/>
        <w:rPr>
          <w:sz w:val="20"/>
          <w:szCs w:val="20"/>
          <w:color w:val="auto"/>
        </w:rPr>
      </w:pPr>
    </w:p>
    <w:p>
      <w:pPr>
        <w:ind w:left="720"/>
        <w:spacing w:after="0"/>
        <w:rPr>
          <w:sz w:val="20"/>
          <w:szCs w:val="20"/>
          <w:color w:val="auto"/>
        </w:rPr>
      </w:pPr>
      <w:r>
        <w:rPr>
          <w:rFonts w:ascii="Arial" w:cs="Arial" w:eastAsia="Arial" w:hAnsi="Arial"/>
          <w:sz w:val="15"/>
          <w:szCs w:val="15"/>
          <w:color w:val="auto"/>
        </w:rPr>
        <w:t>2100 Kramer Lane, Suite 900</w:t>
      </w:r>
    </w:p>
    <w:p>
      <w:pPr>
        <w:spacing w:after="0" w:line="25" w:lineRule="exact"/>
        <w:rPr>
          <w:sz w:val="20"/>
          <w:szCs w:val="20"/>
          <w:color w:val="auto"/>
        </w:rPr>
      </w:pPr>
    </w:p>
    <w:p>
      <w:pPr>
        <w:ind w:left="720"/>
        <w:spacing w:after="0"/>
        <w:tabs>
          <w:tab w:leader="none" w:pos="3980" w:val="left"/>
        </w:tabs>
        <w:rPr>
          <w:sz w:val="20"/>
          <w:szCs w:val="20"/>
          <w:color w:val="auto"/>
        </w:rPr>
      </w:pPr>
      <w:r>
        <w:rPr>
          <w:rFonts w:ascii="Arial" w:cs="Arial" w:eastAsia="Arial" w:hAnsi="Arial"/>
          <w:sz w:val="15"/>
          <w:szCs w:val="15"/>
          <w:color w:val="auto"/>
        </w:rPr>
        <w:t>Austin, TX 78758</w:t>
      </w:r>
      <w:r>
        <w:rPr>
          <w:sz w:val="20"/>
          <w:szCs w:val="20"/>
          <w:color w:val="auto"/>
        </w:rPr>
        <w:tab/>
      </w:r>
      <w:r>
        <w:rPr>
          <w:rFonts w:ascii="Arial" w:cs="Arial" w:eastAsia="Arial" w:hAnsi="Arial"/>
          <w:sz w:val="15"/>
          <w:szCs w:val="15"/>
          <w:color w:val="auto"/>
        </w:rPr>
        <w:t>UTAH</w:t>
      </w:r>
    </w:p>
    <w:p>
      <w:pPr>
        <w:spacing w:after="0" w:line="28" w:lineRule="exact"/>
        <w:rPr>
          <w:sz w:val="20"/>
          <w:szCs w:val="20"/>
          <w:color w:val="auto"/>
        </w:rPr>
      </w:pPr>
    </w:p>
    <w:p>
      <w:pPr>
        <w:ind w:left="720"/>
        <w:spacing w:after="0"/>
        <w:tabs>
          <w:tab w:leader="none" w:pos="4320" w:val="left"/>
        </w:tabs>
        <w:rPr>
          <w:sz w:val="20"/>
          <w:szCs w:val="20"/>
          <w:color w:val="auto"/>
        </w:rPr>
      </w:pPr>
      <w:r>
        <w:rPr>
          <w:rFonts w:ascii="Arial" w:cs="Arial" w:eastAsia="Arial" w:hAnsi="Arial"/>
          <w:sz w:val="15"/>
          <w:szCs w:val="15"/>
          <w:color w:val="auto"/>
        </w:rPr>
        <w:t>Telephone: (512) 795-5596</w:t>
      </w:r>
      <w:r>
        <w:rPr>
          <w:sz w:val="20"/>
          <w:szCs w:val="20"/>
          <w:color w:val="auto"/>
        </w:rPr>
        <w:tab/>
      </w:r>
      <w:r>
        <w:rPr>
          <w:rFonts w:ascii="Arial" w:cs="Arial" w:eastAsia="Arial" w:hAnsi="Arial"/>
          <w:sz w:val="15"/>
          <w:szCs w:val="15"/>
          <w:color w:val="auto"/>
        </w:rPr>
        <w:t>Ephraim</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497 S. Main, Suite E</w:t>
      </w:r>
    </w:p>
    <w:p>
      <w:pPr>
        <w:spacing w:after="0" w:line="28" w:lineRule="exact"/>
        <w:rPr>
          <w:sz w:val="20"/>
          <w:szCs w:val="20"/>
          <w:color w:val="auto"/>
        </w:rPr>
      </w:pPr>
    </w:p>
    <w:p>
      <w:pPr>
        <w:ind w:left="520"/>
        <w:spacing w:after="0"/>
        <w:tabs>
          <w:tab w:leader="none" w:pos="4520" w:val="left"/>
        </w:tabs>
        <w:rPr>
          <w:sz w:val="20"/>
          <w:szCs w:val="20"/>
          <w:color w:val="auto"/>
        </w:rPr>
      </w:pPr>
      <w:r>
        <w:rPr>
          <w:rFonts w:ascii="Arial" w:cs="Arial" w:eastAsia="Arial" w:hAnsi="Arial"/>
          <w:sz w:val="15"/>
          <w:szCs w:val="15"/>
          <w:color w:val="auto"/>
        </w:rPr>
        <w:t>Brownsville</w:t>
      </w:r>
      <w:r>
        <w:rPr>
          <w:sz w:val="20"/>
          <w:szCs w:val="20"/>
          <w:color w:val="auto"/>
        </w:rPr>
        <w:tab/>
      </w:r>
      <w:r>
        <w:rPr>
          <w:rFonts w:ascii="Arial" w:cs="Arial" w:eastAsia="Arial" w:hAnsi="Arial"/>
          <w:sz w:val="15"/>
          <w:szCs w:val="15"/>
          <w:color w:val="auto"/>
        </w:rPr>
        <w:t>Ephraim, UT 84627</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1213 E. Alton Gloor Blvd</w:t>
      </w:r>
      <w:r>
        <w:rPr>
          <w:sz w:val="20"/>
          <w:szCs w:val="20"/>
          <w:color w:val="auto"/>
        </w:rPr>
        <w:tab/>
      </w:r>
      <w:r>
        <w:rPr>
          <w:rFonts w:ascii="Arial" w:cs="Arial" w:eastAsia="Arial" w:hAnsi="Arial"/>
          <w:sz w:val="15"/>
          <w:szCs w:val="15"/>
          <w:color w:val="auto"/>
        </w:rPr>
        <w:t>Telephone: (435) 283-3000</w:t>
      </w:r>
    </w:p>
    <w:p>
      <w:pPr>
        <w:spacing w:after="0" w:line="28" w:lineRule="exact"/>
        <w:rPr>
          <w:sz w:val="20"/>
          <w:szCs w:val="20"/>
          <w:color w:val="auto"/>
        </w:rPr>
      </w:pPr>
    </w:p>
    <w:p>
      <w:pPr>
        <w:ind w:left="720"/>
        <w:spacing w:after="0"/>
        <w:rPr>
          <w:sz w:val="20"/>
          <w:szCs w:val="20"/>
          <w:color w:val="auto"/>
        </w:rPr>
      </w:pPr>
      <w:r>
        <w:rPr>
          <w:rFonts w:ascii="Arial" w:cs="Arial" w:eastAsia="Arial" w:hAnsi="Arial"/>
          <w:sz w:val="15"/>
          <w:szCs w:val="15"/>
          <w:color w:val="auto"/>
        </w:rPr>
        <w:t>Suite H &amp; I</w:t>
      </w:r>
    </w:p>
    <w:p>
      <w:pPr>
        <w:spacing w:after="0" w:line="28" w:lineRule="exact"/>
        <w:rPr>
          <w:sz w:val="20"/>
          <w:szCs w:val="20"/>
          <w:color w:val="auto"/>
        </w:rPr>
      </w:pPr>
    </w:p>
    <w:p>
      <w:pPr>
        <w:ind w:left="720"/>
        <w:spacing w:after="0"/>
        <w:tabs>
          <w:tab w:leader="none" w:pos="4320" w:val="left"/>
        </w:tabs>
        <w:rPr>
          <w:sz w:val="20"/>
          <w:szCs w:val="20"/>
          <w:color w:val="auto"/>
        </w:rPr>
      </w:pPr>
      <w:r>
        <w:rPr>
          <w:rFonts w:ascii="Arial" w:cs="Arial" w:eastAsia="Arial" w:hAnsi="Arial"/>
          <w:sz w:val="15"/>
          <w:szCs w:val="15"/>
          <w:color w:val="auto"/>
        </w:rPr>
        <w:t>Brownsville, TX 78526</w:t>
      </w:r>
      <w:r>
        <w:rPr>
          <w:sz w:val="20"/>
          <w:szCs w:val="20"/>
          <w:color w:val="auto"/>
        </w:rPr>
        <w:tab/>
      </w:r>
      <w:r>
        <w:rPr>
          <w:rFonts w:ascii="Arial" w:cs="Arial" w:eastAsia="Arial" w:hAnsi="Arial"/>
          <w:sz w:val="15"/>
          <w:szCs w:val="15"/>
          <w:color w:val="auto"/>
        </w:rPr>
        <w:t>Orem</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Telephone: (956) 554-0792</w:t>
      </w:r>
      <w:r>
        <w:rPr>
          <w:sz w:val="20"/>
          <w:szCs w:val="20"/>
          <w:color w:val="auto"/>
        </w:rPr>
        <w:tab/>
      </w:r>
      <w:r>
        <w:rPr>
          <w:rFonts w:ascii="Arial" w:cs="Arial" w:eastAsia="Arial" w:hAnsi="Arial"/>
          <w:sz w:val="15"/>
          <w:szCs w:val="15"/>
          <w:color w:val="auto"/>
        </w:rPr>
        <w:t>998 N. 1200 W., Suite 104</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Orem, UT 84057</w:t>
      </w:r>
    </w:p>
    <w:p>
      <w:pPr>
        <w:spacing w:after="0" w:line="28" w:lineRule="exact"/>
        <w:rPr>
          <w:sz w:val="20"/>
          <w:szCs w:val="20"/>
          <w:color w:val="auto"/>
        </w:rPr>
      </w:pPr>
    </w:p>
    <w:p>
      <w:pPr>
        <w:ind w:left="520"/>
        <w:spacing w:after="0"/>
        <w:tabs>
          <w:tab w:leader="none" w:pos="4520" w:val="left"/>
        </w:tabs>
        <w:rPr>
          <w:sz w:val="20"/>
          <w:szCs w:val="20"/>
          <w:color w:val="auto"/>
        </w:rPr>
      </w:pPr>
      <w:r>
        <w:rPr>
          <w:rFonts w:ascii="Arial" w:cs="Arial" w:eastAsia="Arial" w:hAnsi="Arial"/>
          <w:sz w:val="15"/>
          <w:szCs w:val="15"/>
          <w:color w:val="auto"/>
        </w:rPr>
        <w:t>Dallas</w:t>
      </w:r>
      <w:r>
        <w:rPr>
          <w:sz w:val="20"/>
          <w:szCs w:val="20"/>
          <w:color w:val="auto"/>
        </w:rPr>
        <w:tab/>
      </w:r>
      <w:r>
        <w:rPr>
          <w:rFonts w:ascii="Arial" w:cs="Arial" w:eastAsia="Arial" w:hAnsi="Arial"/>
          <w:sz w:val="15"/>
          <w:szCs w:val="15"/>
          <w:color w:val="auto"/>
        </w:rPr>
        <w:t>Telephone: (385) 484-7200</w:t>
      </w:r>
    </w:p>
    <w:p>
      <w:pPr>
        <w:spacing w:after="0" w:line="28" w:lineRule="exact"/>
        <w:rPr>
          <w:sz w:val="20"/>
          <w:szCs w:val="20"/>
          <w:color w:val="auto"/>
        </w:rPr>
      </w:pPr>
    </w:p>
    <w:p>
      <w:pPr>
        <w:ind w:left="720"/>
        <w:spacing w:after="0"/>
        <w:rPr>
          <w:sz w:val="20"/>
          <w:szCs w:val="20"/>
          <w:color w:val="auto"/>
        </w:rPr>
      </w:pPr>
      <w:r>
        <w:rPr>
          <w:rFonts w:ascii="Arial" w:cs="Arial" w:eastAsia="Arial" w:hAnsi="Arial"/>
          <w:sz w:val="15"/>
          <w:szCs w:val="15"/>
          <w:color w:val="auto"/>
        </w:rPr>
        <w:t>10000 N. Central Expy, Ste. 400</w:t>
      </w:r>
    </w:p>
    <w:p>
      <w:pPr>
        <w:spacing w:after="0" w:line="28" w:lineRule="exact"/>
        <w:rPr>
          <w:sz w:val="20"/>
          <w:szCs w:val="20"/>
          <w:color w:val="auto"/>
        </w:rPr>
      </w:pPr>
    </w:p>
    <w:p>
      <w:pPr>
        <w:ind w:left="720"/>
        <w:spacing w:after="0"/>
        <w:tabs>
          <w:tab w:leader="none" w:pos="4320" w:val="left"/>
        </w:tabs>
        <w:rPr>
          <w:sz w:val="20"/>
          <w:szCs w:val="20"/>
          <w:color w:val="auto"/>
        </w:rPr>
      </w:pPr>
      <w:r>
        <w:rPr>
          <w:rFonts w:ascii="Arial" w:cs="Arial" w:eastAsia="Arial" w:hAnsi="Arial"/>
          <w:sz w:val="15"/>
          <w:szCs w:val="15"/>
          <w:color w:val="auto"/>
        </w:rPr>
        <w:t>Off. 453</w:t>
      </w:r>
      <w:r>
        <w:rPr>
          <w:sz w:val="20"/>
          <w:szCs w:val="20"/>
          <w:color w:val="auto"/>
        </w:rPr>
        <w:tab/>
      </w:r>
      <w:r>
        <w:rPr>
          <w:rFonts w:ascii="Arial" w:cs="Arial" w:eastAsia="Arial" w:hAnsi="Arial"/>
          <w:sz w:val="15"/>
          <w:szCs w:val="15"/>
          <w:color w:val="auto"/>
        </w:rPr>
        <w:t>Salt Lake City</w:t>
      </w:r>
    </w:p>
    <w:p>
      <w:pPr>
        <w:spacing w:after="0" w:line="28" w:lineRule="exact"/>
        <w:rPr>
          <w:sz w:val="20"/>
          <w:szCs w:val="20"/>
          <w:color w:val="auto"/>
        </w:rPr>
      </w:pPr>
    </w:p>
    <w:p>
      <w:pPr>
        <w:jc w:val="right"/>
        <w:ind w:right="140"/>
        <w:spacing w:after="0"/>
        <w:tabs>
          <w:tab w:leader="none" w:pos="2540" w:val="left"/>
        </w:tabs>
        <w:rPr>
          <w:sz w:val="20"/>
          <w:szCs w:val="20"/>
          <w:color w:val="auto"/>
        </w:rPr>
      </w:pPr>
      <w:r>
        <w:rPr>
          <w:rFonts w:ascii="Arial" w:cs="Arial" w:eastAsia="Arial" w:hAnsi="Arial"/>
          <w:sz w:val="15"/>
          <w:szCs w:val="15"/>
          <w:color w:val="auto"/>
        </w:rPr>
        <w:t>Dallas, TX 75231</w:t>
      </w:r>
      <w:r>
        <w:rPr>
          <w:sz w:val="20"/>
          <w:szCs w:val="20"/>
          <w:color w:val="auto"/>
        </w:rPr>
        <w:tab/>
      </w:r>
      <w:r>
        <w:rPr>
          <w:rFonts w:ascii="Arial" w:cs="Arial" w:eastAsia="Arial" w:hAnsi="Arial"/>
          <w:sz w:val="15"/>
          <w:szCs w:val="15"/>
          <w:color w:val="auto"/>
        </w:rPr>
        <w:t>2455 East Parleys Way, Suite 150</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Telephone: (469) 374-9700</w:t>
      </w:r>
      <w:r>
        <w:rPr>
          <w:sz w:val="20"/>
          <w:szCs w:val="20"/>
          <w:color w:val="auto"/>
        </w:rPr>
        <w:tab/>
      </w:r>
      <w:r>
        <w:rPr>
          <w:rFonts w:ascii="Arial" w:cs="Arial" w:eastAsia="Arial" w:hAnsi="Arial"/>
          <w:sz w:val="15"/>
          <w:szCs w:val="15"/>
          <w:color w:val="auto"/>
        </w:rPr>
        <w:t>Salt Lake City, UT 84109</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Telephone: (801) 713-4800</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El Paso</w:t>
      </w:r>
    </w:p>
    <w:p>
      <w:pPr>
        <w:spacing w:after="0" w:line="28" w:lineRule="exact"/>
        <w:rPr>
          <w:sz w:val="20"/>
          <w:szCs w:val="20"/>
          <w:color w:val="auto"/>
        </w:rPr>
      </w:pPr>
    </w:p>
    <w:p>
      <w:pPr>
        <w:ind w:left="720"/>
        <w:spacing w:after="0"/>
        <w:tabs>
          <w:tab w:leader="none" w:pos="4320" w:val="left"/>
        </w:tabs>
        <w:rPr>
          <w:sz w:val="20"/>
          <w:szCs w:val="20"/>
          <w:color w:val="auto"/>
        </w:rPr>
      </w:pPr>
      <w:r>
        <w:rPr>
          <w:rFonts w:ascii="Arial" w:cs="Arial" w:eastAsia="Arial" w:hAnsi="Arial"/>
          <w:sz w:val="15"/>
          <w:szCs w:val="15"/>
          <w:color w:val="auto"/>
        </w:rPr>
        <w:t>1600 Lee Trevino, Suite A-1</w:t>
      </w:r>
      <w:r>
        <w:rPr>
          <w:sz w:val="20"/>
          <w:szCs w:val="20"/>
          <w:color w:val="auto"/>
        </w:rPr>
        <w:tab/>
      </w:r>
      <w:r>
        <w:rPr>
          <w:rFonts w:ascii="Arial" w:cs="Arial" w:eastAsia="Arial" w:hAnsi="Arial"/>
          <w:sz w:val="15"/>
          <w:szCs w:val="15"/>
          <w:color w:val="auto"/>
        </w:rPr>
        <w:t>Sandy</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El Paso, TX 79936</w:t>
      </w:r>
      <w:r>
        <w:rPr>
          <w:sz w:val="20"/>
          <w:szCs w:val="20"/>
          <w:color w:val="auto"/>
        </w:rPr>
        <w:tab/>
      </w:r>
      <w:r>
        <w:rPr>
          <w:rFonts w:ascii="Arial" w:cs="Arial" w:eastAsia="Arial" w:hAnsi="Arial"/>
          <w:sz w:val="15"/>
          <w:szCs w:val="15"/>
          <w:color w:val="auto"/>
        </w:rPr>
        <w:t>126 West Sego Lily Drive #260</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Telephone: (915) 339-0569</w:t>
      </w:r>
      <w:r>
        <w:rPr>
          <w:sz w:val="20"/>
          <w:szCs w:val="20"/>
          <w:color w:val="auto"/>
        </w:rPr>
        <w:tab/>
      </w:r>
      <w:r>
        <w:rPr>
          <w:rFonts w:ascii="Arial" w:cs="Arial" w:eastAsia="Arial" w:hAnsi="Arial"/>
          <w:sz w:val="15"/>
          <w:szCs w:val="15"/>
          <w:color w:val="auto"/>
        </w:rPr>
        <w:t>Sandy, UT 84070</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Telephone: (801) 571-1313</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Friendswood</w:t>
      </w:r>
    </w:p>
    <w:p>
      <w:pPr>
        <w:spacing w:after="0" w:line="28" w:lineRule="exact"/>
        <w:rPr>
          <w:sz w:val="20"/>
          <w:szCs w:val="20"/>
          <w:color w:val="auto"/>
        </w:rPr>
      </w:pPr>
    </w:p>
    <w:p>
      <w:pPr>
        <w:ind w:left="720"/>
        <w:spacing w:after="0"/>
        <w:tabs>
          <w:tab w:leader="none" w:pos="4320" w:val="left"/>
        </w:tabs>
        <w:rPr>
          <w:sz w:val="20"/>
          <w:szCs w:val="20"/>
          <w:color w:val="auto"/>
        </w:rPr>
      </w:pPr>
      <w:r>
        <w:rPr>
          <w:rFonts w:ascii="Arial" w:cs="Arial" w:eastAsia="Arial" w:hAnsi="Arial"/>
          <w:sz w:val="15"/>
          <w:szCs w:val="15"/>
          <w:color w:val="auto"/>
        </w:rPr>
        <w:t>402 E Edgewood Dr.</w:t>
      </w:r>
      <w:r>
        <w:rPr>
          <w:sz w:val="20"/>
          <w:szCs w:val="20"/>
          <w:color w:val="auto"/>
        </w:rPr>
        <w:tab/>
      </w:r>
      <w:r>
        <w:rPr>
          <w:rFonts w:ascii="Arial" w:cs="Arial" w:eastAsia="Arial" w:hAnsi="Arial"/>
          <w:sz w:val="15"/>
          <w:szCs w:val="15"/>
          <w:color w:val="auto"/>
        </w:rPr>
        <w:t>St. George</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Friendswood TX 77546</w:t>
      </w:r>
      <w:r>
        <w:rPr>
          <w:sz w:val="20"/>
          <w:szCs w:val="20"/>
          <w:color w:val="auto"/>
        </w:rPr>
        <w:tab/>
      </w:r>
      <w:r>
        <w:rPr>
          <w:rFonts w:ascii="Arial" w:cs="Arial" w:eastAsia="Arial" w:hAnsi="Arial"/>
          <w:sz w:val="15"/>
          <w:szCs w:val="15"/>
          <w:color w:val="auto"/>
        </w:rPr>
        <w:t>162 N. 400 E., Bldg C, Suite 205</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Telephone: (855) 203-1300</w:t>
      </w:r>
      <w:r>
        <w:rPr>
          <w:sz w:val="20"/>
          <w:szCs w:val="20"/>
          <w:color w:val="auto"/>
        </w:rPr>
        <w:tab/>
      </w:r>
      <w:r>
        <w:rPr>
          <w:rFonts w:ascii="Arial" w:cs="Arial" w:eastAsia="Arial" w:hAnsi="Arial"/>
          <w:sz w:val="15"/>
          <w:szCs w:val="15"/>
          <w:color w:val="auto"/>
        </w:rPr>
        <w:t>St. George, UT 84770</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Telephone: (844) 323-4640</w:t>
      </w:r>
    </w:p>
    <w:p>
      <w:pPr>
        <w:spacing w:after="0" w:line="28" w:lineRule="exact"/>
        <w:rPr>
          <w:sz w:val="20"/>
          <w:szCs w:val="20"/>
          <w:color w:val="auto"/>
        </w:rPr>
      </w:pPr>
    </w:p>
    <w:p>
      <w:pPr>
        <w:ind w:left="520"/>
        <w:spacing w:after="0"/>
        <w:rPr>
          <w:sz w:val="20"/>
          <w:szCs w:val="20"/>
          <w:color w:val="auto"/>
        </w:rPr>
      </w:pPr>
      <w:r>
        <w:rPr>
          <w:rFonts w:ascii="Arial" w:cs="Arial" w:eastAsia="Arial" w:hAnsi="Arial"/>
          <w:sz w:val="15"/>
          <w:szCs w:val="15"/>
          <w:color w:val="auto"/>
        </w:rPr>
        <w:t>Fulshear</w:t>
      </w:r>
    </w:p>
    <w:p>
      <w:pPr>
        <w:spacing w:after="0" w:line="28" w:lineRule="exact"/>
        <w:rPr>
          <w:sz w:val="20"/>
          <w:szCs w:val="20"/>
          <w:color w:val="auto"/>
        </w:rPr>
      </w:pPr>
    </w:p>
    <w:p>
      <w:pPr>
        <w:ind w:left="720"/>
        <w:spacing w:after="0"/>
        <w:tabs>
          <w:tab w:leader="none" w:pos="4320" w:val="left"/>
        </w:tabs>
        <w:rPr>
          <w:sz w:val="20"/>
          <w:szCs w:val="20"/>
          <w:color w:val="auto"/>
        </w:rPr>
      </w:pPr>
      <w:r>
        <w:rPr>
          <w:rFonts w:ascii="Arial" w:cs="Arial" w:eastAsia="Arial" w:hAnsi="Arial"/>
          <w:sz w:val="15"/>
          <w:szCs w:val="15"/>
          <w:color w:val="auto"/>
        </w:rPr>
        <w:t>5757 Flewellen Oaks Ln, Unit 104</w:t>
      </w:r>
      <w:r>
        <w:rPr>
          <w:sz w:val="20"/>
          <w:szCs w:val="20"/>
          <w:color w:val="auto"/>
        </w:rPr>
        <w:tab/>
      </w:r>
      <w:r>
        <w:rPr>
          <w:rFonts w:ascii="Arial" w:cs="Arial" w:eastAsia="Arial" w:hAnsi="Arial"/>
          <w:sz w:val="15"/>
          <w:szCs w:val="15"/>
          <w:color w:val="auto"/>
        </w:rPr>
        <w:t>Stansbury Park</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Fulshear, TX 77441</w:t>
      </w:r>
      <w:r>
        <w:rPr>
          <w:sz w:val="20"/>
          <w:szCs w:val="20"/>
          <w:color w:val="auto"/>
        </w:rPr>
        <w:tab/>
      </w:r>
      <w:r>
        <w:rPr>
          <w:rFonts w:ascii="Arial" w:cs="Arial" w:eastAsia="Arial" w:hAnsi="Arial"/>
          <w:sz w:val="15"/>
          <w:szCs w:val="15"/>
          <w:color w:val="auto"/>
        </w:rPr>
        <w:t>500 Village Blvd, Suite 108</w:t>
      </w:r>
    </w:p>
    <w:p>
      <w:pPr>
        <w:spacing w:after="0" w:line="28" w:lineRule="exact"/>
        <w:rPr>
          <w:sz w:val="20"/>
          <w:szCs w:val="20"/>
          <w:color w:val="auto"/>
        </w:rPr>
      </w:pPr>
    </w:p>
    <w:p>
      <w:pPr>
        <w:ind w:left="720"/>
        <w:spacing w:after="0"/>
        <w:tabs>
          <w:tab w:leader="none" w:pos="4520" w:val="left"/>
        </w:tabs>
        <w:rPr>
          <w:sz w:val="20"/>
          <w:szCs w:val="20"/>
          <w:color w:val="auto"/>
        </w:rPr>
      </w:pPr>
      <w:r>
        <w:rPr>
          <w:rFonts w:ascii="Arial" w:cs="Arial" w:eastAsia="Arial" w:hAnsi="Arial"/>
          <w:sz w:val="15"/>
          <w:szCs w:val="15"/>
          <w:color w:val="auto"/>
        </w:rPr>
        <w:t>Telephone: (855) 203-1300</w:t>
      </w:r>
      <w:r>
        <w:rPr>
          <w:sz w:val="20"/>
          <w:szCs w:val="20"/>
          <w:color w:val="auto"/>
        </w:rPr>
        <w:tab/>
      </w:r>
      <w:r>
        <w:rPr>
          <w:rFonts w:ascii="Arial" w:cs="Arial" w:eastAsia="Arial" w:hAnsi="Arial"/>
          <w:sz w:val="15"/>
          <w:szCs w:val="15"/>
          <w:color w:val="auto"/>
        </w:rPr>
        <w:t>Stansbury Park UT 84074</w:t>
      </w:r>
    </w:p>
    <w:p>
      <w:pPr>
        <w:spacing w:after="0" w:line="28"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Telephone: (435) 843-5340</w:t>
      </w:r>
    </w:p>
    <w:p>
      <w:pPr>
        <w:spacing w:after="0" w:line="28" w:lineRule="exact"/>
        <w:rPr>
          <w:sz w:val="20"/>
          <w:szCs w:val="20"/>
          <w:color w:val="auto"/>
        </w:rPr>
      </w:pPr>
    </w:p>
    <w:p>
      <w:pPr>
        <w:ind w:left="720"/>
        <w:spacing w:after="0"/>
        <w:rPr>
          <w:sz w:val="20"/>
          <w:szCs w:val="20"/>
          <w:color w:val="auto"/>
        </w:rPr>
      </w:pPr>
      <w:r>
        <w:rPr>
          <w:rFonts w:ascii="Arial" w:cs="Arial" w:eastAsia="Arial" w:hAnsi="Arial"/>
          <w:sz w:val="15"/>
          <w:szCs w:val="15"/>
          <w:color w:val="auto"/>
        </w:rPr>
        <w:t>30417 Fifth Street, Suite B</w:t>
      </w:r>
    </w:p>
    <w:p>
      <w:pPr>
        <w:spacing w:after="0" w:line="28" w:lineRule="exact"/>
        <w:rPr>
          <w:sz w:val="20"/>
          <w:szCs w:val="20"/>
          <w:color w:val="auto"/>
        </w:rPr>
      </w:pPr>
    </w:p>
    <w:p>
      <w:pPr>
        <w:ind w:left="720"/>
        <w:spacing w:after="0"/>
        <w:rPr>
          <w:sz w:val="20"/>
          <w:szCs w:val="20"/>
          <w:color w:val="auto"/>
        </w:rPr>
      </w:pPr>
      <w:r>
        <w:rPr>
          <w:rFonts w:ascii="Arial" w:cs="Arial" w:eastAsia="Arial" w:hAnsi="Arial"/>
          <w:sz w:val="15"/>
          <w:szCs w:val="15"/>
          <w:color w:val="auto"/>
        </w:rPr>
        <w:t>Fulshear, TX 77441</w:t>
      </w:r>
    </w:p>
    <w:p>
      <w:pPr>
        <w:spacing w:after="0" w:line="28"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Telephone: (855) 203-1300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WASHINGTON</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Auburn</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402 E. Main St, Unit 140</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Auburn, WA 98002</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Telephone: (877) 518-9450</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Vancouver</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15650 N.E. Fourth Plain Blvd #101</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Vancouver, WA 98682</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Telephone: (360) 869-7265</w:t>
      </w:r>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WISCONSIN</w:t>
      </w:r>
    </w:p>
    <w:p>
      <w:pPr>
        <w:spacing w:after="0" w:line="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Kenosha</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1508 24th Avenue #23</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Kenosha, WI 53140</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Telephone: (844) 820-8699</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Trevor</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27903 99th Street</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Trevor, WI 53179</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Telephone: (262) 997-9444</w:t>
      </w:r>
    </w:p>
    <w:p>
      <w:pPr>
        <w:spacing w:after="0" w:line="316" w:lineRule="exact"/>
        <w:rPr>
          <w:sz w:val="20"/>
          <w:szCs w:val="20"/>
          <w:color w:val="auto"/>
        </w:rPr>
      </w:pPr>
    </w:p>
    <w:p>
      <w:pPr>
        <w:jc w:val="right"/>
        <w:ind w:right="2200"/>
        <w:spacing w:after="0"/>
        <w:rPr>
          <w:sz w:val="20"/>
          <w:szCs w:val="20"/>
          <w:color w:val="auto"/>
        </w:rPr>
      </w:pPr>
      <w:r>
        <w:rPr>
          <w:rFonts w:ascii="Arial" w:cs="Arial" w:eastAsia="Arial" w:hAnsi="Arial"/>
          <w:sz w:val="15"/>
          <w:szCs w:val="15"/>
          <w:color w:val="auto"/>
        </w:rPr>
        <w:t>WYOMING</w:t>
      </w:r>
    </w:p>
    <w:p>
      <w:pPr>
        <w:spacing w:after="0" w:line="28" w:lineRule="exact"/>
        <w:rPr>
          <w:sz w:val="20"/>
          <w:szCs w:val="20"/>
          <w:color w:val="auto"/>
        </w:rPr>
      </w:pPr>
    </w:p>
    <w:p>
      <w:pPr>
        <w:jc w:val="right"/>
        <w:ind w:right="2240"/>
        <w:spacing w:after="0"/>
        <w:rPr>
          <w:sz w:val="20"/>
          <w:szCs w:val="20"/>
          <w:color w:val="auto"/>
        </w:rPr>
      </w:pPr>
      <w:r>
        <w:rPr>
          <w:rFonts w:ascii="Arial" w:cs="Arial" w:eastAsia="Arial" w:hAnsi="Arial"/>
          <w:sz w:val="15"/>
          <w:szCs w:val="15"/>
          <w:color w:val="auto"/>
        </w:rPr>
        <w:t>Afton</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80 E. 1st Ave</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Afton, WY 83110</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Telephone: (844) 820-8699</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Powell</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255 East 2nd Street, Ste I</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Powell, WY 82435</w:t>
      </w:r>
    </w:p>
    <w:p>
      <w:pPr>
        <w:spacing w:after="0" w:line="2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Telephone: (844) 820-8699</w:t>
      </w:r>
    </w:p>
    <w:p>
      <w:pPr>
        <w:sectPr>
          <w:pgSz w:w="12240" w:h="15840" w:orient="portrait"/>
          <w:cols w:equalWidth="0" w:num="2">
            <w:col w:w="7100" w:space="720"/>
            <w:col w:w="3000"/>
          </w:cols>
          <w:pgMar w:left="720" w:top="621" w:right="700" w:bottom="742"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9180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7772400" cy="918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359" w:lineRule="exact"/>
        <w:rPr>
          <w:sz w:val="20"/>
          <w:szCs w:val="20"/>
          <w:color w:val="auto"/>
        </w:rPr>
      </w:pPr>
    </w:p>
    <w:p>
      <w:pPr>
        <w:ind w:right="1720"/>
        <w:spacing w:after="0" w:line="443" w:lineRule="auto"/>
        <w:rPr>
          <w:sz w:val="20"/>
          <w:szCs w:val="20"/>
          <w:color w:val="auto"/>
        </w:rPr>
      </w:pPr>
      <w:r>
        <w:rPr>
          <w:rFonts w:ascii="Arial" w:cs="Arial" w:eastAsia="Arial" w:hAnsi="Arial"/>
          <w:sz w:val="20"/>
          <w:szCs w:val="20"/>
          <w:color w:val="auto"/>
        </w:rPr>
        <w:t xml:space="preserve">To the stockholders and the Board of Directors of Security National Financial Corporation </w:t>
      </w:r>
      <w:r>
        <w:rPr>
          <w:rFonts w:ascii="Arial" w:cs="Arial" w:eastAsia="Arial" w:hAnsi="Arial"/>
          <w:sz w:val="20"/>
          <w:szCs w:val="20"/>
          <w:b w:val="1"/>
          <w:bCs w:val="1"/>
          <w:color w:val="auto"/>
        </w:rPr>
        <w:t>Opinion on the Financial Statements</w:t>
      </w:r>
    </w:p>
    <w:p>
      <w:pPr>
        <w:spacing w:after="0" w:line="1" w:lineRule="exact"/>
        <w:rPr>
          <w:sz w:val="20"/>
          <w:szCs w:val="20"/>
          <w:color w:val="auto"/>
        </w:rPr>
      </w:pPr>
    </w:p>
    <w:p>
      <w:pPr>
        <w:ind w:right="100"/>
        <w:spacing w:after="0" w:line="258" w:lineRule="auto"/>
        <w:rPr>
          <w:sz w:val="20"/>
          <w:szCs w:val="20"/>
          <w:color w:val="auto"/>
        </w:rPr>
      </w:pPr>
      <w:r>
        <w:rPr>
          <w:rFonts w:ascii="Arial" w:cs="Arial" w:eastAsia="Arial" w:hAnsi="Arial"/>
          <w:sz w:val="20"/>
          <w:szCs w:val="20"/>
          <w:color w:val="auto"/>
        </w:rPr>
        <w:t>We have audited the accompanying consolidated balance sheets of Security National Financial Corporation and subsidiaries (the “Company”) as of December 31, 2025 and 2024, the related consolidated statements of earnings, comprehensive income, stockholders’ equity, and cash flows, for each of the two years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ended December 31, 2025, in conformity with accounting principles generally accepted in the United States of America.</w:t>
      </w:r>
    </w:p>
    <w:p>
      <w:pPr>
        <w:spacing w:after="0" w:line="153" w:lineRule="exact"/>
        <w:rPr>
          <w:sz w:val="20"/>
          <w:szCs w:val="20"/>
          <w:color w:val="auto"/>
        </w:rPr>
      </w:pPr>
    </w:p>
    <w:p>
      <w:pPr>
        <w:ind w:right="100"/>
        <w:spacing w:after="0" w:line="279" w:lineRule="auto"/>
        <w:rPr>
          <w:sz w:val="20"/>
          <w:szCs w:val="20"/>
          <w:color w:val="auto"/>
        </w:rPr>
      </w:pPr>
      <w:r>
        <w:rPr>
          <w:rFonts w:ascii="Arial" w:cs="Arial" w:eastAsia="Arial" w:hAnsi="Arial"/>
          <w:sz w:val="19"/>
          <w:szCs w:val="19"/>
          <w:color w:val="auto"/>
        </w:rPr>
        <w:t>We have also audited, in accordance with the standards of the Public Company Accounting Oversight Board (United States) (PCAOB), the Company’s internal control over financial reporting as of December 31, 2025, based on criteria established in Internal Control—Integrated Framework (2013) issued by the Committee of Sponsoring Organizations of the Treadway Commission and our report dated March 16, 2026, expressed an adverse opinion on the Company’s internal control over financial reporting because of a material weakness.</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in Accounting Principle</w:t>
      </w:r>
    </w:p>
    <w:p>
      <w:pPr>
        <w:spacing w:after="0" w:line="188" w:lineRule="exact"/>
        <w:rPr>
          <w:sz w:val="20"/>
          <w:szCs w:val="20"/>
          <w:color w:val="auto"/>
        </w:rPr>
      </w:pPr>
    </w:p>
    <w:p>
      <w:pPr>
        <w:ind w:right="280"/>
        <w:spacing w:after="0" w:line="279" w:lineRule="auto"/>
        <w:rPr>
          <w:sz w:val="20"/>
          <w:szCs w:val="20"/>
          <w:color w:val="auto"/>
        </w:rPr>
      </w:pPr>
      <w:r>
        <w:rPr>
          <w:rFonts w:ascii="Arial" w:cs="Arial" w:eastAsia="Arial" w:hAnsi="Arial"/>
          <w:sz w:val="19"/>
          <w:szCs w:val="19"/>
          <w:color w:val="auto"/>
        </w:rPr>
        <w:t xml:space="preserve">As discussed in Note 1 to the financial statements, the Company changed its method of accounting, measurement, and disclosure of long-duration contracts effective December 31, 2025, using the modified retrospective method applied as of the transition date of January 1, 2024, due to adoption of ASU 2018-12, </w:t>
      </w:r>
      <w:r>
        <w:rPr>
          <w:rFonts w:ascii="Arial" w:cs="Arial" w:eastAsia="Arial" w:hAnsi="Arial"/>
          <w:sz w:val="19"/>
          <w:szCs w:val="19"/>
          <w:i w:val="1"/>
          <w:iCs w:val="1"/>
          <w:color w:val="auto"/>
        </w:rPr>
        <w:t xml:space="preserve">Financial Services—Insurance (Topic 944): Targeted Improvements to the Accounting for Long-Duration Contracts </w:t>
      </w:r>
      <w:r>
        <w:rPr>
          <w:rFonts w:ascii="Arial" w:cs="Arial" w:eastAsia="Arial" w:hAnsi="Arial"/>
          <w:sz w:val="19"/>
          <w:szCs w:val="19"/>
          <w:color w:val="auto"/>
        </w:rPr>
        <w:t>(“ASU 2018-12”). The adoption is also communicated as a critical audit matter below.</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95" w:lineRule="exact"/>
        <w:rPr>
          <w:sz w:val="20"/>
          <w:szCs w:val="20"/>
          <w:color w:val="auto"/>
        </w:rPr>
      </w:pPr>
    </w:p>
    <w:p>
      <w:pPr>
        <w:ind w:right="140"/>
        <w:spacing w:after="0" w:line="262"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1"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2240" w:h="15840" w:orient="portrait"/>
          <w:cols w:equalWidth="0" w:num="1">
            <w:col w:w="9360"/>
          </w:cols>
          <w:pgMar w:left="1440" w:top="1440" w:right="1440" w:bottom="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Critical Audit Matters</w:t>
      </w:r>
    </w:p>
    <w:p>
      <w:pPr>
        <w:spacing w:after="0" w:line="195" w:lineRule="exact"/>
        <w:rPr>
          <w:sz w:val="20"/>
          <w:szCs w:val="20"/>
          <w:color w:val="auto"/>
        </w:rPr>
      </w:pPr>
    </w:p>
    <w:p>
      <w:pPr>
        <w:ind w:right="120"/>
        <w:spacing w:after="0" w:line="258" w:lineRule="auto"/>
        <w:rPr>
          <w:sz w:val="20"/>
          <w:szCs w:val="20"/>
          <w:color w:val="auto"/>
        </w:rPr>
      </w:pPr>
      <w:r>
        <w:rPr>
          <w:rFonts w:ascii="Arial" w:cs="Arial" w:eastAsia="Arial" w:hAnsi="Arial"/>
          <w:sz w:val="20"/>
          <w:szCs w:val="20"/>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6" w:lineRule="exact"/>
        <w:rPr>
          <w:sz w:val="20"/>
          <w:szCs w:val="20"/>
          <w:color w:val="auto"/>
        </w:rPr>
      </w:pPr>
    </w:p>
    <w:p>
      <w:pPr>
        <w:spacing w:after="0" w:line="284" w:lineRule="auto"/>
        <w:rPr>
          <w:sz w:val="20"/>
          <w:szCs w:val="20"/>
          <w:color w:val="auto"/>
        </w:rPr>
      </w:pPr>
      <w:r>
        <w:rPr>
          <w:rFonts w:ascii="Arial" w:cs="Arial" w:eastAsia="Arial" w:hAnsi="Arial"/>
          <w:sz w:val="20"/>
          <w:szCs w:val="20"/>
          <w:b w:val="1"/>
          <w:bCs w:val="1"/>
          <w:i w:val="1"/>
          <w:iCs w:val="1"/>
          <w:color w:val="auto"/>
        </w:rPr>
        <w:t>Adoption of Accounting Pronouncements—Targeted Improvements to the Accounting for Long-Duration Contracts—Refer to Note 1 to the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Critical Audit Matter Description</w:t>
      </w:r>
    </w:p>
    <w:p>
      <w:pPr>
        <w:spacing w:after="0" w:line="195" w:lineRule="exact"/>
        <w:rPr>
          <w:sz w:val="20"/>
          <w:szCs w:val="20"/>
          <w:color w:val="auto"/>
        </w:rPr>
      </w:pPr>
    </w:p>
    <w:p>
      <w:pPr>
        <w:ind w:right="120"/>
        <w:spacing w:after="0" w:line="290" w:lineRule="auto"/>
        <w:rPr>
          <w:sz w:val="20"/>
          <w:szCs w:val="20"/>
          <w:color w:val="auto"/>
        </w:rPr>
      </w:pPr>
      <w:r>
        <w:rPr>
          <w:rFonts w:ascii="Arial" w:cs="Arial" w:eastAsia="Arial" w:hAnsi="Arial"/>
          <w:sz w:val="19"/>
          <w:szCs w:val="19"/>
          <w:color w:val="auto"/>
        </w:rPr>
        <w:t>The Company adopted Accounting Standards Update (ASU) 2018-12, Financial Services—Insurance (Topic 944): Targeted Improvements to the Accounting for Long-Duration Contracts (“ASU 2018-12”) on December 31, 2025 using the modified retrospective application as of the transition date of January 1, 2024.</w:t>
      </w:r>
    </w:p>
    <w:p>
      <w:pPr>
        <w:spacing w:after="0" w:line="122"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The adoption of ASU 2018-12 significantly modified the Company’s accounting for and disclosure of long-duration life insurance contracts. We identified the adoption of ASU 2018-12 as a critical audit matter because of the need to involve actuarial specialists to evaluate assumptions and valuation models, the extent of audit effort required, and the inherent complexity involved in the selection and application of new accounting policies.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How the Critical Audit Matter Was Addressed in the Audit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Our audit procedures related to the adoption of ASU 2018-12 included the following, among others:</w:t>
      </w:r>
    </w:p>
    <w:p>
      <w:pPr>
        <w:spacing w:after="0" w:line="232" w:lineRule="exact"/>
        <w:rPr>
          <w:sz w:val="20"/>
          <w:szCs w:val="20"/>
          <w:color w:val="auto"/>
        </w:rPr>
      </w:pPr>
    </w:p>
    <w:p>
      <w:pPr>
        <w:ind w:left="360" w:right="20" w:hanging="360"/>
        <w:spacing w:after="0" w:line="254" w:lineRule="auto"/>
        <w:tabs>
          <w:tab w:leader="none" w:pos="360" w:val="left"/>
        </w:tabs>
        <w:numPr>
          <w:ilvl w:val="0"/>
          <w:numId w:val="6"/>
        </w:numPr>
        <w:rPr>
          <w:rFonts w:ascii="Arial" w:cs="Arial" w:eastAsia="Arial" w:hAnsi="Arial"/>
          <w:sz w:val="22"/>
          <w:szCs w:val="22"/>
          <w:color w:val="auto"/>
        </w:rPr>
      </w:pPr>
      <w:r>
        <w:rPr>
          <w:rFonts w:ascii="Arial" w:cs="Arial" w:eastAsia="Arial" w:hAnsi="Arial"/>
          <w:sz w:val="20"/>
          <w:szCs w:val="20"/>
          <w:color w:val="auto"/>
        </w:rPr>
        <w:t>We tested the effectiveness of controls over the application of new accounting policies and disclosure of the impact of adoption discussed in Note 1 to the financial statements, including controls over the valuation models and mortality and lapse assumptions used to estimate the liability for future policy benefits and amortization of deferred policy acquisition costs.</w:t>
      </w:r>
    </w:p>
    <w:p>
      <w:pPr>
        <w:spacing w:after="0" w:line="190" w:lineRule="exact"/>
        <w:rPr>
          <w:rFonts w:ascii="Arial" w:cs="Arial" w:eastAsia="Arial" w:hAnsi="Arial"/>
          <w:sz w:val="22"/>
          <w:szCs w:val="22"/>
          <w:color w:val="auto"/>
        </w:rPr>
      </w:pPr>
    </w:p>
    <w:p>
      <w:pPr>
        <w:ind w:left="360" w:right="100" w:hanging="360"/>
        <w:spacing w:after="0" w:line="260" w:lineRule="auto"/>
        <w:tabs>
          <w:tab w:leader="none" w:pos="360" w:val="left"/>
        </w:tabs>
        <w:numPr>
          <w:ilvl w:val="0"/>
          <w:numId w:val="6"/>
        </w:numPr>
        <w:rPr>
          <w:rFonts w:ascii="Arial" w:cs="Arial" w:eastAsia="Arial" w:hAnsi="Arial"/>
          <w:sz w:val="22"/>
          <w:szCs w:val="22"/>
          <w:color w:val="auto"/>
        </w:rPr>
      </w:pPr>
      <w:r>
        <w:rPr>
          <w:rFonts w:ascii="Arial" w:cs="Arial" w:eastAsia="Arial" w:hAnsi="Arial"/>
          <w:sz w:val="20"/>
          <w:szCs w:val="20"/>
          <w:color w:val="auto"/>
        </w:rPr>
        <w:t>We evaluated the appropriateness of the Company’s selection and application of accounting policies in connection with the adoption of the ASU 2018-12.</w:t>
      </w:r>
    </w:p>
    <w:p>
      <w:pPr>
        <w:spacing w:after="0" w:line="175" w:lineRule="exact"/>
        <w:rPr>
          <w:rFonts w:ascii="Arial" w:cs="Arial" w:eastAsia="Arial" w:hAnsi="Arial"/>
          <w:sz w:val="22"/>
          <w:szCs w:val="22"/>
          <w:color w:val="auto"/>
        </w:rPr>
      </w:pPr>
    </w:p>
    <w:p>
      <w:pPr>
        <w:ind w:left="360" w:right="500" w:hanging="360"/>
        <w:spacing w:after="0" w:line="256" w:lineRule="auto"/>
        <w:tabs>
          <w:tab w:leader="none" w:pos="360" w:val="left"/>
        </w:tabs>
        <w:numPr>
          <w:ilvl w:val="0"/>
          <w:numId w:val="6"/>
        </w:numPr>
        <w:rPr>
          <w:rFonts w:ascii="Arial" w:cs="Arial" w:eastAsia="Arial" w:hAnsi="Arial"/>
          <w:sz w:val="22"/>
          <w:szCs w:val="22"/>
          <w:color w:val="auto"/>
        </w:rPr>
      </w:pPr>
      <w:r>
        <w:rPr>
          <w:rFonts w:ascii="Arial" w:cs="Arial" w:eastAsia="Arial" w:hAnsi="Arial"/>
          <w:sz w:val="20"/>
          <w:szCs w:val="20"/>
          <w:color w:val="auto"/>
        </w:rPr>
        <w:t>With the assistance of our actuarial specialists, we evaluated the reasonableness of the valuation models and assumptions used to estimate the liability for future policy benefits and amortization of deferred policy acquisition costs.</w:t>
      </w:r>
    </w:p>
    <w:p>
      <w:pPr>
        <w:spacing w:after="0" w:line="154" w:lineRule="exact"/>
        <w:rPr>
          <w:sz w:val="20"/>
          <w:szCs w:val="20"/>
          <w:color w:val="auto"/>
        </w:rPr>
      </w:pPr>
    </w:p>
    <w:p>
      <w:pPr>
        <w:ind w:right="460"/>
        <w:spacing w:after="0" w:line="269" w:lineRule="auto"/>
        <w:rPr>
          <w:sz w:val="20"/>
          <w:szCs w:val="20"/>
          <w:color w:val="auto"/>
        </w:rPr>
      </w:pPr>
      <w:r>
        <w:rPr>
          <w:rFonts w:ascii="Arial" w:cs="Arial" w:eastAsia="Arial" w:hAnsi="Arial"/>
          <w:sz w:val="20"/>
          <w:szCs w:val="20"/>
          <w:b w:val="1"/>
          <w:bCs w:val="1"/>
          <w:i w:val="1"/>
          <w:iCs w:val="1"/>
          <w:color w:val="auto"/>
        </w:rPr>
        <w:t>Future Policy Benefits for Life Insurance Contracts and Amortization of Deferred Policy Acquisition Costs for Insurance Contracts—Certain Underlying Assumptions for Certain Products—Refer to Notes 1, 9, and 12 to the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Critical Audit Matter Description</w:t>
      </w:r>
    </w:p>
    <w:p>
      <w:pPr>
        <w:spacing w:after="0" w:line="195" w:lineRule="exact"/>
        <w:rPr>
          <w:sz w:val="20"/>
          <w:szCs w:val="20"/>
          <w:color w:val="auto"/>
        </w:rPr>
      </w:pPr>
    </w:p>
    <w:p>
      <w:pPr>
        <w:ind w:right="340"/>
        <w:spacing w:after="0" w:line="255" w:lineRule="auto"/>
        <w:rPr>
          <w:sz w:val="20"/>
          <w:szCs w:val="20"/>
          <w:color w:val="auto"/>
        </w:rPr>
      </w:pPr>
      <w:r>
        <w:rPr>
          <w:rFonts w:ascii="Arial" w:cs="Arial" w:eastAsia="Arial" w:hAnsi="Arial"/>
          <w:sz w:val="20"/>
          <w:szCs w:val="20"/>
          <w:color w:val="auto"/>
        </w:rPr>
        <w:t>The Company’s management sets assumptions in (1) estimating a liability for life insurance policy benefit payments that will be made in the future (future policy benefits for life insurance contracts) and</w:t>
      </w:r>
    </w:p>
    <w:p>
      <w:pPr>
        <w:spacing w:after="0" w:line="1" w:lineRule="exact"/>
        <w:rPr>
          <w:sz w:val="20"/>
          <w:szCs w:val="20"/>
          <w:color w:val="auto"/>
        </w:rPr>
      </w:pPr>
    </w:p>
    <w:p>
      <w:pPr>
        <w:ind w:right="100"/>
        <w:spacing w:after="0" w:line="262" w:lineRule="auto"/>
        <w:tabs>
          <w:tab w:leader="none" w:pos="266" w:val="left"/>
        </w:tabs>
        <w:numPr>
          <w:ilvl w:val="0"/>
          <w:numId w:val="7"/>
        </w:numPr>
        <w:rPr>
          <w:rFonts w:ascii="Arial" w:cs="Arial" w:eastAsia="Arial" w:hAnsi="Arial"/>
          <w:sz w:val="20"/>
          <w:szCs w:val="20"/>
          <w:color w:val="auto"/>
        </w:rPr>
      </w:pPr>
      <w:r>
        <w:rPr>
          <w:rFonts w:ascii="Arial" w:cs="Arial" w:eastAsia="Arial" w:hAnsi="Arial"/>
          <w:sz w:val="20"/>
          <w:szCs w:val="20"/>
          <w:color w:val="auto"/>
        </w:rPr>
        <w:t>determining amortization of deferred policy acquisition costs for insurance contracts. The most significant assumptions include mortality and lapse. Assumptions are determined based on the company’s historical experience, industry data, and other factors. Given the inherent uncertainty of these assumptions, auditing the development of such assumptions involved especially subjective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2240" w:h="15840" w:orient="portrait"/>
          <w:cols w:equalWidth="0" w:num="1">
            <w:col w:w="9360"/>
          </w:cols>
          <w:pgMar w:left="1440" w:top="1423" w:right="1440" w:bottom="0" w:gutter="0" w:footer="0" w:header="0"/>
        </w:sectPr>
      </w:pPr>
    </w:p>
    <w:bookmarkStart w:id="30" w:name="page31"/>
    <w:bookmarkEnd w:id="30"/>
    <w:p>
      <w:pPr>
        <w:spacing w:after="0"/>
        <w:rPr>
          <w:sz w:val="20"/>
          <w:szCs w:val="20"/>
          <w:color w:val="auto"/>
        </w:rPr>
      </w:pPr>
      <w:r>
        <w:rPr>
          <w:rFonts w:ascii="Arial" w:cs="Arial" w:eastAsia="Arial" w:hAnsi="Arial"/>
          <w:sz w:val="20"/>
          <w:szCs w:val="20"/>
          <w:i w:val="1"/>
          <w:iCs w:val="1"/>
          <w:color w:val="auto"/>
        </w:rPr>
        <w:t>How the Critical Audit Matter Was Addressed in the Audit</w:t>
      </w:r>
    </w:p>
    <w:p>
      <w:pPr>
        <w:spacing w:after="0" w:line="195" w:lineRule="exact"/>
        <w:rPr>
          <w:sz w:val="20"/>
          <w:szCs w:val="20"/>
          <w:color w:val="auto"/>
        </w:rPr>
      </w:pPr>
    </w:p>
    <w:p>
      <w:pPr>
        <w:ind w:right="320"/>
        <w:spacing w:after="0" w:line="290" w:lineRule="auto"/>
        <w:rPr>
          <w:sz w:val="20"/>
          <w:szCs w:val="20"/>
          <w:color w:val="auto"/>
        </w:rPr>
      </w:pPr>
      <w:r>
        <w:rPr>
          <w:rFonts w:ascii="Arial" w:cs="Arial" w:eastAsia="Arial" w:hAnsi="Arial"/>
          <w:sz w:val="19"/>
          <w:szCs w:val="19"/>
          <w:color w:val="auto"/>
        </w:rPr>
        <w:t>Our audit procedures related to management’s judgments regarding the mortality and lapse assumptions used in the development of future policy benefits for life insurance contracts and the amortization of deferred policy acquisition costs for insurance contracts, included the following, among others:</w:t>
      </w:r>
    </w:p>
    <w:p>
      <w:pPr>
        <w:spacing w:after="0" w:line="151" w:lineRule="exact"/>
        <w:rPr>
          <w:sz w:val="20"/>
          <w:szCs w:val="20"/>
          <w:color w:val="auto"/>
        </w:rPr>
      </w:pPr>
    </w:p>
    <w:p>
      <w:pPr>
        <w:ind w:left="360" w:hanging="360"/>
        <w:spacing w:after="0" w:line="256" w:lineRule="auto"/>
        <w:tabs>
          <w:tab w:leader="none" w:pos="360" w:val="left"/>
        </w:tabs>
        <w:numPr>
          <w:ilvl w:val="0"/>
          <w:numId w:val="8"/>
        </w:numPr>
        <w:rPr>
          <w:rFonts w:ascii="Arial" w:cs="Arial" w:eastAsia="Arial" w:hAnsi="Arial"/>
          <w:sz w:val="22"/>
          <w:szCs w:val="22"/>
          <w:color w:val="auto"/>
        </w:rPr>
      </w:pPr>
      <w:r>
        <w:rPr>
          <w:rFonts w:ascii="Arial" w:cs="Arial" w:eastAsia="Arial" w:hAnsi="Arial"/>
          <w:sz w:val="20"/>
          <w:szCs w:val="20"/>
          <w:color w:val="auto"/>
        </w:rPr>
        <w:t>We tested the effectiveness of controls over the development of these assumptions used in the valuation of future policy benefits and the amortization of deferred policy acquisition costs for certain insurance products, including the effectiveness of the controls over the underlying data.</w:t>
      </w:r>
    </w:p>
    <w:p>
      <w:pPr>
        <w:spacing w:after="0" w:line="189" w:lineRule="exact"/>
        <w:rPr>
          <w:rFonts w:ascii="Arial" w:cs="Arial" w:eastAsia="Arial" w:hAnsi="Arial"/>
          <w:sz w:val="22"/>
          <w:szCs w:val="22"/>
          <w:color w:val="auto"/>
        </w:rPr>
      </w:pPr>
    </w:p>
    <w:p>
      <w:pPr>
        <w:ind w:left="360" w:right="120" w:hanging="360"/>
        <w:spacing w:after="0" w:line="253" w:lineRule="auto"/>
        <w:tabs>
          <w:tab w:leader="none" w:pos="360" w:val="left"/>
        </w:tabs>
        <w:numPr>
          <w:ilvl w:val="0"/>
          <w:numId w:val="8"/>
        </w:numPr>
        <w:rPr>
          <w:rFonts w:ascii="Arial" w:cs="Arial" w:eastAsia="Arial" w:hAnsi="Arial"/>
          <w:sz w:val="22"/>
          <w:szCs w:val="22"/>
          <w:color w:val="auto"/>
        </w:rPr>
      </w:pPr>
      <w:r>
        <w:rPr>
          <w:rFonts w:ascii="Arial" w:cs="Arial" w:eastAsia="Arial" w:hAnsi="Arial"/>
          <w:sz w:val="20"/>
          <w:szCs w:val="20"/>
          <w:color w:val="auto"/>
        </w:rPr>
        <w:t>We tested the underlying data used in the development of these assumptions as well as in the valuation of future policy benefits and the amortization of deferred policy acquisition costs for certain insurance products.</w:t>
      </w:r>
    </w:p>
    <w:p>
      <w:pPr>
        <w:spacing w:after="0" w:line="191" w:lineRule="exact"/>
        <w:rPr>
          <w:rFonts w:ascii="Arial" w:cs="Arial" w:eastAsia="Arial" w:hAnsi="Arial"/>
          <w:sz w:val="22"/>
          <w:szCs w:val="22"/>
          <w:color w:val="auto"/>
        </w:rPr>
      </w:pPr>
    </w:p>
    <w:p>
      <w:pPr>
        <w:ind w:left="360" w:hanging="360"/>
        <w:spacing w:after="0"/>
        <w:tabs>
          <w:tab w:leader="none" w:pos="360" w:val="left"/>
        </w:tabs>
        <w:numPr>
          <w:ilvl w:val="0"/>
          <w:numId w:val="8"/>
        </w:numPr>
        <w:rPr>
          <w:rFonts w:ascii="Arial" w:cs="Arial" w:eastAsia="Arial" w:hAnsi="Arial"/>
          <w:sz w:val="22"/>
          <w:szCs w:val="22"/>
          <w:color w:val="auto"/>
        </w:rPr>
      </w:pPr>
      <w:r>
        <w:rPr>
          <w:rFonts w:ascii="Arial" w:cs="Arial" w:eastAsia="Arial" w:hAnsi="Arial"/>
          <w:sz w:val="20"/>
          <w:szCs w:val="20"/>
          <w:color w:val="auto"/>
        </w:rPr>
        <w:t>With the assistance of our actuarial specialists, we:</w:t>
      </w:r>
    </w:p>
    <w:p>
      <w:pPr>
        <w:spacing w:after="0" w:line="186" w:lineRule="exact"/>
        <w:rPr>
          <w:rFonts w:ascii="Arial" w:cs="Arial" w:eastAsia="Arial" w:hAnsi="Arial"/>
          <w:sz w:val="22"/>
          <w:szCs w:val="22"/>
          <w:color w:val="auto"/>
        </w:rPr>
      </w:pPr>
    </w:p>
    <w:p>
      <w:pPr>
        <w:ind w:left="720" w:right="60" w:hanging="360"/>
        <w:spacing w:after="0" w:line="256" w:lineRule="auto"/>
        <w:tabs>
          <w:tab w:leader="none" w:pos="720" w:val="left"/>
        </w:tabs>
        <w:numPr>
          <w:ilvl w:val="1"/>
          <w:numId w:val="8"/>
        </w:numPr>
        <w:rPr>
          <w:rFonts w:ascii="Arial" w:cs="Arial" w:eastAsia="Arial" w:hAnsi="Arial"/>
          <w:sz w:val="22"/>
          <w:szCs w:val="22"/>
          <w:color w:val="auto"/>
        </w:rPr>
      </w:pPr>
      <w:r>
        <w:rPr>
          <w:rFonts w:ascii="Arial" w:cs="Arial" w:eastAsia="Arial" w:hAnsi="Arial"/>
          <w:sz w:val="20"/>
          <w:szCs w:val="20"/>
          <w:color w:val="auto"/>
        </w:rPr>
        <w:t>evaluated management’s methods, calculations and judgments regarding the development of these assumptions including evaluating the results of experience studies used as the basis for setting those assumptions.</w:t>
      </w:r>
    </w:p>
    <w:p>
      <w:pPr>
        <w:spacing w:after="0" w:line="175" w:lineRule="exact"/>
        <w:rPr>
          <w:rFonts w:ascii="Arial" w:cs="Arial" w:eastAsia="Arial" w:hAnsi="Arial"/>
          <w:sz w:val="22"/>
          <w:szCs w:val="22"/>
          <w:color w:val="auto"/>
        </w:rPr>
      </w:pPr>
    </w:p>
    <w:p>
      <w:pPr>
        <w:ind w:left="720" w:right="460" w:hanging="360"/>
        <w:spacing w:after="0" w:line="256" w:lineRule="auto"/>
        <w:tabs>
          <w:tab w:leader="none" w:pos="720" w:val="left"/>
        </w:tabs>
        <w:numPr>
          <w:ilvl w:val="1"/>
          <w:numId w:val="8"/>
        </w:numPr>
        <w:rPr>
          <w:rFonts w:ascii="Arial" w:cs="Arial" w:eastAsia="Arial" w:hAnsi="Arial"/>
          <w:sz w:val="22"/>
          <w:szCs w:val="22"/>
          <w:color w:val="auto"/>
        </w:rPr>
      </w:pPr>
      <w:r>
        <w:rPr>
          <w:rFonts w:ascii="Arial" w:cs="Arial" w:eastAsia="Arial" w:hAnsi="Arial"/>
          <w:sz w:val="20"/>
          <w:szCs w:val="20"/>
          <w:color w:val="auto"/>
        </w:rPr>
        <w:t>evaluated on a sample basis, through independent calculation of future policy benefits and amortization of deferred policy acquisition costs, the mathematical accuracy of management’s calculations, the appropriateness of valuation models, and whether these assumptions were properly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2203450" cy="4572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7">
                      <a:extLst>
                        <a:ext uri="{28A0092B-C50C-407E-A947-70E740481C1C}"/>
                      </a:extLst>
                    </a:blip>
                    <a:srcRect/>
                    <a:stretch>
                      <a:fillRect/>
                    </a:stretch>
                  </pic:blipFill>
                  <pic:spPr bwMode="auto">
                    <a:xfrm>
                      <a:off x="0" y="0"/>
                      <a:ext cx="2203450" cy="457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Salt Lake City, UT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March 16, 2026</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2240" w:h="15840" w:orient="portrait"/>
          <w:cols w:equalWidth="0" w:num="1">
            <w:col w:w="9360"/>
          </w:cols>
          <w:pgMar w:left="1440" w:top="1423" w:right="1440" w:bottom="0" w:gutter="0" w:footer="0" w:header="0"/>
        </w:sectPr>
      </w:pPr>
    </w:p>
    <w:bookmarkStart w:id="31" w:name="page32"/>
    <w:bookmarkEnd w:id="31"/>
    <w:p>
      <w:pPr>
        <w:jc w:val="center"/>
        <w:ind w:right="2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144"/>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840" w:type="dxa"/>
            <w:vAlign w:val="bottom"/>
            <w:tcBorders>
              <w:bottom w:val="single" w:sz="8" w:color="DEDEDE"/>
            </w:tcBorders>
          </w:tcPr>
          <w:p>
            <w:pPr>
              <w:spacing w:after="0"/>
              <w:rPr>
                <w:sz w:val="19"/>
                <w:szCs w:val="19"/>
                <w:color w:val="auto"/>
              </w:rPr>
            </w:pPr>
          </w:p>
        </w:tc>
        <w:tc>
          <w:tcPr>
            <w:tcW w:w="140" w:type="dxa"/>
            <w:vAlign w:val="bottom"/>
            <w:tcBorders>
              <w:bottom w:val="single" w:sz="8" w:color="DEDED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DEDEDE"/>
            </w:tcBorders>
          </w:tcPr>
          <w:p>
            <w:pPr>
              <w:spacing w:after="0"/>
              <w:rPr>
                <w:sz w:val="19"/>
                <w:szCs w:val="19"/>
                <w:color w:val="auto"/>
              </w:rPr>
            </w:pPr>
          </w:p>
        </w:tc>
      </w:tr>
      <w:tr>
        <w:trPr>
          <w:trHeight w:val="209"/>
        </w:trPr>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540" w:type="dxa"/>
            <w:vAlign w:val="bottom"/>
            <w:shd w:val="clear" w:color="auto" w:fill="DEDEDE"/>
          </w:tcPr>
          <w:p>
            <w:pPr>
              <w:spacing w:after="0"/>
              <w:rPr>
                <w:sz w:val="18"/>
                <w:szCs w:val="18"/>
                <w:color w:val="auto"/>
              </w:rPr>
            </w:pPr>
          </w:p>
        </w:tc>
        <w:tc>
          <w:tcPr>
            <w:tcW w:w="13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6840" w:type="dxa"/>
            <w:vAlign w:val="bottom"/>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 value (amortized cost of</w:t>
            </w:r>
          </w:p>
        </w:tc>
        <w:tc>
          <w:tcPr>
            <w:tcW w:w="140" w:type="dxa"/>
            <w:vAlign w:val="bottom"/>
            <w:shd w:val="clear" w:color="auto" w:fill="DEDEDE"/>
          </w:tcPr>
          <w:p>
            <w:pPr>
              <w:spacing w:after="0"/>
              <w:rPr>
                <w:sz w:val="17"/>
                <w:szCs w:val="17"/>
                <w:color w:val="auto"/>
              </w:rPr>
            </w:pPr>
          </w:p>
        </w:tc>
        <w:tc>
          <w:tcPr>
            <w:tcW w:w="440" w:type="dxa"/>
            <w:vAlign w:val="bottom"/>
            <w:shd w:val="clear" w:color="auto" w:fill="DEDEDE"/>
          </w:tcPr>
          <w:p>
            <w:pPr>
              <w:spacing w:after="0"/>
              <w:rPr>
                <w:sz w:val="17"/>
                <w:szCs w:val="17"/>
                <w:color w:val="auto"/>
              </w:rPr>
            </w:pPr>
          </w:p>
        </w:tc>
        <w:tc>
          <w:tcPr>
            <w:tcW w:w="14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540" w:type="dxa"/>
            <w:vAlign w:val="bottom"/>
            <w:shd w:val="clear" w:color="auto" w:fill="DEDEDE"/>
          </w:tcPr>
          <w:p>
            <w:pPr>
              <w:spacing w:after="0"/>
              <w:rPr>
                <w:sz w:val="17"/>
                <w:szCs w:val="17"/>
                <w:color w:val="auto"/>
              </w:rPr>
            </w:pPr>
          </w:p>
        </w:tc>
        <w:tc>
          <w:tcPr>
            <w:tcW w:w="13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r>
      <w:tr>
        <w:trPr>
          <w:trHeight w:val="216"/>
        </w:trPr>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$382,401,293 and $376,012,071 for 2025 and 2024, respectively; net of allowance for credit</w:t>
            </w:r>
          </w:p>
        </w:tc>
        <w:tc>
          <w:tcPr>
            <w:tcW w:w="1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540" w:type="dxa"/>
            <w:vAlign w:val="bottom"/>
            <w:shd w:val="clear" w:color="auto" w:fill="DEDEDE"/>
          </w:tcPr>
          <w:p>
            <w:pPr>
              <w:spacing w:after="0"/>
              <w:rPr>
                <w:sz w:val="18"/>
                <w:szCs w:val="18"/>
                <w:color w:val="auto"/>
              </w:rPr>
            </w:pPr>
          </w:p>
        </w:tc>
        <w:tc>
          <w:tcPr>
            <w:tcW w:w="13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r>
      <w:tr>
        <w:trPr>
          <w:trHeight w:val="236"/>
        </w:trPr>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losses of $579,450 and $420,993 for 2025 and 2024, respectively)</w:t>
            </w:r>
          </w:p>
        </w:tc>
        <w:tc>
          <w:tcPr>
            <w:tcW w:w="580" w:type="dxa"/>
            <w:vAlign w:val="bottom"/>
            <w:gridSpan w:val="2"/>
            <w:shd w:val="clear" w:color="auto" w:fill="DEDED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382,777,918</w:t>
            </w:r>
          </w:p>
        </w:tc>
        <w:tc>
          <w:tcPr>
            <w:tcW w:w="320" w:type="dxa"/>
            <w:vAlign w:val="bottom"/>
            <w:shd w:val="clear" w:color="auto" w:fill="DEDEDE"/>
          </w:tcPr>
          <w:p>
            <w:pPr>
              <w:spacing w:after="0"/>
              <w:rPr>
                <w:sz w:val="20"/>
                <w:szCs w:val="20"/>
                <w:color w:val="auto"/>
              </w:rPr>
            </w:pPr>
          </w:p>
        </w:tc>
        <w:tc>
          <w:tcPr>
            <w:tcW w:w="560" w:type="dxa"/>
            <w:vAlign w:val="bottom"/>
            <w:gridSpan w:val="2"/>
            <w:shd w:val="clear" w:color="auto" w:fill="DEDEDE"/>
          </w:tcPr>
          <w:p>
            <w:pPr>
              <w:jc w:val="right"/>
              <w:ind w:right="42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366,546,129</w:t>
            </w:r>
          </w:p>
        </w:tc>
        <w:tc>
          <w:tcPr>
            <w:tcW w:w="120" w:type="dxa"/>
            <w:vAlign w:val="bottom"/>
            <w:shd w:val="clear" w:color="auto" w:fill="DEDEDE"/>
          </w:tcPr>
          <w:p>
            <w:pPr>
              <w:spacing w:after="0"/>
              <w:rPr>
                <w:sz w:val="20"/>
                <w:szCs w:val="20"/>
                <w:color w:val="auto"/>
              </w:rPr>
            </w:pPr>
          </w:p>
        </w:tc>
      </w:tr>
      <w:tr>
        <w:trPr>
          <w:trHeight w:val="196"/>
        </w:trPr>
        <w:tc>
          <w:tcPr>
            <w:tcW w:w="6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Equity securities at estimated fair value (cost of $12,206,559 and $11,386,454 for 2025 and</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5"/>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18,050,062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15,771,681</w:t>
            </w:r>
          </w:p>
        </w:tc>
        <w:tc>
          <w:tcPr>
            <w:tcW w:w="120" w:type="dxa"/>
            <w:vAlign w:val="bottom"/>
          </w:tcPr>
          <w:p>
            <w:pPr>
              <w:spacing w:after="0"/>
              <w:rPr>
                <w:sz w:val="20"/>
                <w:szCs w:val="20"/>
                <w:color w:val="auto"/>
              </w:rPr>
            </w:pPr>
          </w:p>
        </w:tc>
      </w:tr>
      <w:tr>
        <w:trPr>
          <w:trHeight w:val="197"/>
        </w:trPr>
        <w:tc>
          <w:tcPr>
            <w:tcW w:w="6840" w:type="dxa"/>
            <w:vAlign w:val="bottom"/>
            <w:shd w:val="clear" w:color="auto" w:fill="DEDEDE"/>
          </w:tcPr>
          <w:p>
            <w:pPr>
              <w:spacing w:after="0" w:line="197" w:lineRule="exact"/>
              <w:rPr>
                <w:sz w:val="20"/>
                <w:szCs w:val="20"/>
                <w:color w:val="auto"/>
              </w:rPr>
            </w:pPr>
            <w:r>
              <w:rPr>
                <w:rFonts w:ascii="Times New Roman" w:cs="Times New Roman" w:eastAsia="Times New Roman" w:hAnsi="Times New Roman"/>
                <w:sz w:val="18"/>
                <w:szCs w:val="18"/>
                <w:color w:val="auto"/>
              </w:rPr>
              <w:t>Mortgage loans held for investment (net of allowance for credit losses of $2,588,918 and</w:t>
            </w:r>
          </w:p>
        </w:tc>
        <w:tc>
          <w:tcPr>
            <w:tcW w:w="140" w:type="dxa"/>
            <w:vAlign w:val="bottom"/>
            <w:shd w:val="clear" w:color="auto" w:fill="DEDEDE"/>
          </w:tcPr>
          <w:p>
            <w:pPr>
              <w:spacing w:after="0"/>
              <w:rPr>
                <w:sz w:val="17"/>
                <w:szCs w:val="17"/>
                <w:color w:val="auto"/>
              </w:rPr>
            </w:pPr>
          </w:p>
        </w:tc>
        <w:tc>
          <w:tcPr>
            <w:tcW w:w="440" w:type="dxa"/>
            <w:vAlign w:val="bottom"/>
            <w:shd w:val="clear" w:color="auto" w:fill="DEDEDE"/>
          </w:tcPr>
          <w:p>
            <w:pPr>
              <w:spacing w:after="0"/>
              <w:rPr>
                <w:sz w:val="17"/>
                <w:szCs w:val="17"/>
                <w:color w:val="auto"/>
              </w:rPr>
            </w:pPr>
          </w:p>
        </w:tc>
        <w:tc>
          <w:tcPr>
            <w:tcW w:w="14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540" w:type="dxa"/>
            <w:vAlign w:val="bottom"/>
            <w:shd w:val="clear" w:color="auto" w:fill="DEDEDE"/>
          </w:tcPr>
          <w:p>
            <w:pPr>
              <w:spacing w:after="0"/>
              <w:rPr>
                <w:sz w:val="17"/>
                <w:szCs w:val="17"/>
                <w:color w:val="auto"/>
              </w:rPr>
            </w:pPr>
          </w:p>
        </w:tc>
        <w:tc>
          <w:tcPr>
            <w:tcW w:w="13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r>
      <w:tr>
        <w:trPr>
          <w:trHeight w:val="236"/>
        </w:trPr>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$1,885,390 for 2025 and 2024, respectively)</w:t>
            </w:r>
          </w:p>
        </w:tc>
        <w:tc>
          <w:tcPr>
            <w:tcW w:w="140" w:type="dxa"/>
            <w:vAlign w:val="bottom"/>
            <w:shd w:val="clear" w:color="auto" w:fill="DEDEDE"/>
          </w:tcPr>
          <w:p>
            <w:pPr>
              <w:spacing w:after="0"/>
              <w:rPr>
                <w:sz w:val="20"/>
                <w:szCs w:val="20"/>
                <w:color w:val="auto"/>
              </w:rPr>
            </w:pPr>
          </w:p>
        </w:tc>
        <w:tc>
          <w:tcPr>
            <w:tcW w:w="440" w:type="dxa"/>
            <w:vAlign w:val="bottom"/>
            <w:shd w:val="clear" w:color="auto" w:fill="DEDEDE"/>
          </w:tcPr>
          <w:p>
            <w:pPr>
              <w:spacing w:after="0"/>
              <w:rPr>
                <w:sz w:val="20"/>
                <w:szCs w:val="20"/>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322,435,385</w:t>
            </w:r>
          </w:p>
        </w:tc>
        <w:tc>
          <w:tcPr>
            <w:tcW w:w="32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540" w:type="dxa"/>
            <w:vAlign w:val="bottom"/>
            <w:shd w:val="clear" w:color="auto" w:fill="DEDEDE"/>
          </w:tcPr>
          <w:p>
            <w:pPr>
              <w:spacing w:after="0"/>
              <w:rPr>
                <w:sz w:val="20"/>
                <w:szCs w:val="20"/>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301,747,358</w:t>
            </w:r>
          </w:p>
        </w:tc>
        <w:tc>
          <w:tcPr>
            <w:tcW w:w="120" w:type="dxa"/>
            <w:vAlign w:val="bottom"/>
            <w:shd w:val="clear" w:color="auto" w:fill="DEDEDE"/>
          </w:tcPr>
          <w:p>
            <w:pPr>
              <w:spacing w:after="0"/>
              <w:rPr>
                <w:sz w:val="20"/>
                <w:szCs w:val="20"/>
                <w:color w:val="auto"/>
              </w:rPr>
            </w:pPr>
          </w:p>
        </w:tc>
      </w:tr>
      <w:tr>
        <w:trPr>
          <w:trHeight w:val="196"/>
        </w:trPr>
        <w:tc>
          <w:tcPr>
            <w:tcW w:w="68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Real estate held for investment (net of accumulated depreciation of $37,159,212 and</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5"/>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$31,419,539 for 2025 and 2024, respectively)</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214,897,130</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197,693,338</w:t>
            </w:r>
          </w:p>
        </w:tc>
        <w:tc>
          <w:tcPr>
            <w:tcW w:w="120" w:type="dxa"/>
            <w:vAlign w:val="bottom"/>
          </w:tcPr>
          <w:p>
            <w:pPr>
              <w:spacing w:after="0"/>
              <w:rPr>
                <w:sz w:val="20"/>
                <w:szCs w:val="20"/>
                <w:color w:val="auto"/>
              </w:rPr>
            </w:pPr>
          </w:p>
        </w:tc>
      </w:tr>
      <w:tr>
        <w:trPr>
          <w:trHeight w:val="217"/>
        </w:trPr>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6,424,027</w:t>
            </w:r>
          </w:p>
        </w:tc>
        <w:tc>
          <w:tcPr>
            <w:tcW w:w="3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540" w:type="dxa"/>
            <w:vAlign w:val="bottom"/>
            <w:shd w:val="clear" w:color="auto" w:fill="DEDEDE"/>
          </w:tcPr>
          <w:p>
            <w:pPr>
              <w:spacing w:after="0"/>
              <w:rPr>
                <w:sz w:val="18"/>
                <w:szCs w:val="18"/>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1,278,033</w:t>
            </w:r>
          </w:p>
        </w:tc>
        <w:tc>
          <w:tcPr>
            <w:tcW w:w="120" w:type="dxa"/>
            <w:vAlign w:val="bottom"/>
            <w:shd w:val="clear" w:color="auto" w:fill="DEDEDE"/>
          </w:tcPr>
          <w:p>
            <w:pPr>
              <w:spacing w:after="0"/>
              <w:rPr>
                <w:sz w:val="18"/>
                <w:szCs w:val="18"/>
                <w:color w:val="auto"/>
              </w:rPr>
            </w:pPr>
          </w:p>
        </w:tc>
      </w:tr>
      <w:tr>
        <w:trPr>
          <w:trHeight w:val="196"/>
        </w:trPr>
        <w:tc>
          <w:tcPr>
            <w:tcW w:w="68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Other investments and policy loans (net of allowances for credit losses of $1,676,468 and</w:t>
            </w: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5"/>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$1,536,926 for 2025 and 2024, respectively)</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85,223,293</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74,855,041</w:t>
            </w:r>
          </w:p>
        </w:tc>
        <w:tc>
          <w:tcPr>
            <w:tcW w:w="120" w:type="dxa"/>
            <w:vAlign w:val="bottom"/>
          </w:tcPr>
          <w:p>
            <w:pPr>
              <w:spacing w:after="0"/>
              <w:rPr>
                <w:sz w:val="20"/>
                <w:szCs w:val="20"/>
                <w:color w:val="auto"/>
              </w:rPr>
            </w:pPr>
          </w:p>
        </w:tc>
      </w:tr>
      <w:tr>
        <w:trPr>
          <w:trHeight w:val="231"/>
        </w:trPr>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40" w:type="dxa"/>
            <w:vAlign w:val="bottom"/>
            <w:shd w:val="clear" w:color="auto" w:fill="DEDEDE"/>
          </w:tcPr>
          <w:p>
            <w:pPr>
              <w:spacing w:after="0"/>
              <w:rPr>
                <w:sz w:val="20"/>
                <w:szCs w:val="20"/>
                <w:color w:val="auto"/>
              </w:rPr>
            </w:pPr>
          </w:p>
        </w:tc>
        <w:tc>
          <w:tcPr>
            <w:tcW w:w="440" w:type="dxa"/>
            <w:vAlign w:val="bottom"/>
            <w:tcBorders>
              <w:bottom w:val="single" w:sz="8" w:color="auto"/>
            </w:tcBorders>
            <w:shd w:val="clear" w:color="auto" w:fill="DEDEDE"/>
          </w:tcPr>
          <w:p>
            <w:pPr>
              <w:spacing w:after="0"/>
              <w:rPr>
                <w:sz w:val="20"/>
                <w:szCs w:val="20"/>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9,054,645</w:t>
            </w:r>
          </w:p>
        </w:tc>
        <w:tc>
          <w:tcPr>
            <w:tcW w:w="32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540" w:type="dxa"/>
            <w:vAlign w:val="bottom"/>
            <w:tcBorders>
              <w:bottom w:val="single" w:sz="8" w:color="auto"/>
            </w:tcBorders>
            <w:shd w:val="clear" w:color="auto" w:fill="DEDEDE"/>
          </w:tcPr>
          <w:p>
            <w:pPr>
              <w:spacing w:after="0"/>
              <w:rPr>
                <w:sz w:val="20"/>
                <w:szCs w:val="20"/>
                <w:color w:val="auto"/>
              </w:rPr>
            </w:pPr>
          </w:p>
        </w:tc>
        <w:tc>
          <w:tcPr>
            <w:tcW w:w="13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8,499,168</w:t>
            </w:r>
          </w:p>
        </w:tc>
        <w:tc>
          <w:tcPr>
            <w:tcW w:w="120" w:type="dxa"/>
            <w:vAlign w:val="bottom"/>
            <w:shd w:val="clear" w:color="auto" w:fill="DEDEDE"/>
          </w:tcPr>
          <w:p>
            <w:pPr>
              <w:spacing w:after="0"/>
              <w:rPr>
                <w:sz w:val="20"/>
                <w:szCs w:val="20"/>
                <w:color w:val="auto"/>
              </w:rPr>
            </w:pPr>
          </w:p>
        </w:tc>
      </w:tr>
      <w:tr>
        <w:trPr>
          <w:trHeight w:val="210"/>
        </w:trPr>
        <w:tc>
          <w:tcPr>
            <w:tcW w:w="684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0" w:type="dxa"/>
            <w:vAlign w:val="bottom"/>
            <w:tcBorders>
              <w:bottom w:val="single" w:sz="8" w:color="DEDEDE"/>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1,038,862,460</w:t>
            </w:r>
          </w:p>
        </w:tc>
        <w:tc>
          <w:tcPr>
            <w:tcW w:w="320" w:type="dxa"/>
            <w:vAlign w:val="bottom"/>
            <w:tcBorders>
              <w:bottom w:val="single" w:sz="8" w:color="DEDEDE"/>
            </w:tcBorders>
          </w:tcPr>
          <w:p>
            <w:pPr>
              <w:spacing w:after="0"/>
              <w:rPr>
                <w:sz w:val="18"/>
                <w:szCs w:val="18"/>
                <w:color w:val="auto"/>
              </w:rPr>
            </w:pPr>
          </w:p>
        </w:tc>
        <w:tc>
          <w:tcPr>
            <w:tcW w:w="20" w:type="dxa"/>
            <w:vAlign w:val="bottom"/>
            <w:tcBorders>
              <w:bottom w:val="single" w:sz="8" w:color="DEDEDE"/>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966,390,748</w:t>
            </w:r>
          </w:p>
        </w:tc>
        <w:tc>
          <w:tcPr>
            <w:tcW w:w="120" w:type="dxa"/>
            <w:vAlign w:val="bottom"/>
            <w:tcBorders>
              <w:bottom w:val="single" w:sz="8" w:color="DEDEDE"/>
            </w:tcBorders>
          </w:tcPr>
          <w:p>
            <w:pPr>
              <w:spacing w:after="0"/>
              <w:rPr>
                <w:sz w:val="18"/>
                <w:szCs w:val="18"/>
                <w:color w:val="auto"/>
              </w:rPr>
            </w:pPr>
          </w:p>
        </w:tc>
      </w:tr>
      <w:tr>
        <w:trPr>
          <w:trHeight w:val="209"/>
        </w:trPr>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102,256,828</w:t>
            </w:r>
          </w:p>
        </w:tc>
        <w:tc>
          <w:tcPr>
            <w:tcW w:w="3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540" w:type="dxa"/>
            <w:vAlign w:val="bottom"/>
            <w:shd w:val="clear" w:color="auto" w:fill="DEDEDE"/>
          </w:tcPr>
          <w:p>
            <w:pPr>
              <w:spacing w:after="0"/>
              <w:rPr>
                <w:sz w:val="18"/>
                <w:szCs w:val="18"/>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140,546,421</w:t>
            </w:r>
          </w:p>
        </w:tc>
        <w:tc>
          <w:tcPr>
            <w:tcW w:w="120" w:type="dxa"/>
            <w:vAlign w:val="bottom"/>
            <w:shd w:val="clear" w:color="auto" w:fill="DEDED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 at estimated fair value</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155,968,266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131,181,148</w:t>
            </w:r>
          </w:p>
        </w:tc>
        <w:tc>
          <w:tcPr>
            <w:tcW w:w="120" w:type="dxa"/>
            <w:vAlign w:val="bottom"/>
          </w:tcPr>
          <w:p>
            <w:pPr>
              <w:spacing w:after="0"/>
              <w:rPr>
                <w:sz w:val="18"/>
                <w:szCs w:val="18"/>
                <w:color w:val="auto"/>
              </w:rPr>
            </w:pPr>
          </w:p>
        </w:tc>
      </w:tr>
      <w:tr>
        <w:trPr>
          <w:trHeight w:val="195"/>
        </w:trPr>
        <w:tc>
          <w:tcPr>
            <w:tcW w:w="6840" w:type="dxa"/>
            <w:vAlign w:val="bottom"/>
            <w:shd w:val="clear" w:color="auto" w:fill="DEDEDE"/>
          </w:tcPr>
          <w:p>
            <w:pPr>
              <w:spacing w:after="0" w:line="195" w:lineRule="exact"/>
              <w:rPr>
                <w:sz w:val="20"/>
                <w:szCs w:val="20"/>
                <w:color w:val="auto"/>
              </w:rPr>
            </w:pPr>
            <w:r>
              <w:rPr>
                <w:rFonts w:ascii="Times New Roman" w:cs="Times New Roman" w:eastAsia="Times New Roman" w:hAnsi="Times New Roman"/>
                <w:sz w:val="18"/>
                <w:szCs w:val="18"/>
                <w:color w:val="auto"/>
              </w:rPr>
              <w:t>Receivables (net of allowance for credit losses of $1,428,672 and $1,678,531 for 2025 and</w:t>
            </w:r>
          </w:p>
        </w:tc>
        <w:tc>
          <w:tcPr>
            <w:tcW w:w="140" w:type="dxa"/>
            <w:vAlign w:val="bottom"/>
            <w:shd w:val="clear" w:color="auto" w:fill="DEDEDE"/>
          </w:tcPr>
          <w:p>
            <w:pPr>
              <w:spacing w:after="0"/>
              <w:rPr>
                <w:sz w:val="16"/>
                <w:szCs w:val="16"/>
                <w:color w:val="auto"/>
              </w:rPr>
            </w:pPr>
          </w:p>
        </w:tc>
        <w:tc>
          <w:tcPr>
            <w:tcW w:w="440" w:type="dxa"/>
            <w:vAlign w:val="bottom"/>
            <w:shd w:val="clear" w:color="auto" w:fill="DEDEDE"/>
          </w:tcPr>
          <w:p>
            <w:pPr>
              <w:spacing w:after="0"/>
              <w:rPr>
                <w:sz w:val="16"/>
                <w:szCs w:val="16"/>
                <w:color w:val="auto"/>
              </w:rPr>
            </w:pPr>
          </w:p>
        </w:tc>
        <w:tc>
          <w:tcPr>
            <w:tcW w:w="1480" w:type="dxa"/>
            <w:vAlign w:val="bottom"/>
            <w:shd w:val="clear" w:color="auto" w:fill="DEDEDE"/>
          </w:tcPr>
          <w:p>
            <w:pPr>
              <w:spacing w:after="0"/>
              <w:rPr>
                <w:sz w:val="16"/>
                <w:szCs w:val="16"/>
                <w:color w:val="auto"/>
              </w:rPr>
            </w:pPr>
          </w:p>
        </w:tc>
        <w:tc>
          <w:tcPr>
            <w:tcW w:w="320" w:type="dxa"/>
            <w:vAlign w:val="bottom"/>
            <w:shd w:val="clear" w:color="auto" w:fill="DEDEDE"/>
          </w:tcPr>
          <w:p>
            <w:pPr>
              <w:spacing w:after="0"/>
              <w:rPr>
                <w:sz w:val="16"/>
                <w:szCs w:val="16"/>
                <w:color w:val="auto"/>
              </w:rPr>
            </w:pPr>
          </w:p>
        </w:tc>
        <w:tc>
          <w:tcPr>
            <w:tcW w:w="20" w:type="dxa"/>
            <w:vAlign w:val="bottom"/>
            <w:shd w:val="clear" w:color="auto" w:fill="DEDEDE"/>
          </w:tcPr>
          <w:p>
            <w:pPr>
              <w:spacing w:after="0"/>
              <w:rPr>
                <w:sz w:val="16"/>
                <w:szCs w:val="16"/>
                <w:color w:val="auto"/>
              </w:rPr>
            </w:pPr>
          </w:p>
        </w:tc>
        <w:tc>
          <w:tcPr>
            <w:tcW w:w="540" w:type="dxa"/>
            <w:vAlign w:val="bottom"/>
            <w:shd w:val="clear" w:color="auto" w:fill="DEDEDE"/>
          </w:tcPr>
          <w:p>
            <w:pPr>
              <w:spacing w:after="0"/>
              <w:rPr>
                <w:sz w:val="16"/>
                <w:szCs w:val="16"/>
                <w:color w:val="auto"/>
              </w:rPr>
            </w:pPr>
          </w:p>
        </w:tc>
        <w:tc>
          <w:tcPr>
            <w:tcW w:w="1340" w:type="dxa"/>
            <w:vAlign w:val="bottom"/>
            <w:shd w:val="clear" w:color="auto" w:fill="DEDEDE"/>
          </w:tcPr>
          <w:p>
            <w:pPr>
              <w:spacing w:after="0"/>
              <w:rPr>
                <w:sz w:val="16"/>
                <w:szCs w:val="16"/>
                <w:color w:val="auto"/>
              </w:rPr>
            </w:pPr>
          </w:p>
        </w:tc>
        <w:tc>
          <w:tcPr>
            <w:tcW w:w="120" w:type="dxa"/>
            <w:vAlign w:val="bottom"/>
            <w:shd w:val="clear" w:color="auto" w:fill="DEDEDE"/>
          </w:tcPr>
          <w:p>
            <w:pPr>
              <w:spacing w:after="0"/>
              <w:rPr>
                <w:sz w:val="16"/>
                <w:szCs w:val="16"/>
                <w:color w:val="auto"/>
              </w:rPr>
            </w:pPr>
          </w:p>
        </w:tc>
      </w:tr>
      <w:tr>
        <w:trPr>
          <w:trHeight w:val="237"/>
        </w:trPr>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40" w:type="dxa"/>
            <w:vAlign w:val="bottom"/>
            <w:shd w:val="clear" w:color="auto" w:fill="DEDEDE"/>
          </w:tcPr>
          <w:p>
            <w:pPr>
              <w:spacing w:after="0"/>
              <w:rPr>
                <w:sz w:val="20"/>
                <w:szCs w:val="20"/>
                <w:color w:val="auto"/>
              </w:rPr>
            </w:pPr>
          </w:p>
        </w:tc>
        <w:tc>
          <w:tcPr>
            <w:tcW w:w="440" w:type="dxa"/>
            <w:vAlign w:val="bottom"/>
            <w:shd w:val="clear" w:color="auto" w:fill="DEDEDE"/>
          </w:tcPr>
          <w:p>
            <w:pPr>
              <w:spacing w:after="0"/>
              <w:rPr>
                <w:sz w:val="20"/>
                <w:szCs w:val="20"/>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15,611,074</w:t>
            </w:r>
          </w:p>
        </w:tc>
        <w:tc>
          <w:tcPr>
            <w:tcW w:w="32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540" w:type="dxa"/>
            <w:vAlign w:val="bottom"/>
            <w:shd w:val="clear" w:color="auto" w:fill="DEDEDE"/>
          </w:tcPr>
          <w:p>
            <w:pPr>
              <w:spacing w:after="0"/>
              <w:rPr>
                <w:sz w:val="20"/>
                <w:szCs w:val="20"/>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15,858,743</w:t>
            </w:r>
          </w:p>
        </w:tc>
        <w:tc>
          <w:tcPr>
            <w:tcW w:w="120" w:type="dxa"/>
            <w:vAlign w:val="bottom"/>
            <w:shd w:val="clear" w:color="auto" w:fill="DEDEDE"/>
          </w:tcPr>
          <w:p>
            <w:pPr>
              <w:spacing w:after="0"/>
              <w:rPr>
                <w:sz w:val="20"/>
                <w:szCs w:val="20"/>
                <w:color w:val="auto"/>
              </w:rPr>
            </w:pPr>
          </w:p>
        </w:tc>
      </w:tr>
      <w:tr>
        <w:trPr>
          <w:trHeight w:val="195"/>
        </w:trPr>
        <w:tc>
          <w:tcPr>
            <w:tcW w:w="68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Restricted assets (including $16,106,168 and $12,323,535 for 2025 and 2024, respectively, at</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5"/>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28,805,946</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23,806,836</w:t>
            </w:r>
          </w:p>
        </w:tc>
        <w:tc>
          <w:tcPr>
            <w:tcW w:w="120" w:type="dxa"/>
            <w:vAlign w:val="bottom"/>
          </w:tcPr>
          <w:p>
            <w:pPr>
              <w:spacing w:after="0"/>
              <w:rPr>
                <w:sz w:val="20"/>
                <w:szCs w:val="20"/>
                <w:color w:val="auto"/>
              </w:rPr>
            </w:pPr>
          </w:p>
        </w:tc>
      </w:tr>
      <w:tr>
        <w:trPr>
          <w:trHeight w:val="197"/>
        </w:trPr>
        <w:tc>
          <w:tcPr>
            <w:tcW w:w="6840" w:type="dxa"/>
            <w:vAlign w:val="bottom"/>
            <w:shd w:val="clear" w:color="auto" w:fill="DEDEDE"/>
          </w:tcPr>
          <w:p>
            <w:pPr>
              <w:spacing w:after="0" w:line="197" w:lineRule="exact"/>
              <w:rPr>
                <w:sz w:val="20"/>
                <w:szCs w:val="20"/>
                <w:color w:val="auto"/>
              </w:rPr>
            </w:pPr>
            <w:r>
              <w:rPr>
                <w:rFonts w:ascii="Times New Roman" w:cs="Times New Roman" w:eastAsia="Times New Roman" w:hAnsi="Times New Roman"/>
                <w:sz w:val="18"/>
                <w:szCs w:val="18"/>
                <w:color w:val="auto"/>
              </w:rPr>
              <w:t>Cemetery perpetual care trust investments (including $6,575,744 and $5,689,706 for 2025</w:t>
            </w:r>
          </w:p>
        </w:tc>
        <w:tc>
          <w:tcPr>
            <w:tcW w:w="140" w:type="dxa"/>
            <w:vAlign w:val="bottom"/>
            <w:shd w:val="clear" w:color="auto" w:fill="DEDEDE"/>
          </w:tcPr>
          <w:p>
            <w:pPr>
              <w:spacing w:after="0"/>
              <w:rPr>
                <w:sz w:val="17"/>
                <w:szCs w:val="17"/>
                <w:color w:val="auto"/>
              </w:rPr>
            </w:pPr>
          </w:p>
        </w:tc>
        <w:tc>
          <w:tcPr>
            <w:tcW w:w="440" w:type="dxa"/>
            <w:vAlign w:val="bottom"/>
            <w:shd w:val="clear" w:color="auto" w:fill="DEDEDE"/>
          </w:tcPr>
          <w:p>
            <w:pPr>
              <w:spacing w:after="0"/>
              <w:rPr>
                <w:sz w:val="17"/>
                <w:szCs w:val="17"/>
                <w:color w:val="auto"/>
              </w:rPr>
            </w:pPr>
          </w:p>
        </w:tc>
        <w:tc>
          <w:tcPr>
            <w:tcW w:w="14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540" w:type="dxa"/>
            <w:vAlign w:val="bottom"/>
            <w:shd w:val="clear" w:color="auto" w:fill="DEDEDE"/>
          </w:tcPr>
          <w:p>
            <w:pPr>
              <w:spacing w:after="0"/>
              <w:rPr>
                <w:sz w:val="17"/>
                <w:szCs w:val="17"/>
                <w:color w:val="auto"/>
              </w:rPr>
            </w:pPr>
          </w:p>
        </w:tc>
        <w:tc>
          <w:tcPr>
            <w:tcW w:w="13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r>
      <w:tr>
        <w:trPr>
          <w:trHeight w:val="237"/>
        </w:trPr>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and 2024, respectively, at estimated fair value)</w:t>
            </w:r>
          </w:p>
        </w:tc>
        <w:tc>
          <w:tcPr>
            <w:tcW w:w="140" w:type="dxa"/>
            <w:vAlign w:val="bottom"/>
            <w:shd w:val="clear" w:color="auto" w:fill="DEDEDE"/>
          </w:tcPr>
          <w:p>
            <w:pPr>
              <w:spacing w:after="0"/>
              <w:rPr>
                <w:sz w:val="20"/>
                <w:szCs w:val="20"/>
                <w:color w:val="auto"/>
              </w:rPr>
            </w:pPr>
          </w:p>
        </w:tc>
        <w:tc>
          <w:tcPr>
            <w:tcW w:w="440" w:type="dxa"/>
            <w:vAlign w:val="bottom"/>
            <w:shd w:val="clear" w:color="auto" w:fill="DEDEDE"/>
          </w:tcPr>
          <w:p>
            <w:pPr>
              <w:spacing w:after="0"/>
              <w:rPr>
                <w:sz w:val="20"/>
                <w:szCs w:val="20"/>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9,871,947</w:t>
            </w:r>
          </w:p>
        </w:tc>
        <w:tc>
          <w:tcPr>
            <w:tcW w:w="32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540" w:type="dxa"/>
            <w:vAlign w:val="bottom"/>
            <w:shd w:val="clear" w:color="auto" w:fill="DEDEDE"/>
          </w:tcPr>
          <w:p>
            <w:pPr>
              <w:spacing w:after="0"/>
              <w:rPr>
                <w:sz w:val="20"/>
                <w:szCs w:val="20"/>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8,836,503</w:t>
            </w:r>
          </w:p>
        </w:tc>
        <w:tc>
          <w:tcPr>
            <w:tcW w:w="120" w:type="dxa"/>
            <w:vAlign w:val="bottom"/>
            <w:shd w:val="clear" w:color="auto" w:fill="DEDEDE"/>
          </w:tcPr>
          <w:p>
            <w:pPr>
              <w:spacing w:after="0"/>
              <w:rPr>
                <w:sz w:val="20"/>
                <w:szCs w:val="20"/>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13,655,373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13,816,663</w:t>
            </w:r>
          </w:p>
        </w:tc>
        <w:tc>
          <w:tcPr>
            <w:tcW w:w="120" w:type="dxa"/>
            <w:vAlign w:val="bottom"/>
          </w:tcPr>
          <w:p>
            <w:pPr>
              <w:spacing w:after="0"/>
              <w:rPr>
                <w:sz w:val="18"/>
                <w:szCs w:val="18"/>
                <w:color w:val="auto"/>
              </w:rPr>
            </w:pPr>
          </w:p>
        </w:tc>
      </w:tr>
      <w:tr>
        <w:trPr>
          <w:trHeight w:val="216"/>
        </w:trPr>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Cemetery land and improvements</w:t>
            </w:r>
          </w:p>
        </w:tc>
        <w:tc>
          <w:tcPr>
            <w:tcW w:w="1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11,299,283</w:t>
            </w:r>
          </w:p>
        </w:tc>
        <w:tc>
          <w:tcPr>
            <w:tcW w:w="3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540" w:type="dxa"/>
            <w:vAlign w:val="bottom"/>
            <w:shd w:val="clear" w:color="auto" w:fill="DEDEDE"/>
          </w:tcPr>
          <w:p>
            <w:pPr>
              <w:spacing w:after="0"/>
              <w:rPr>
                <w:sz w:val="18"/>
                <w:szCs w:val="18"/>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10,594,632</w:t>
            </w:r>
          </w:p>
        </w:tc>
        <w:tc>
          <w:tcPr>
            <w:tcW w:w="120" w:type="dxa"/>
            <w:vAlign w:val="bottom"/>
            <w:shd w:val="clear" w:color="auto" w:fill="DEDED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2,528,459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2,939,878</w:t>
            </w:r>
          </w:p>
        </w:tc>
        <w:tc>
          <w:tcPr>
            <w:tcW w:w="120" w:type="dxa"/>
            <w:vAlign w:val="bottom"/>
          </w:tcPr>
          <w:p>
            <w:pPr>
              <w:spacing w:after="0"/>
              <w:rPr>
                <w:sz w:val="18"/>
                <w:szCs w:val="18"/>
                <w:color w:val="auto"/>
              </w:rPr>
            </w:pPr>
          </w:p>
        </w:tc>
      </w:tr>
      <w:tr>
        <w:trPr>
          <w:trHeight w:val="216"/>
        </w:trPr>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18,211,717</w:t>
            </w:r>
          </w:p>
        </w:tc>
        <w:tc>
          <w:tcPr>
            <w:tcW w:w="3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540" w:type="dxa"/>
            <w:vAlign w:val="bottom"/>
            <w:shd w:val="clear" w:color="auto" w:fill="DEDEDE"/>
          </w:tcPr>
          <w:p>
            <w:pPr>
              <w:spacing w:after="0"/>
              <w:rPr>
                <w:sz w:val="18"/>
                <w:szCs w:val="18"/>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19,047,688</w:t>
            </w:r>
          </w:p>
        </w:tc>
        <w:tc>
          <w:tcPr>
            <w:tcW w:w="120" w:type="dxa"/>
            <w:vAlign w:val="bottom"/>
            <w:shd w:val="clear" w:color="auto" w:fill="DEDED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135,978,803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127,219,907</w:t>
            </w:r>
          </w:p>
        </w:tc>
        <w:tc>
          <w:tcPr>
            <w:tcW w:w="120" w:type="dxa"/>
            <w:vAlign w:val="bottom"/>
          </w:tcPr>
          <w:p>
            <w:pPr>
              <w:spacing w:after="0"/>
              <w:rPr>
                <w:sz w:val="18"/>
                <w:szCs w:val="18"/>
                <w:color w:val="auto"/>
              </w:rPr>
            </w:pPr>
          </w:p>
        </w:tc>
      </w:tr>
      <w:tr>
        <w:trPr>
          <w:trHeight w:val="216"/>
        </w:trPr>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7,109,186</w:t>
            </w:r>
          </w:p>
        </w:tc>
        <w:tc>
          <w:tcPr>
            <w:tcW w:w="3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540" w:type="dxa"/>
            <w:vAlign w:val="bottom"/>
            <w:shd w:val="clear" w:color="auto" w:fill="DEDEDE"/>
          </w:tcPr>
          <w:p>
            <w:pPr>
              <w:spacing w:after="0"/>
              <w:rPr>
                <w:sz w:val="18"/>
                <w:szCs w:val="18"/>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7,602,521</w:t>
            </w:r>
          </w:p>
        </w:tc>
        <w:tc>
          <w:tcPr>
            <w:tcW w:w="120" w:type="dxa"/>
            <w:vAlign w:val="bottom"/>
            <w:shd w:val="clear" w:color="auto" w:fill="DEDEDE"/>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120" w:type="dxa"/>
            <w:vAlign w:val="bottom"/>
          </w:tcPr>
          <w:p>
            <w:pPr>
              <w:spacing w:after="0"/>
              <w:rPr>
                <w:sz w:val="18"/>
                <w:szCs w:val="18"/>
                <w:color w:val="auto"/>
              </w:rPr>
            </w:pPr>
          </w:p>
        </w:tc>
      </w:tr>
      <w:tr>
        <w:trPr>
          <w:trHeight w:val="230"/>
        </w:trPr>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DEDEDE"/>
          </w:tcPr>
          <w:p>
            <w:pPr>
              <w:spacing w:after="0"/>
              <w:rPr>
                <w:sz w:val="19"/>
                <w:szCs w:val="19"/>
                <w:color w:val="auto"/>
              </w:rPr>
            </w:pPr>
          </w:p>
        </w:tc>
        <w:tc>
          <w:tcPr>
            <w:tcW w:w="440" w:type="dxa"/>
            <w:vAlign w:val="bottom"/>
            <w:tcBorders>
              <w:bottom w:val="single" w:sz="8" w:color="auto"/>
            </w:tcBorders>
            <w:shd w:val="clear" w:color="auto" w:fill="DEDEDE"/>
          </w:tcPr>
          <w:p>
            <w:pPr>
              <w:spacing w:after="0"/>
              <w:rPr>
                <w:sz w:val="19"/>
                <w:szCs w:val="19"/>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16,431,479</w:t>
            </w:r>
          </w:p>
        </w:tc>
        <w:tc>
          <w:tcPr>
            <w:tcW w:w="32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540" w:type="dxa"/>
            <w:vAlign w:val="bottom"/>
            <w:tcBorders>
              <w:bottom w:val="single" w:sz="8" w:color="auto"/>
            </w:tcBorders>
            <w:shd w:val="clear" w:color="auto" w:fill="DEDEDE"/>
          </w:tcPr>
          <w:p>
            <w:pPr>
              <w:spacing w:after="0"/>
              <w:rPr>
                <w:sz w:val="19"/>
                <w:szCs w:val="19"/>
                <w:color w:val="auto"/>
              </w:rPr>
            </w:pPr>
          </w:p>
        </w:tc>
        <w:tc>
          <w:tcPr>
            <w:tcW w:w="13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21,366,843</w:t>
            </w:r>
          </w:p>
        </w:tc>
        <w:tc>
          <w:tcPr>
            <w:tcW w:w="120" w:type="dxa"/>
            <w:vAlign w:val="bottom"/>
            <w:shd w:val="clear" w:color="auto" w:fill="DEDEDE"/>
          </w:tcPr>
          <w:p>
            <w:pPr>
              <w:spacing w:after="0"/>
              <w:rPr>
                <w:sz w:val="19"/>
                <w:szCs w:val="19"/>
                <w:color w:val="auto"/>
              </w:rPr>
            </w:pPr>
          </w:p>
        </w:tc>
      </w:tr>
      <w:tr>
        <w:trPr>
          <w:trHeight w:val="223"/>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Pr>
          <w:p>
            <w:pPr>
              <w:spacing w:after="0"/>
              <w:rPr>
                <w:sz w:val="19"/>
                <w:szCs w:val="19"/>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1,561,844,604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1,494,462,314</w:t>
            </w:r>
          </w:p>
        </w:tc>
        <w:tc>
          <w:tcPr>
            <w:tcW w:w="12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2240" w:h="15840" w:orient="portrait"/>
          <w:cols w:equalWidth="0" w:num="1">
            <w:col w:w="11240"/>
          </w:cols>
          <w:pgMar w:left="500" w:top="687" w:right="500" w:bottom="0" w:gutter="0" w:footer="0" w:header="0"/>
        </w:sectPr>
      </w:pPr>
    </w:p>
    <w:bookmarkStart w:id="32" w:name="page33"/>
    <w:bookmarkEnd w:id="32"/>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CONSOLIDATED BALANCE SHEETS (Continued)</w:t>
      </w:r>
    </w:p>
    <w:p>
      <w:pPr>
        <w:spacing w:after="0" w:line="235" w:lineRule="exact"/>
        <w:rPr>
          <w:sz w:val="20"/>
          <w:szCs w:val="20"/>
          <w:color w:val="auto"/>
        </w:rPr>
      </w:pPr>
    </w:p>
    <w:tbl>
      <w:tblPr>
        <w:tblLayout w:type="fixed"/>
        <w:tblInd w:w="2" w:type="dxa"/>
        <w:tblCellMar>
          <w:top w:w="0" w:type="dxa"/>
          <w:left w:w="0" w:type="dxa"/>
          <w:bottom w:w="0" w:type="dxa"/>
          <w:right w:w="0" w:type="dxa"/>
        </w:tblCellMar>
      </w:tblPr>
      <w:tr>
        <w:trPr>
          <w:trHeight w:val="239"/>
        </w:trPr>
        <w:tc>
          <w:tcPr>
            <w:tcW w:w="5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420" w:type="dxa"/>
            <w:vAlign w:val="bottom"/>
            <w:tcBorders>
              <w:bottom w:val="single" w:sz="8" w:color="DEDEDE"/>
            </w:tcBorders>
          </w:tcPr>
          <w:p>
            <w:pPr>
              <w:spacing w:after="0"/>
              <w:rPr>
                <w:sz w:val="19"/>
                <w:szCs w:val="19"/>
                <w:color w:val="auto"/>
              </w:rPr>
            </w:pPr>
          </w:p>
        </w:tc>
        <w:tc>
          <w:tcPr>
            <w:tcW w:w="1560" w:type="dxa"/>
            <w:vAlign w:val="bottom"/>
            <w:tcBorders>
              <w:bottom w:val="single" w:sz="8" w:color="DEDED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DEDEDE"/>
            </w:tcBorders>
          </w:tcPr>
          <w:p>
            <w:pPr>
              <w:spacing w:after="0"/>
              <w:rPr>
                <w:sz w:val="19"/>
                <w:szCs w:val="19"/>
                <w:color w:val="auto"/>
              </w:rPr>
            </w:pPr>
          </w:p>
        </w:tc>
        <w:tc>
          <w:tcPr>
            <w:tcW w:w="140" w:type="dxa"/>
            <w:vAlign w:val="bottom"/>
            <w:tcBorders>
              <w:bottom w:val="single" w:sz="8" w:color="DEDEDE"/>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DEDEDE"/>
            </w:tcBorders>
          </w:tcPr>
          <w:p>
            <w:pPr>
              <w:spacing w:after="0"/>
              <w:rPr>
                <w:sz w:val="19"/>
                <w:szCs w:val="19"/>
                <w:color w:val="auto"/>
              </w:rPr>
            </w:pPr>
          </w:p>
        </w:tc>
      </w:tr>
      <w:tr>
        <w:trPr>
          <w:trHeight w:val="209"/>
        </w:trPr>
        <w:tc>
          <w:tcPr>
            <w:tcW w:w="54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56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560" w:type="dxa"/>
            <w:vAlign w:val="bottom"/>
            <w:shd w:val="clear" w:color="auto" w:fill="DEDEDE"/>
          </w:tcPr>
          <w:p>
            <w:pPr>
              <w:spacing w:after="0"/>
              <w:rPr>
                <w:sz w:val="18"/>
                <w:szCs w:val="18"/>
                <w:color w:val="auto"/>
              </w:rPr>
            </w:pPr>
          </w:p>
        </w:tc>
        <w:tc>
          <w:tcPr>
            <w:tcW w:w="13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4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2000" w:type="dxa"/>
            <w:vAlign w:val="bottom"/>
            <w:gridSpan w:val="2"/>
            <w:shd w:val="clear" w:color="auto" w:fill="DEDED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799,706,946</w:t>
            </w:r>
          </w:p>
        </w:tc>
        <w:tc>
          <w:tcPr>
            <w:tcW w:w="180" w:type="dxa"/>
            <w:vAlign w:val="bottom"/>
            <w:shd w:val="clear" w:color="auto" w:fill="DEDEDE"/>
          </w:tcPr>
          <w:p>
            <w:pPr>
              <w:spacing w:after="0"/>
              <w:rPr>
                <w:sz w:val="18"/>
                <w:szCs w:val="18"/>
                <w:color w:val="auto"/>
              </w:rPr>
            </w:pPr>
          </w:p>
        </w:tc>
        <w:tc>
          <w:tcPr>
            <w:tcW w:w="700" w:type="dxa"/>
            <w:vAlign w:val="bottom"/>
            <w:gridSpan w:val="2"/>
            <w:shd w:val="clear" w:color="auto" w:fill="DEDEDE"/>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752,080,658</w:t>
            </w:r>
          </w:p>
        </w:tc>
        <w:tc>
          <w:tcPr>
            <w:tcW w:w="120" w:type="dxa"/>
            <w:vAlign w:val="bottom"/>
            <w:shd w:val="clear" w:color="auto" w:fill="DEDEDE"/>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Policyholder account balances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140,605,750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142,807,316</w:t>
            </w:r>
          </w:p>
        </w:tc>
        <w:tc>
          <w:tcPr>
            <w:tcW w:w="120" w:type="dxa"/>
            <w:vAlign w:val="bottom"/>
          </w:tcPr>
          <w:p>
            <w:pPr>
              <w:spacing w:after="0"/>
              <w:rPr>
                <w:sz w:val="18"/>
                <w:szCs w:val="18"/>
                <w:color w:val="auto"/>
              </w:rPr>
            </w:pPr>
          </w:p>
        </w:tc>
      </w:tr>
      <w:tr>
        <w:trPr>
          <w:trHeight w:val="216"/>
        </w:trPr>
        <w:tc>
          <w:tcPr>
            <w:tcW w:w="54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156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1,824,796</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560" w:type="dxa"/>
            <w:vAlign w:val="bottom"/>
            <w:shd w:val="clear" w:color="auto" w:fill="DEDEDE"/>
          </w:tcPr>
          <w:p>
            <w:pPr>
              <w:spacing w:after="0"/>
              <w:rPr>
                <w:sz w:val="18"/>
                <w:szCs w:val="18"/>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2,013,245</w:t>
            </w:r>
          </w:p>
        </w:tc>
        <w:tc>
          <w:tcPr>
            <w:tcW w:w="120" w:type="dxa"/>
            <w:vAlign w:val="bottom"/>
            <w:shd w:val="clear" w:color="auto" w:fill="DEDEDE"/>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98,387,919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106,740,104</w:t>
            </w:r>
          </w:p>
        </w:tc>
        <w:tc>
          <w:tcPr>
            <w:tcW w:w="120" w:type="dxa"/>
            <w:vAlign w:val="bottom"/>
          </w:tcPr>
          <w:p>
            <w:pPr>
              <w:spacing w:after="0"/>
              <w:rPr>
                <w:sz w:val="18"/>
                <w:szCs w:val="18"/>
                <w:color w:val="auto"/>
              </w:rPr>
            </w:pPr>
          </w:p>
        </w:tc>
      </w:tr>
      <w:tr>
        <w:trPr>
          <w:trHeight w:val="216"/>
        </w:trPr>
        <w:tc>
          <w:tcPr>
            <w:tcW w:w="54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Deferred pre-need cemetery and mortuary contract revenues</w:t>
            </w:r>
          </w:p>
        </w:tc>
        <w:tc>
          <w:tcPr>
            <w:tcW w:w="156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22,991,603</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560" w:type="dxa"/>
            <w:vAlign w:val="bottom"/>
            <w:shd w:val="clear" w:color="auto" w:fill="DEDEDE"/>
          </w:tcPr>
          <w:p>
            <w:pPr>
              <w:spacing w:after="0"/>
              <w:rPr>
                <w:sz w:val="18"/>
                <w:szCs w:val="18"/>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20,168,405</w:t>
            </w:r>
          </w:p>
        </w:tc>
        <w:tc>
          <w:tcPr>
            <w:tcW w:w="120" w:type="dxa"/>
            <w:vAlign w:val="bottom"/>
            <w:shd w:val="clear" w:color="auto" w:fill="DEDEDE"/>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obligation</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5,918,776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5,642,693</w:t>
            </w:r>
          </w:p>
        </w:tc>
        <w:tc>
          <w:tcPr>
            <w:tcW w:w="120" w:type="dxa"/>
            <w:vAlign w:val="bottom"/>
          </w:tcPr>
          <w:p>
            <w:pPr>
              <w:spacing w:after="0"/>
              <w:rPr>
                <w:sz w:val="18"/>
                <w:szCs w:val="18"/>
                <w:color w:val="auto"/>
              </w:rPr>
            </w:pPr>
          </w:p>
        </w:tc>
      </w:tr>
      <w:tr>
        <w:trPr>
          <w:trHeight w:val="216"/>
        </w:trPr>
        <w:tc>
          <w:tcPr>
            <w:tcW w:w="54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56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4,150,119</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560" w:type="dxa"/>
            <w:vAlign w:val="bottom"/>
            <w:shd w:val="clear" w:color="auto" w:fill="DEDEDE"/>
          </w:tcPr>
          <w:p>
            <w:pPr>
              <w:spacing w:after="0"/>
              <w:rPr>
                <w:sz w:val="18"/>
                <w:szCs w:val="18"/>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2,937,293</w:t>
            </w:r>
          </w:p>
        </w:tc>
        <w:tc>
          <w:tcPr>
            <w:tcW w:w="120" w:type="dxa"/>
            <w:vAlign w:val="bottom"/>
            <w:shd w:val="clear" w:color="auto" w:fill="DEDEDE"/>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51,969,405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55,633,661</w:t>
            </w:r>
          </w:p>
        </w:tc>
        <w:tc>
          <w:tcPr>
            <w:tcW w:w="120" w:type="dxa"/>
            <w:vAlign w:val="bottom"/>
          </w:tcPr>
          <w:p>
            <w:pPr>
              <w:spacing w:after="0"/>
              <w:rPr>
                <w:sz w:val="18"/>
                <w:szCs w:val="18"/>
                <w:color w:val="auto"/>
              </w:rPr>
            </w:pPr>
          </w:p>
        </w:tc>
      </w:tr>
      <w:tr>
        <w:trPr>
          <w:trHeight w:val="230"/>
        </w:trPr>
        <w:tc>
          <w:tcPr>
            <w:tcW w:w="54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560" w:type="dxa"/>
            <w:vAlign w:val="bottom"/>
            <w:shd w:val="clear" w:color="auto" w:fill="DEDEDE"/>
          </w:tcPr>
          <w:p>
            <w:pPr>
              <w:spacing w:after="0"/>
              <w:rPr>
                <w:sz w:val="19"/>
                <w:szCs w:val="19"/>
                <w:color w:val="auto"/>
              </w:rPr>
            </w:pPr>
          </w:p>
        </w:tc>
        <w:tc>
          <w:tcPr>
            <w:tcW w:w="440" w:type="dxa"/>
            <w:vAlign w:val="bottom"/>
            <w:tcBorders>
              <w:bottom w:val="single" w:sz="8" w:color="auto"/>
            </w:tcBorders>
            <w:shd w:val="clear" w:color="auto" w:fill="DEDEDE"/>
          </w:tcPr>
          <w:p>
            <w:pPr>
              <w:spacing w:after="0"/>
              <w:rPr>
                <w:sz w:val="19"/>
                <w:szCs w:val="19"/>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25,920,562</w:t>
            </w: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560" w:type="dxa"/>
            <w:vAlign w:val="bottom"/>
            <w:tcBorders>
              <w:bottom w:val="single" w:sz="8" w:color="auto"/>
            </w:tcBorders>
            <w:shd w:val="clear" w:color="auto" w:fill="DEDEDE"/>
          </w:tcPr>
          <w:p>
            <w:pPr>
              <w:spacing w:after="0"/>
              <w:rPr>
                <w:sz w:val="19"/>
                <w:szCs w:val="19"/>
                <w:color w:val="auto"/>
              </w:rPr>
            </w:pPr>
          </w:p>
        </w:tc>
        <w:tc>
          <w:tcPr>
            <w:tcW w:w="13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24,540,512</w:t>
            </w:r>
          </w:p>
        </w:tc>
        <w:tc>
          <w:tcPr>
            <w:tcW w:w="120" w:type="dxa"/>
            <w:vAlign w:val="bottom"/>
            <w:shd w:val="clear" w:color="auto" w:fill="DEDEDE"/>
          </w:tcPr>
          <w:p>
            <w:pPr>
              <w:spacing w:after="0"/>
              <w:rPr>
                <w:sz w:val="19"/>
                <w:szCs w:val="19"/>
                <w:color w:val="auto"/>
              </w:rPr>
            </w:pPr>
          </w:p>
        </w:tc>
      </w:tr>
      <w:tr>
        <w:trPr>
          <w:trHeight w:val="209"/>
        </w:trPr>
        <w:tc>
          <w:tcPr>
            <w:tcW w:w="542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560" w:type="dxa"/>
            <w:vAlign w:val="bottom"/>
            <w:tcBorders>
              <w:bottom w:val="single" w:sz="8" w:color="DEDEDE"/>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1,151,475,876</w:t>
            </w:r>
          </w:p>
        </w:tc>
        <w:tc>
          <w:tcPr>
            <w:tcW w:w="180" w:type="dxa"/>
            <w:vAlign w:val="bottom"/>
            <w:tcBorders>
              <w:bottom w:val="single" w:sz="8" w:color="DEDEDE"/>
            </w:tcBorders>
          </w:tcPr>
          <w:p>
            <w:pPr>
              <w:spacing w:after="0"/>
              <w:rPr>
                <w:sz w:val="18"/>
                <w:szCs w:val="18"/>
                <w:color w:val="auto"/>
              </w:rPr>
            </w:pPr>
          </w:p>
        </w:tc>
        <w:tc>
          <w:tcPr>
            <w:tcW w:w="140" w:type="dxa"/>
            <w:vAlign w:val="bottom"/>
            <w:tcBorders>
              <w:bottom w:val="single" w:sz="8" w:color="DEDEDE"/>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1,112,563,887</w:t>
            </w:r>
          </w:p>
        </w:tc>
        <w:tc>
          <w:tcPr>
            <w:tcW w:w="120" w:type="dxa"/>
            <w:vAlign w:val="bottom"/>
            <w:tcBorders>
              <w:bottom w:val="single" w:sz="8" w:color="DEDEDE"/>
            </w:tcBorders>
          </w:tcPr>
          <w:p>
            <w:pPr>
              <w:spacing w:after="0"/>
              <w:rPr>
                <w:sz w:val="18"/>
                <w:szCs w:val="18"/>
                <w:color w:val="auto"/>
              </w:rPr>
            </w:pPr>
          </w:p>
        </w:tc>
      </w:tr>
      <w:tr>
        <w:trPr>
          <w:trHeight w:val="209"/>
        </w:trPr>
        <w:tc>
          <w:tcPr>
            <w:tcW w:w="54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56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560" w:type="dxa"/>
            <w:vAlign w:val="bottom"/>
            <w:shd w:val="clear" w:color="auto" w:fill="DEDEDE"/>
          </w:tcPr>
          <w:p>
            <w:pPr>
              <w:spacing w:after="0"/>
              <w:rPr>
                <w:sz w:val="18"/>
                <w:szCs w:val="18"/>
                <w:color w:val="auto"/>
              </w:rPr>
            </w:pPr>
          </w:p>
        </w:tc>
        <w:tc>
          <w:tcPr>
            <w:tcW w:w="13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5420" w:type="dxa"/>
            <w:vAlign w:val="bottom"/>
            <w:shd w:val="clear" w:color="auto" w:fill="DEDEDE"/>
          </w:tcPr>
          <w:p>
            <w:pPr>
              <w:spacing w:after="0" w:line="195" w:lineRule="exact"/>
              <w:rPr>
                <w:sz w:val="20"/>
                <w:szCs w:val="20"/>
                <w:color w:val="auto"/>
              </w:rPr>
            </w:pPr>
            <w:r>
              <w:rPr>
                <w:rFonts w:ascii="Times New Roman" w:cs="Times New Roman" w:eastAsia="Times New Roman" w:hAnsi="Times New Roman"/>
                <w:sz w:val="18"/>
                <w:szCs w:val="18"/>
                <w:color w:val="auto"/>
              </w:rPr>
              <w:t>Preferred stock - non-voting-$1.00 par value; 5,000,000 shares authorized;</w:t>
            </w:r>
          </w:p>
        </w:tc>
        <w:tc>
          <w:tcPr>
            <w:tcW w:w="2000" w:type="dxa"/>
            <w:vAlign w:val="bottom"/>
            <w:gridSpan w:val="2"/>
            <w:shd w:val="clear" w:color="auto" w:fill="DEDEDE"/>
          </w:tcPr>
          <w:p>
            <w:pPr>
              <w:jc w:val="right"/>
              <w:ind w:right="836"/>
              <w:spacing w:after="0" w:line="195" w:lineRule="exact"/>
              <w:rPr>
                <w:sz w:val="20"/>
                <w:szCs w:val="20"/>
                <w:color w:val="auto"/>
              </w:rPr>
            </w:pPr>
            <w:r>
              <w:rPr>
                <w:rFonts w:ascii="Times New Roman" w:cs="Times New Roman" w:eastAsia="Times New Roman" w:hAnsi="Times New Roman"/>
                <w:sz w:val="18"/>
                <w:szCs w:val="18"/>
                <w:color w:val="auto"/>
              </w:rPr>
              <w:t>none issued or</w:t>
            </w:r>
          </w:p>
        </w:tc>
        <w:tc>
          <w:tcPr>
            <w:tcW w:w="14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560" w:type="dxa"/>
            <w:vAlign w:val="bottom"/>
            <w:shd w:val="clear" w:color="auto" w:fill="DEDEDE"/>
          </w:tcPr>
          <w:p>
            <w:pPr>
              <w:spacing w:after="0"/>
              <w:rPr>
                <w:sz w:val="17"/>
                <w:szCs w:val="17"/>
                <w:color w:val="auto"/>
              </w:rPr>
            </w:pPr>
          </w:p>
        </w:tc>
        <w:tc>
          <w:tcPr>
            <w:tcW w:w="13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r>
      <w:tr>
        <w:trPr>
          <w:trHeight w:val="236"/>
        </w:trPr>
        <w:tc>
          <w:tcPr>
            <w:tcW w:w="54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outstanding</w:t>
            </w:r>
          </w:p>
        </w:tc>
        <w:tc>
          <w:tcPr>
            <w:tcW w:w="1560" w:type="dxa"/>
            <w:vAlign w:val="bottom"/>
            <w:shd w:val="clear" w:color="auto" w:fill="DEDEDE"/>
          </w:tcPr>
          <w:p>
            <w:pPr>
              <w:spacing w:after="0"/>
              <w:rPr>
                <w:sz w:val="20"/>
                <w:szCs w:val="20"/>
                <w:color w:val="auto"/>
              </w:rPr>
            </w:pPr>
          </w:p>
        </w:tc>
        <w:tc>
          <w:tcPr>
            <w:tcW w:w="440" w:type="dxa"/>
            <w:vAlign w:val="bottom"/>
            <w:shd w:val="clear" w:color="auto" w:fill="DEDEDE"/>
          </w:tcPr>
          <w:p>
            <w:pPr>
              <w:spacing w:after="0"/>
              <w:rPr>
                <w:sz w:val="20"/>
                <w:szCs w:val="20"/>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560" w:type="dxa"/>
            <w:vAlign w:val="bottom"/>
            <w:shd w:val="clear" w:color="auto" w:fill="DEDEDE"/>
          </w:tcPr>
          <w:p>
            <w:pPr>
              <w:spacing w:after="0"/>
              <w:rPr>
                <w:sz w:val="20"/>
                <w:szCs w:val="20"/>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20"/>
                <w:szCs w:val="20"/>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5"/>
        </w:trPr>
        <w:tc>
          <w:tcPr>
            <w:tcW w:w="7420" w:type="dxa"/>
            <w:vAlign w:val="bottom"/>
            <w:gridSpan w:val="3"/>
            <w:shd w:val="clear" w:color="auto" w:fill="DEDEDE"/>
          </w:tcPr>
          <w:p>
            <w:pPr>
              <w:spacing w:after="0" w:line="195" w:lineRule="exact"/>
              <w:rPr>
                <w:sz w:val="20"/>
                <w:szCs w:val="20"/>
                <w:color w:val="auto"/>
              </w:rPr>
            </w:pPr>
            <w:r>
              <w:rPr>
                <w:rFonts w:ascii="Times New Roman" w:cs="Times New Roman" w:eastAsia="Times New Roman" w:hAnsi="Times New Roman"/>
                <w:sz w:val="18"/>
                <w:szCs w:val="18"/>
                <w:color w:val="auto"/>
              </w:rPr>
              <w:t>Class A: common stock - $2.00 par value; 40,000,000 shares authorized; 22,428,625 shares</w:t>
            </w:r>
          </w:p>
        </w:tc>
        <w:tc>
          <w:tcPr>
            <w:tcW w:w="1480" w:type="dxa"/>
            <w:vAlign w:val="bottom"/>
            <w:shd w:val="clear" w:color="auto" w:fill="DEDEDE"/>
          </w:tcPr>
          <w:p>
            <w:pPr>
              <w:spacing w:after="0"/>
              <w:rPr>
                <w:sz w:val="16"/>
                <w:szCs w:val="16"/>
                <w:color w:val="auto"/>
              </w:rPr>
            </w:pPr>
          </w:p>
        </w:tc>
        <w:tc>
          <w:tcPr>
            <w:tcW w:w="180" w:type="dxa"/>
            <w:vAlign w:val="bottom"/>
            <w:shd w:val="clear" w:color="auto" w:fill="DEDEDE"/>
          </w:tcPr>
          <w:p>
            <w:pPr>
              <w:spacing w:after="0"/>
              <w:rPr>
                <w:sz w:val="16"/>
                <w:szCs w:val="16"/>
                <w:color w:val="auto"/>
              </w:rPr>
            </w:pPr>
          </w:p>
        </w:tc>
        <w:tc>
          <w:tcPr>
            <w:tcW w:w="140" w:type="dxa"/>
            <w:vAlign w:val="bottom"/>
            <w:shd w:val="clear" w:color="auto" w:fill="DEDEDE"/>
          </w:tcPr>
          <w:p>
            <w:pPr>
              <w:spacing w:after="0"/>
              <w:rPr>
                <w:sz w:val="16"/>
                <w:szCs w:val="16"/>
                <w:color w:val="auto"/>
              </w:rPr>
            </w:pPr>
          </w:p>
        </w:tc>
        <w:tc>
          <w:tcPr>
            <w:tcW w:w="560" w:type="dxa"/>
            <w:vAlign w:val="bottom"/>
            <w:shd w:val="clear" w:color="auto" w:fill="DEDEDE"/>
          </w:tcPr>
          <w:p>
            <w:pPr>
              <w:spacing w:after="0"/>
              <w:rPr>
                <w:sz w:val="16"/>
                <w:szCs w:val="16"/>
                <w:color w:val="auto"/>
              </w:rPr>
            </w:pPr>
          </w:p>
        </w:tc>
        <w:tc>
          <w:tcPr>
            <w:tcW w:w="1340" w:type="dxa"/>
            <w:vAlign w:val="bottom"/>
            <w:shd w:val="clear" w:color="auto" w:fill="DEDEDE"/>
          </w:tcPr>
          <w:p>
            <w:pPr>
              <w:spacing w:after="0"/>
              <w:rPr>
                <w:sz w:val="16"/>
                <w:szCs w:val="16"/>
                <w:color w:val="auto"/>
              </w:rPr>
            </w:pPr>
          </w:p>
        </w:tc>
        <w:tc>
          <w:tcPr>
            <w:tcW w:w="120" w:type="dxa"/>
            <w:vAlign w:val="bottom"/>
            <w:shd w:val="clear" w:color="auto" w:fill="DEDEDE"/>
          </w:tcPr>
          <w:p>
            <w:pPr>
              <w:spacing w:after="0"/>
              <w:rPr>
                <w:sz w:val="16"/>
                <w:szCs w:val="16"/>
                <w:color w:val="auto"/>
              </w:rPr>
            </w:pPr>
          </w:p>
        </w:tc>
      </w:tr>
      <w:tr>
        <w:trPr>
          <w:trHeight w:val="216"/>
        </w:trPr>
        <w:tc>
          <w:tcPr>
            <w:tcW w:w="74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issued and outstanding as of December 31, 2025 and 22,321,559 (1) shares issued and</w:t>
            </w: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560" w:type="dxa"/>
            <w:vAlign w:val="bottom"/>
            <w:shd w:val="clear" w:color="auto" w:fill="DEDEDE"/>
          </w:tcPr>
          <w:p>
            <w:pPr>
              <w:spacing w:after="0"/>
              <w:rPr>
                <w:sz w:val="18"/>
                <w:szCs w:val="18"/>
                <w:color w:val="auto"/>
              </w:rPr>
            </w:pPr>
          </w:p>
        </w:tc>
        <w:tc>
          <w:tcPr>
            <w:tcW w:w="13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r>
      <w:tr>
        <w:trPr>
          <w:trHeight w:val="237"/>
        </w:trPr>
        <w:tc>
          <w:tcPr>
            <w:tcW w:w="54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560" w:type="dxa"/>
            <w:vAlign w:val="bottom"/>
            <w:shd w:val="clear" w:color="auto" w:fill="DEDEDE"/>
          </w:tcPr>
          <w:p>
            <w:pPr>
              <w:spacing w:after="0"/>
              <w:rPr>
                <w:sz w:val="20"/>
                <w:szCs w:val="20"/>
                <w:color w:val="auto"/>
              </w:rPr>
            </w:pPr>
          </w:p>
        </w:tc>
        <w:tc>
          <w:tcPr>
            <w:tcW w:w="440" w:type="dxa"/>
            <w:vAlign w:val="bottom"/>
            <w:shd w:val="clear" w:color="auto" w:fill="DEDEDE"/>
          </w:tcPr>
          <w:p>
            <w:pPr>
              <w:spacing w:after="0"/>
              <w:rPr>
                <w:sz w:val="20"/>
                <w:szCs w:val="20"/>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44,857,250</w:t>
            </w:r>
          </w:p>
        </w:tc>
        <w:tc>
          <w:tcPr>
            <w:tcW w:w="18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560" w:type="dxa"/>
            <w:vAlign w:val="bottom"/>
            <w:shd w:val="clear" w:color="auto" w:fill="DEDEDE"/>
          </w:tcPr>
          <w:p>
            <w:pPr>
              <w:spacing w:after="0"/>
              <w:rPr>
                <w:sz w:val="20"/>
                <w:szCs w:val="20"/>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42,510,012</w:t>
            </w:r>
          </w:p>
        </w:tc>
        <w:tc>
          <w:tcPr>
            <w:tcW w:w="120" w:type="dxa"/>
            <w:vAlign w:val="bottom"/>
            <w:shd w:val="clear" w:color="auto" w:fill="DEDEDE"/>
          </w:tcPr>
          <w:p>
            <w:pPr>
              <w:spacing w:after="0"/>
              <w:rPr>
                <w:sz w:val="20"/>
                <w:szCs w:val="20"/>
                <w:color w:val="auto"/>
              </w:rPr>
            </w:pPr>
          </w:p>
        </w:tc>
      </w:tr>
      <w:tr>
        <w:trPr>
          <w:trHeight w:val="195"/>
        </w:trPr>
        <w:tc>
          <w:tcPr>
            <w:tcW w:w="742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Class B: non-voting common stock - $1.00 par value; 5,000,000 shares authorized; none</w:t>
            </w:r>
          </w:p>
        </w:tc>
        <w:tc>
          <w:tcPr>
            <w:tcW w:w="1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issued or outstanding</w:t>
            </w: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196"/>
        </w:trPr>
        <w:tc>
          <w:tcPr>
            <w:tcW w:w="7420" w:type="dxa"/>
            <w:vAlign w:val="bottom"/>
            <w:gridSpan w:val="3"/>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Class C: convertible common stock - $2.00 par value; 6,000,000 shares authorized;</w:t>
            </w:r>
          </w:p>
        </w:tc>
        <w:tc>
          <w:tcPr>
            <w:tcW w:w="14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560" w:type="dxa"/>
            <w:vAlign w:val="bottom"/>
            <w:shd w:val="clear" w:color="auto" w:fill="DEDEDE"/>
          </w:tcPr>
          <w:p>
            <w:pPr>
              <w:spacing w:after="0"/>
              <w:rPr>
                <w:sz w:val="17"/>
                <w:szCs w:val="17"/>
                <w:color w:val="auto"/>
              </w:rPr>
            </w:pPr>
          </w:p>
        </w:tc>
        <w:tc>
          <w:tcPr>
            <w:tcW w:w="13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r>
      <w:tr>
        <w:trPr>
          <w:trHeight w:val="216"/>
        </w:trPr>
        <w:tc>
          <w:tcPr>
            <w:tcW w:w="74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3,587,237 shares issued and outstanding as of December 31, 2025 and 3,492,674 (1) shares</w:t>
            </w: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560" w:type="dxa"/>
            <w:vAlign w:val="bottom"/>
            <w:shd w:val="clear" w:color="auto" w:fill="DEDEDE"/>
          </w:tcPr>
          <w:p>
            <w:pPr>
              <w:spacing w:after="0"/>
              <w:rPr>
                <w:sz w:val="18"/>
                <w:szCs w:val="18"/>
                <w:color w:val="auto"/>
              </w:rPr>
            </w:pPr>
          </w:p>
        </w:tc>
        <w:tc>
          <w:tcPr>
            <w:tcW w:w="13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r>
      <w:tr>
        <w:trPr>
          <w:trHeight w:val="237"/>
        </w:trPr>
        <w:tc>
          <w:tcPr>
            <w:tcW w:w="54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issued and outstanding as of December 31, 2024</w:t>
            </w:r>
          </w:p>
        </w:tc>
        <w:tc>
          <w:tcPr>
            <w:tcW w:w="1560" w:type="dxa"/>
            <w:vAlign w:val="bottom"/>
            <w:shd w:val="clear" w:color="auto" w:fill="DEDEDE"/>
          </w:tcPr>
          <w:p>
            <w:pPr>
              <w:spacing w:after="0"/>
              <w:rPr>
                <w:sz w:val="20"/>
                <w:szCs w:val="20"/>
                <w:color w:val="auto"/>
              </w:rPr>
            </w:pPr>
          </w:p>
        </w:tc>
        <w:tc>
          <w:tcPr>
            <w:tcW w:w="440" w:type="dxa"/>
            <w:vAlign w:val="bottom"/>
            <w:shd w:val="clear" w:color="auto" w:fill="DEDEDE"/>
          </w:tcPr>
          <w:p>
            <w:pPr>
              <w:spacing w:after="0"/>
              <w:rPr>
                <w:sz w:val="20"/>
                <w:szCs w:val="20"/>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7,174,474</w:t>
            </w:r>
          </w:p>
        </w:tc>
        <w:tc>
          <w:tcPr>
            <w:tcW w:w="18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560" w:type="dxa"/>
            <w:vAlign w:val="bottom"/>
            <w:shd w:val="clear" w:color="auto" w:fill="DEDEDE"/>
          </w:tcPr>
          <w:p>
            <w:pPr>
              <w:spacing w:after="0"/>
              <w:rPr>
                <w:sz w:val="20"/>
                <w:szCs w:val="20"/>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6,643,666</w:t>
            </w:r>
          </w:p>
        </w:tc>
        <w:tc>
          <w:tcPr>
            <w:tcW w:w="120" w:type="dxa"/>
            <w:vAlign w:val="bottom"/>
            <w:shd w:val="clear" w:color="auto" w:fill="DEDEDE"/>
          </w:tcPr>
          <w:p>
            <w:pPr>
              <w:spacing w:after="0"/>
              <w:rPr>
                <w:sz w:val="20"/>
                <w:szCs w:val="20"/>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89,867,763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79,698,367</w:t>
            </w:r>
          </w:p>
        </w:tc>
        <w:tc>
          <w:tcPr>
            <w:tcW w:w="120" w:type="dxa"/>
            <w:vAlign w:val="bottom"/>
          </w:tcPr>
          <w:p>
            <w:pPr>
              <w:spacing w:after="0"/>
              <w:rPr>
                <w:sz w:val="18"/>
                <w:szCs w:val="18"/>
                <w:color w:val="auto"/>
              </w:rPr>
            </w:pPr>
          </w:p>
        </w:tc>
      </w:tr>
      <w:tr>
        <w:trPr>
          <w:trHeight w:val="216"/>
        </w:trPr>
        <w:tc>
          <w:tcPr>
            <w:tcW w:w="54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Accumulated other comprehensive income, net of taxes</w:t>
            </w:r>
          </w:p>
        </w:tc>
        <w:tc>
          <w:tcPr>
            <w:tcW w:w="156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28,762,123</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560" w:type="dxa"/>
            <w:vAlign w:val="bottom"/>
            <w:shd w:val="clear" w:color="auto" w:fill="DEDEDE"/>
          </w:tcPr>
          <w:p>
            <w:pPr>
              <w:spacing w:after="0"/>
              <w:rPr>
                <w:sz w:val="18"/>
                <w:szCs w:val="18"/>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33,719,629</w:t>
            </w:r>
          </w:p>
        </w:tc>
        <w:tc>
          <w:tcPr>
            <w:tcW w:w="120" w:type="dxa"/>
            <w:vAlign w:val="bottom"/>
            <w:shd w:val="clear" w:color="auto" w:fill="DEDEDE"/>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248,795,475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227,804,439</w:t>
            </w:r>
          </w:p>
        </w:tc>
        <w:tc>
          <w:tcPr>
            <w:tcW w:w="120" w:type="dxa"/>
            <w:vAlign w:val="bottom"/>
          </w:tcPr>
          <w:p>
            <w:pPr>
              <w:spacing w:after="0"/>
              <w:rPr>
                <w:sz w:val="18"/>
                <w:szCs w:val="18"/>
                <w:color w:val="auto"/>
              </w:rPr>
            </w:pPr>
          </w:p>
        </w:tc>
      </w:tr>
      <w:tr>
        <w:trPr>
          <w:trHeight w:val="195"/>
        </w:trPr>
        <w:tc>
          <w:tcPr>
            <w:tcW w:w="7420" w:type="dxa"/>
            <w:vAlign w:val="bottom"/>
            <w:gridSpan w:val="3"/>
            <w:shd w:val="clear" w:color="auto" w:fill="DEDEDE"/>
          </w:tcPr>
          <w:p>
            <w:pPr>
              <w:spacing w:after="0" w:line="195" w:lineRule="exact"/>
              <w:rPr>
                <w:sz w:val="20"/>
                <w:szCs w:val="20"/>
                <w:color w:val="auto"/>
              </w:rPr>
            </w:pPr>
            <w:r>
              <w:rPr>
                <w:rFonts w:ascii="Times New Roman" w:cs="Times New Roman" w:eastAsia="Times New Roman" w:hAnsi="Times New Roman"/>
                <w:sz w:val="18"/>
                <w:szCs w:val="18"/>
                <w:color w:val="auto"/>
              </w:rPr>
              <w:t>Treasury stock, at cost - 1,095,964 Class A shares and 104,604 Class C shares as of</w:t>
            </w:r>
          </w:p>
        </w:tc>
        <w:tc>
          <w:tcPr>
            <w:tcW w:w="1480" w:type="dxa"/>
            <w:vAlign w:val="bottom"/>
            <w:shd w:val="clear" w:color="auto" w:fill="DEDEDE"/>
          </w:tcPr>
          <w:p>
            <w:pPr>
              <w:spacing w:after="0"/>
              <w:rPr>
                <w:sz w:val="16"/>
                <w:szCs w:val="16"/>
                <w:color w:val="auto"/>
              </w:rPr>
            </w:pPr>
          </w:p>
        </w:tc>
        <w:tc>
          <w:tcPr>
            <w:tcW w:w="180" w:type="dxa"/>
            <w:vAlign w:val="bottom"/>
            <w:shd w:val="clear" w:color="auto" w:fill="DEDEDE"/>
          </w:tcPr>
          <w:p>
            <w:pPr>
              <w:spacing w:after="0"/>
              <w:rPr>
                <w:sz w:val="16"/>
                <w:szCs w:val="16"/>
                <w:color w:val="auto"/>
              </w:rPr>
            </w:pPr>
          </w:p>
        </w:tc>
        <w:tc>
          <w:tcPr>
            <w:tcW w:w="140" w:type="dxa"/>
            <w:vAlign w:val="bottom"/>
            <w:shd w:val="clear" w:color="auto" w:fill="DEDEDE"/>
          </w:tcPr>
          <w:p>
            <w:pPr>
              <w:spacing w:after="0"/>
              <w:rPr>
                <w:sz w:val="16"/>
                <w:szCs w:val="16"/>
                <w:color w:val="auto"/>
              </w:rPr>
            </w:pPr>
          </w:p>
        </w:tc>
        <w:tc>
          <w:tcPr>
            <w:tcW w:w="560" w:type="dxa"/>
            <w:vAlign w:val="bottom"/>
            <w:shd w:val="clear" w:color="auto" w:fill="DEDEDE"/>
          </w:tcPr>
          <w:p>
            <w:pPr>
              <w:spacing w:after="0"/>
              <w:rPr>
                <w:sz w:val="16"/>
                <w:szCs w:val="16"/>
                <w:color w:val="auto"/>
              </w:rPr>
            </w:pPr>
          </w:p>
        </w:tc>
        <w:tc>
          <w:tcPr>
            <w:tcW w:w="1340" w:type="dxa"/>
            <w:vAlign w:val="bottom"/>
            <w:shd w:val="clear" w:color="auto" w:fill="DEDEDE"/>
          </w:tcPr>
          <w:p>
            <w:pPr>
              <w:spacing w:after="0"/>
              <w:rPr>
                <w:sz w:val="16"/>
                <w:szCs w:val="16"/>
                <w:color w:val="auto"/>
              </w:rPr>
            </w:pPr>
          </w:p>
        </w:tc>
        <w:tc>
          <w:tcPr>
            <w:tcW w:w="120" w:type="dxa"/>
            <w:vAlign w:val="bottom"/>
            <w:shd w:val="clear" w:color="auto" w:fill="DEDEDE"/>
          </w:tcPr>
          <w:p>
            <w:pPr>
              <w:spacing w:after="0"/>
              <w:rPr>
                <w:sz w:val="16"/>
                <w:szCs w:val="16"/>
                <w:color w:val="auto"/>
              </w:rPr>
            </w:pPr>
          </w:p>
        </w:tc>
      </w:tr>
      <w:tr>
        <w:trPr>
          <w:trHeight w:val="216"/>
        </w:trPr>
        <w:tc>
          <w:tcPr>
            <w:tcW w:w="74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December 31, 2025; and 1,080,243 (1) Class A shares and 104,604 (1) Class C shares as of</w:t>
            </w: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560" w:type="dxa"/>
            <w:vAlign w:val="bottom"/>
            <w:shd w:val="clear" w:color="auto" w:fill="DEDEDE"/>
          </w:tcPr>
          <w:p>
            <w:pPr>
              <w:spacing w:after="0"/>
              <w:rPr>
                <w:sz w:val="18"/>
                <w:szCs w:val="18"/>
                <w:color w:val="auto"/>
              </w:rPr>
            </w:pPr>
          </w:p>
        </w:tc>
        <w:tc>
          <w:tcPr>
            <w:tcW w:w="13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r>
      <w:tr>
        <w:trPr>
          <w:trHeight w:val="251"/>
        </w:trPr>
        <w:tc>
          <w:tcPr>
            <w:tcW w:w="54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560" w:type="dxa"/>
            <w:vAlign w:val="bottom"/>
            <w:shd w:val="clear" w:color="auto" w:fill="DEDEDE"/>
          </w:tcPr>
          <w:p>
            <w:pPr>
              <w:spacing w:after="0"/>
              <w:rPr>
                <w:sz w:val="21"/>
                <w:szCs w:val="21"/>
                <w:color w:val="auto"/>
              </w:rPr>
            </w:pPr>
          </w:p>
        </w:tc>
        <w:tc>
          <w:tcPr>
            <w:tcW w:w="440" w:type="dxa"/>
            <w:vAlign w:val="bottom"/>
            <w:shd w:val="clear" w:color="auto" w:fill="DEDEDE"/>
          </w:tcPr>
          <w:p>
            <w:pPr>
              <w:spacing w:after="0"/>
              <w:rPr>
                <w:sz w:val="21"/>
                <w:szCs w:val="21"/>
                <w:color w:val="auto"/>
              </w:rPr>
            </w:pPr>
          </w:p>
        </w:tc>
        <w:tc>
          <w:tcPr>
            <w:tcW w:w="166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(9,088,357)</w:t>
            </w:r>
          </w:p>
        </w:tc>
        <w:tc>
          <w:tcPr>
            <w:tcW w:w="140" w:type="dxa"/>
            <w:vAlign w:val="bottom"/>
            <w:shd w:val="clear" w:color="auto" w:fill="DEDEDE"/>
          </w:tcPr>
          <w:p>
            <w:pPr>
              <w:spacing w:after="0"/>
              <w:rPr>
                <w:sz w:val="21"/>
                <w:szCs w:val="21"/>
                <w:color w:val="auto"/>
              </w:rPr>
            </w:pPr>
          </w:p>
        </w:tc>
        <w:tc>
          <w:tcPr>
            <w:tcW w:w="560" w:type="dxa"/>
            <w:vAlign w:val="bottom"/>
            <w:shd w:val="clear" w:color="auto" w:fill="DEDEDE"/>
          </w:tcPr>
          <w:p>
            <w:pPr>
              <w:spacing w:after="0"/>
              <w:rPr>
                <w:sz w:val="21"/>
                <w:szCs w:val="21"/>
                <w:color w:val="auto"/>
              </w:rPr>
            </w:pPr>
          </w:p>
        </w:tc>
        <w:tc>
          <w:tcPr>
            <w:tcW w:w="146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(8,477,686)</w:t>
            </w:r>
          </w:p>
        </w:tc>
      </w:tr>
      <w:tr>
        <w:trPr>
          <w:trHeight w:val="210"/>
        </w:trPr>
        <w:tc>
          <w:tcPr>
            <w:tcW w:w="542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560" w:type="dxa"/>
            <w:vAlign w:val="bottom"/>
            <w:tcBorders>
              <w:bottom w:val="single" w:sz="8" w:color="DEDEDE"/>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410,368,728</w:t>
            </w:r>
          </w:p>
        </w:tc>
        <w:tc>
          <w:tcPr>
            <w:tcW w:w="180" w:type="dxa"/>
            <w:vAlign w:val="bottom"/>
            <w:tcBorders>
              <w:bottom w:val="single" w:sz="8" w:color="DEDEDE"/>
            </w:tcBorders>
          </w:tcPr>
          <w:p>
            <w:pPr>
              <w:spacing w:after="0"/>
              <w:rPr>
                <w:sz w:val="18"/>
                <w:szCs w:val="18"/>
                <w:color w:val="auto"/>
              </w:rPr>
            </w:pPr>
          </w:p>
        </w:tc>
        <w:tc>
          <w:tcPr>
            <w:tcW w:w="140" w:type="dxa"/>
            <w:vAlign w:val="bottom"/>
            <w:tcBorders>
              <w:bottom w:val="single" w:sz="8" w:color="DEDED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381,898,427</w:t>
            </w:r>
          </w:p>
        </w:tc>
        <w:tc>
          <w:tcPr>
            <w:tcW w:w="120" w:type="dxa"/>
            <w:vAlign w:val="bottom"/>
            <w:tcBorders>
              <w:bottom w:val="single" w:sz="8" w:color="DEDEDE"/>
            </w:tcBorders>
          </w:tcPr>
          <w:p>
            <w:pPr>
              <w:spacing w:after="0"/>
              <w:rPr>
                <w:sz w:val="18"/>
                <w:szCs w:val="18"/>
                <w:color w:val="auto"/>
              </w:rPr>
            </w:pPr>
          </w:p>
        </w:tc>
      </w:tr>
      <w:tr>
        <w:trPr>
          <w:trHeight w:val="223"/>
        </w:trPr>
        <w:tc>
          <w:tcPr>
            <w:tcW w:w="542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560" w:type="dxa"/>
            <w:vAlign w:val="bottom"/>
            <w:tcBorders>
              <w:bottom w:val="single" w:sz="8" w:color="DEDEDE"/>
            </w:tcBorders>
            <w:shd w:val="clear" w:color="auto" w:fill="DEDEDE"/>
          </w:tcPr>
          <w:p>
            <w:pPr>
              <w:spacing w:after="0"/>
              <w:rPr>
                <w:sz w:val="19"/>
                <w:szCs w:val="19"/>
                <w:color w:val="auto"/>
              </w:rPr>
            </w:pPr>
          </w:p>
        </w:tc>
        <w:tc>
          <w:tcPr>
            <w:tcW w:w="440" w:type="dxa"/>
            <w:vAlign w:val="bottom"/>
            <w:tcBorders>
              <w:bottom w:val="single" w:sz="8" w:color="auto"/>
            </w:tcBorders>
            <w:shd w:val="clear" w:color="auto" w:fill="DEDED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1,561,844,604</w:t>
            </w:r>
          </w:p>
        </w:tc>
        <w:tc>
          <w:tcPr>
            <w:tcW w:w="180" w:type="dxa"/>
            <w:vAlign w:val="bottom"/>
            <w:tcBorders>
              <w:bottom w:val="single" w:sz="8" w:color="DEDEDE"/>
            </w:tcBorders>
            <w:shd w:val="clear" w:color="auto" w:fill="DEDEDE"/>
          </w:tcPr>
          <w:p>
            <w:pPr>
              <w:spacing w:after="0"/>
              <w:rPr>
                <w:sz w:val="19"/>
                <w:szCs w:val="19"/>
                <w:color w:val="auto"/>
              </w:rPr>
            </w:pPr>
          </w:p>
        </w:tc>
        <w:tc>
          <w:tcPr>
            <w:tcW w:w="140" w:type="dxa"/>
            <w:vAlign w:val="bottom"/>
            <w:tcBorders>
              <w:bottom w:val="single" w:sz="8" w:color="DEDEDE"/>
            </w:tcBorders>
            <w:shd w:val="clear" w:color="auto" w:fill="DEDEDE"/>
          </w:tcPr>
          <w:p>
            <w:pPr>
              <w:spacing w:after="0"/>
              <w:rPr>
                <w:sz w:val="19"/>
                <w:szCs w:val="19"/>
                <w:color w:val="auto"/>
              </w:rPr>
            </w:pPr>
          </w:p>
        </w:tc>
        <w:tc>
          <w:tcPr>
            <w:tcW w:w="560" w:type="dxa"/>
            <w:vAlign w:val="bottom"/>
            <w:tcBorders>
              <w:bottom w:val="single" w:sz="8" w:color="auto"/>
            </w:tcBorders>
            <w:shd w:val="clear" w:color="auto" w:fill="DEDEDE"/>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1,494,462,314</w:t>
            </w:r>
          </w:p>
        </w:tc>
        <w:tc>
          <w:tcPr>
            <w:tcW w:w="120" w:type="dxa"/>
            <w:vAlign w:val="bottom"/>
            <w:tcBorders>
              <w:bottom w:val="single" w:sz="8" w:color="DEDEDE"/>
            </w:tcBorders>
            <w:shd w:val="clear" w:color="auto" w:fill="DEDEDE"/>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00" o:spid="_x0000_s11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2" w:right="3500" w:hanging="2"/>
        <w:spacing w:after="0" w:line="533" w:lineRule="auto"/>
        <w:tabs>
          <w:tab w:leader="none" w:pos="3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and outstanding shares have been adjusted retroactively for the effect of annual stock dividends. 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w:t>
      </w:r>
    </w:p>
    <w:p>
      <w:pPr>
        <w:sectPr>
          <w:pgSz w:w="12240" w:h="15840" w:orient="portrait"/>
          <w:cols w:equalWidth="0" w:num="1">
            <w:col w:w="11242"/>
          </w:cols>
          <w:pgMar w:left="498" w:top="687" w:right="500" w:bottom="0" w:gutter="0" w:footer="0" w:header="0"/>
        </w:sectPr>
      </w:pPr>
    </w:p>
    <w:bookmarkStart w:id="33" w:name="page34"/>
    <w:bookmarkEnd w:id="33"/>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35" w:lineRule="exact"/>
        <w:rPr>
          <w:sz w:val="20"/>
          <w:szCs w:val="20"/>
          <w:color w:val="auto"/>
        </w:rPr>
      </w:pPr>
    </w:p>
    <w:tbl>
      <w:tblPr>
        <w:tblLayout w:type="fixed"/>
        <w:tblInd w:w="2"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bottom w:val="single" w:sz="8" w:color="DEDEDE"/>
            </w:tcBorders>
          </w:tcPr>
          <w:p>
            <w:pPr>
              <w:spacing w:after="0"/>
              <w:rPr>
                <w:sz w:val="19"/>
                <w:szCs w:val="19"/>
                <w:color w:val="auto"/>
              </w:rPr>
            </w:pPr>
          </w:p>
        </w:tc>
        <w:tc>
          <w:tcPr>
            <w:tcW w:w="120" w:type="dxa"/>
            <w:vAlign w:val="bottom"/>
            <w:tcBorders>
              <w:bottom w:val="single" w:sz="8" w:color="DEDEDE"/>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bottom w:val="single" w:sz="8" w:color="DEDEDE"/>
            </w:tcBorders>
          </w:tcPr>
          <w:p>
            <w:pPr>
              <w:spacing w:after="0"/>
              <w:rPr>
                <w:sz w:val="19"/>
                <w:szCs w:val="19"/>
                <w:color w:val="auto"/>
              </w:rPr>
            </w:pPr>
          </w:p>
        </w:tc>
        <w:tc>
          <w:tcPr>
            <w:tcW w:w="140" w:type="dxa"/>
            <w:vAlign w:val="bottom"/>
            <w:tcBorders>
              <w:top w:val="single" w:sz="8" w:color="auto"/>
              <w:bottom w:val="single" w:sz="8" w:color="DEDEDE"/>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Insurance premiums and other considerations</w:t>
            </w:r>
          </w:p>
        </w:tc>
        <w:tc>
          <w:tcPr>
            <w:tcW w:w="56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119,757,103</w:t>
            </w:r>
          </w:p>
        </w:tc>
        <w:tc>
          <w:tcPr>
            <w:tcW w:w="180" w:type="dxa"/>
            <w:vAlign w:val="bottom"/>
          </w:tcPr>
          <w:p>
            <w:pPr>
              <w:spacing w:after="0"/>
              <w:rPr>
                <w:sz w:val="18"/>
                <w:szCs w:val="18"/>
                <w:color w:val="auto"/>
              </w:rPr>
            </w:pPr>
          </w:p>
        </w:tc>
        <w:tc>
          <w:tcPr>
            <w:tcW w:w="56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119,655,745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1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108,209,319</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107,558,640</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79,338,512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71,725,249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mortuary and cemetery sales</w:t>
            </w:r>
          </w:p>
        </w:tc>
        <w:tc>
          <w:tcPr>
            <w:tcW w:w="1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28,704,450</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29,037,173</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4,636,377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DEDEDE"/>
          </w:tcPr>
          <w:p>
            <w:pPr>
              <w:spacing w:after="0"/>
              <w:rPr>
                <w:sz w:val="19"/>
                <w:szCs w:val="19"/>
                <w:color w:val="auto"/>
              </w:rPr>
            </w:pPr>
          </w:p>
        </w:tc>
        <w:tc>
          <w:tcPr>
            <w:tcW w:w="440" w:type="dxa"/>
            <w:vAlign w:val="bottom"/>
            <w:tcBorders>
              <w:bottom w:val="single" w:sz="8" w:color="auto"/>
            </w:tcBorders>
            <w:shd w:val="clear" w:color="auto" w:fill="DEDEDE"/>
          </w:tcPr>
          <w:p>
            <w:pPr>
              <w:spacing w:after="0"/>
              <w:rPr>
                <w:sz w:val="19"/>
                <w:szCs w:val="19"/>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3,941,777</w:t>
            </w: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420" w:type="dxa"/>
            <w:vAlign w:val="bottom"/>
            <w:tcBorders>
              <w:bottom w:val="single" w:sz="8" w:color="auto"/>
            </w:tcBorders>
            <w:shd w:val="clear" w:color="auto" w:fill="DEDEDE"/>
          </w:tcPr>
          <w:p>
            <w:pPr>
              <w:spacing w:after="0"/>
              <w:rPr>
                <w:sz w:val="19"/>
                <w:szCs w:val="19"/>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4,603,963</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DEDEDE"/>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344,587,538</w:t>
            </w:r>
          </w:p>
        </w:tc>
        <w:tc>
          <w:tcPr>
            <w:tcW w:w="180" w:type="dxa"/>
            <w:vAlign w:val="bottom"/>
            <w:tcBorders>
              <w:bottom w:val="single" w:sz="8" w:color="DEDEDE"/>
            </w:tcBorders>
          </w:tcPr>
          <w:p>
            <w:pPr>
              <w:spacing w:after="0"/>
              <w:rPr>
                <w:sz w:val="18"/>
                <w:szCs w:val="18"/>
                <w:color w:val="auto"/>
              </w:rPr>
            </w:pPr>
          </w:p>
        </w:tc>
        <w:tc>
          <w:tcPr>
            <w:tcW w:w="140" w:type="dxa"/>
            <w:vAlign w:val="bottom"/>
            <w:tcBorders>
              <w:bottom w:val="single" w:sz="8" w:color="DEDEDE"/>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334,522,668</w:t>
            </w:r>
          </w:p>
        </w:tc>
        <w:tc>
          <w:tcPr>
            <w:tcW w:w="120" w:type="dxa"/>
            <w:vAlign w:val="bottom"/>
            <w:tcBorders>
              <w:bottom w:val="single" w:sz="8" w:color="DEDE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Benefits and expenses: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Policyholder benefits and claims (including the impact of assumption updates to the liability</w:t>
            </w:r>
          </w:p>
        </w:tc>
        <w:tc>
          <w:tcPr>
            <w:tcW w:w="120" w:type="dxa"/>
            <w:vAlign w:val="bottom"/>
            <w:shd w:val="clear" w:color="auto" w:fill="DEDEDE"/>
          </w:tcPr>
          <w:p>
            <w:pPr>
              <w:spacing w:after="0"/>
              <w:rPr>
                <w:sz w:val="17"/>
                <w:szCs w:val="17"/>
                <w:color w:val="auto"/>
              </w:rPr>
            </w:pPr>
          </w:p>
        </w:tc>
        <w:tc>
          <w:tcPr>
            <w:tcW w:w="440" w:type="dxa"/>
            <w:vAlign w:val="bottom"/>
            <w:shd w:val="clear" w:color="auto" w:fill="DEDEDE"/>
          </w:tcPr>
          <w:p>
            <w:pPr>
              <w:spacing w:after="0"/>
              <w:rPr>
                <w:sz w:val="17"/>
                <w:szCs w:val="17"/>
                <w:color w:val="auto"/>
              </w:rPr>
            </w:pPr>
          </w:p>
        </w:tc>
        <w:tc>
          <w:tcPr>
            <w:tcW w:w="14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420" w:type="dxa"/>
            <w:vAlign w:val="bottom"/>
            <w:shd w:val="clear" w:color="auto" w:fill="DEDEDE"/>
          </w:tcPr>
          <w:p>
            <w:pPr>
              <w:spacing w:after="0"/>
              <w:rPr>
                <w:sz w:val="17"/>
                <w:szCs w:val="17"/>
                <w:color w:val="auto"/>
              </w:rPr>
            </w:pPr>
          </w:p>
        </w:tc>
        <w:tc>
          <w:tcPr>
            <w:tcW w:w="14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for future policy benefits of nil and nil for 2025 and 2024, respectively)</w:t>
            </w:r>
          </w:p>
        </w:tc>
        <w:tc>
          <w:tcPr>
            <w:tcW w:w="120" w:type="dxa"/>
            <w:vAlign w:val="bottom"/>
            <w:shd w:val="clear" w:color="auto" w:fill="DEDEDE"/>
          </w:tcPr>
          <w:p>
            <w:pPr>
              <w:spacing w:after="0"/>
              <w:rPr>
                <w:sz w:val="20"/>
                <w:szCs w:val="20"/>
                <w:color w:val="auto"/>
              </w:rPr>
            </w:pPr>
          </w:p>
        </w:tc>
        <w:tc>
          <w:tcPr>
            <w:tcW w:w="440" w:type="dxa"/>
            <w:vAlign w:val="bottom"/>
            <w:shd w:val="clear" w:color="auto" w:fill="DEDEDE"/>
          </w:tcPr>
          <w:p>
            <w:pPr>
              <w:spacing w:after="0"/>
              <w:rPr>
                <w:sz w:val="20"/>
                <w:szCs w:val="20"/>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100,817,674</w:t>
            </w:r>
          </w:p>
        </w:tc>
        <w:tc>
          <w:tcPr>
            <w:tcW w:w="18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420" w:type="dxa"/>
            <w:vAlign w:val="bottom"/>
            <w:shd w:val="clear" w:color="auto" w:fill="DEDEDE"/>
          </w:tcPr>
          <w:p>
            <w:pPr>
              <w:spacing w:after="0"/>
              <w:rPr>
                <w:sz w:val="20"/>
                <w:szCs w:val="20"/>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100,613,091</w:t>
            </w:r>
          </w:p>
        </w:tc>
        <w:tc>
          <w:tcPr>
            <w:tcW w:w="1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 value of business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11,660,708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11,012,616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Commissions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47,048,596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46,972,909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Personnel</w:t>
            </w:r>
          </w:p>
        </w:tc>
        <w:tc>
          <w:tcPr>
            <w:tcW w:w="1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87,151,803</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85,084,802</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Advertising</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3,514,641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3,115,120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Rent and rent related</w:t>
            </w:r>
          </w:p>
        </w:tc>
        <w:tc>
          <w:tcPr>
            <w:tcW w:w="1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3,760,519</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5,147,069</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2,425,185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2,383,621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Costs related to funding mortgage loans</w:t>
            </w:r>
          </w:p>
        </w:tc>
        <w:tc>
          <w:tcPr>
            <w:tcW w:w="1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6,622,489</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6,134,709</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30,997,264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27,627,210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4,518,965</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4,254,100</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4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Cost of goods and services sold – cemeteries and mortuaries</w:t>
            </w:r>
          </w:p>
        </w:tc>
        <w:tc>
          <w:tcPr>
            <w:tcW w:w="120" w:type="dxa"/>
            <w:vAlign w:val="bottom"/>
            <w:tcBorders>
              <w:bottom w:val="single" w:sz="8" w:color="DEDED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4,660,090</w:t>
            </w:r>
          </w:p>
        </w:tc>
        <w:tc>
          <w:tcPr>
            <w:tcW w:w="180" w:type="dxa"/>
            <w:vAlign w:val="bottom"/>
            <w:tcBorders>
              <w:bottom w:val="single" w:sz="8" w:color="DEDEDE"/>
            </w:tcBorders>
          </w:tcPr>
          <w:p>
            <w:pPr>
              <w:spacing w:after="0"/>
              <w:rPr>
                <w:sz w:val="19"/>
                <w:szCs w:val="19"/>
                <w:color w:val="auto"/>
              </w:rPr>
            </w:pPr>
          </w:p>
        </w:tc>
        <w:tc>
          <w:tcPr>
            <w:tcW w:w="140" w:type="dxa"/>
            <w:vAlign w:val="bottom"/>
            <w:tcBorders>
              <w:bottom w:val="single" w:sz="8" w:color="DEDED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4,803,528</w:t>
            </w:r>
          </w:p>
        </w:tc>
        <w:tc>
          <w:tcPr>
            <w:tcW w:w="12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120" w:type="dxa"/>
            <w:vAlign w:val="bottom"/>
            <w:shd w:val="clear" w:color="auto" w:fill="DEDEDE"/>
          </w:tcPr>
          <w:p>
            <w:pPr>
              <w:spacing w:after="0"/>
              <w:rPr>
                <w:sz w:val="18"/>
                <w:szCs w:val="18"/>
                <w:color w:val="auto"/>
              </w:rPr>
            </w:pPr>
          </w:p>
        </w:tc>
        <w:tc>
          <w:tcPr>
            <w:tcW w:w="440" w:type="dxa"/>
            <w:vAlign w:val="bottom"/>
            <w:tcBorders>
              <w:bottom w:val="single" w:sz="8" w:color="auto"/>
            </w:tcBorders>
            <w:shd w:val="clear" w:color="auto" w:fill="DEDEDE"/>
          </w:tcPr>
          <w:p>
            <w:pPr>
              <w:spacing w:after="0"/>
              <w:rPr>
                <w:sz w:val="18"/>
                <w:szCs w:val="18"/>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303,177,934</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tcBorders>
              <w:bottom w:val="single" w:sz="8" w:color="auto"/>
            </w:tcBorders>
            <w:shd w:val="clear" w:color="auto" w:fill="DEDEDE"/>
          </w:tcPr>
          <w:p>
            <w:pPr>
              <w:spacing w:after="0"/>
              <w:rPr>
                <w:sz w:val="18"/>
                <w:szCs w:val="18"/>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297,148,775</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1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41,409,604</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37,373,893</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(9,257,274)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(8,254,728)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440" w:type="dxa"/>
            <w:vAlign w:val="bottom"/>
            <w:tcBorders>
              <w:top w:val="single" w:sz="8" w:color="auto"/>
              <w:bottom w:val="single" w:sz="8" w:color="auto"/>
            </w:tcBorders>
            <w:shd w:val="clear" w:color="auto" w:fill="DEDED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32,152,330</w:t>
            </w: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420" w:type="dxa"/>
            <w:vAlign w:val="bottom"/>
            <w:tcBorders>
              <w:top w:val="single" w:sz="8" w:color="auto"/>
              <w:bottom w:val="single" w:sz="8" w:color="auto"/>
            </w:tcBorders>
            <w:shd w:val="clear" w:color="auto" w:fill="DEDED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29,119,165</w:t>
            </w: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 (1)</w:t>
            </w:r>
          </w:p>
        </w:tc>
        <w:tc>
          <w:tcPr>
            <w:tcW w:w="560" w:type="dxa"/>
            <w:vAlign w:val="bottom"/>
            <w:gridSpan w:val="2"/>
            <w:shd w:val="clear" w:color="auto" w:fill="DEDED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shd w:val="clear" w:color="auto" w:fill="DEDEDE"/>
          </w:tcPr>
          <w:p>
            <w:pPr>
              <w:spacing w:after="0"/>
              <w:rPr>
                <w:sz w:val="21"/>
                <w:szCs w:val="21"/>
                <w:color w:val="auto"/>
              </w:rPr>
            </w:pPr>
          </w:p>
        </w:tc>
        <w:tc>
          <w:tcPr>
            <w:tcW w:w="560" w:type="dxa"/>
            <w:vAlign w:val="bottom"/>
            <w:gridSpan w:val="2"/>
            <w:shd w:val="clear" w:color="auto" w:fill="DEDEDE"/>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Net earnings per Class A equivalent common share - assuming dilution (1)</w:t>
            </w:r>
          </w:p>
        </w:tc>
        <w:tc>
          <w:tcPr>
            <w:tcW w:w="560" w:type="dxa"/>
            <w:vAlign w:val="bottom"/>
            <w:gridSpan w:val="2"/>
            <w:shd w:val="clear" w:color="auto" w:fill="DEDED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DEDEDE"/>
          </w:tcPr>
          <w:p>
            <w:pPr>
              <w:spacing w:after="0"/>
              <w:rPr>
                <w:sz w:val="21"/>
                <w:szCs w:val="21"/>
                <w:color w:val="auto"/>
              </w:rPr>
            </w:pPr>
          </w:p>
        </w:tc>
        <w:tc>
          <w:tcPr>
            <w:tcW w:w="560" w:type="dxa"/>
            <w:vAlign w:val="bottom"/>
            <w:gridSpan w:val="2"/>
            <w:shd w:val="clear" w:color="auto" w:fill="DEDEDE"/>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6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Weighted average Class A equivalent common shares outstanding (1)</w:t>
            </w:r>
          </w:p>
        </w:tc>
        <w:tc>
          <w:tcPr>
            <w:tcW w:w="1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24,727,498</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24,492,597</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Weighted average Class A equivalent common shares outstanding-assuming dilution (1)</w:t>
            </w:r>
          </w:p>
        </w:tc>
        <w:tc>
          <w:tcPr>
            <w:tcW w:w="1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25,484,312</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25,186,505</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01" o:spid="_x0000_s11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jc w:val="both"/>
        <w:ind w:left="322" w:right="20" w:hanging="322"/>
        <w:spacing w:after="0" w:line="266" w:lineRule="auto"/>
        <w:tabs>
          <w:tab w:leader="none" w:pos="3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per share have been adjusted retroactively for the effect of annual stock dividends. The weighted-average shares outstanding includes the weighted-average Class A common shares and the weighted-average Class C common shares determined on an equivalent Class A Common Stock basis. Net earnings per common share represent net earnings per equivalent Class A common share.</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6</w:t>
      </w:r>
    </w:p>
    <w:p>
      <w:pPr>
        <w:sectPr>
          <w:pgSz w:w="12240" w:h="15840" w:orient="portrait"/>
          <w:cols w:equalWidth="0" w:num="1">
            <w:col w:w="11242"/>
          </w:cols>
          <w:pgMar w:left="498" w:top="687" w:right="500" w:bottom="0" w:gutter="0" w:footer="0" w:header="0"/>
        </w:sectPr>
      </w:pPr>
    </w:p>
    <w:bookmarkStart w:id="34" w:name="page35"/>
    <w:bookmarkEnd w:id="34"/>
    <w:p>
      <w:pPr>
        <w:jc w:val="center"/>
        <w:ind w:right="2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6120" w:type="dxa"/>
            <w:vAlign w:val="bottom"/>
            <w:tcBorders>
              <w:bottom w:val="single" w:sz="8" w:color="DEDEDE"/>
            </w:tcBorders>
          </w:tcPr>
          <w:p>
            <w:pPr>
              <w:spacing w:after="0"/>
              <w:rPr>
                <w:sz w:val="19"/>
                <w:szCs w:val="19"/>
                <w:color w:val="auto"/>
              </w:rPr>
            </w:pPr>
          </w:p>
        </w:tc>
        <w:tc>
          <w:tcPr>
            <w:tcW w:w="860" w:type="dxa"/>
            <w:vAlign w:val="bottom"/>
            <w:tcBorders>
              <w:bottom w:val="single" w:sz="8" w:color="DEDEDE"/>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bottom w:val="single" w:sz="8" w:color="DEDEDE"/>
            </w:tcBorders>
          </w:tcPr>
          <w:p>
            <w:pPr>
              <w:spacing w:after="0"/>
              <w:rPr>
                <w:sz w:val="19"/>
                <w:szCs w:val="19"/>
                <w:color w:val="auto"/>
              </w:rPr>
            </w:pPr>
          </w:p>
        </w:tc>
        <w:tc>
          <w:tcPr>
            <w:tcW w:w="140" w:type="dxa"/>
            <w:vAlign w:val="bottom"/>
            <w:tcBorders>
              <w:top w:val="single" w:sz="8" w:color="auto"/>
              <w:bottom w:val="single" w:sz="8" w:color="DEDEDE"/>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DEDEDE"/>
            </w:tcBorders>
          </w:tcPr>
          <w:p>
            <w:pPr>
              <w:spacing w:after="0"/>
              <w:rPr>
                <w:sz w:val="19"/>
                <w:szCs w:val="19"/>
                <w:color w:val="auto"/>
              </w:rPr>
            </w:pPr>
          </w:p>
        </w:tc>
      </w:tr>
      <w:tr>
        <w:trPr>
          <w:trHeight w:val="209"/>
        </w:trPr>
        <w:tc>
          <w:tcPr>
            <w:tcW w:w="61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860" w:type="dxa"/>
            <w:vAlign w:val="bottom"/>
            <w:shd w:val="clear" w:color="auto" w:fill="DEDEDE"/>
          </w:tcPr>
          <w:p>
            <w:pPr>
              <w:spacing w:after="0"/>
              <w:rPr>
                <w:sz w:val="18"/>
                <w:szCs w:val="18"/>
                <w:color w:val="auto"/>
              </w:rPr>
            </w:pPr>
          </w:p>
        </w:tc>
        <w:tc>
          <w:tcPr>
            <w:tcW w:w="440" w:type="dxa"/>
            <w:vAlign w:val="bottom"/>
            <w:tcBorders>
              <w:bottom w:val="single" w:sz="8" w:color="auto"/>
            </w:tcBorders>
            <w:shd w:val="clear" w:color="auto" w:fill="DEDED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32,152,330</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tcBorders>
              <w:bottom w:val="single" w:sz="8" w:color="auto"/>
            </w:tcBorders>
            <w:shd w:val="clear" w:color="auto" w:fill="DEDED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29,119,165</w:t>
            </w:r>
          </w:p>
        </w:tc>
        <w:tc>
          <w:tcPr>
            <w:tcW w:w="120" w:type="dxa"/>
            <w:vAlign w:val="bottom"/>
            <w:shd w:val="clear" w:color="auto" w:fill="DEDEDE"/>
          </w:tcPr>
          <w:p>
            <w:pPr>
              <w:spacing w:after="0"/>
              <w:rPr>
                <w:sz w:val="18"/>
                <w:szCs w:val="18"/>
                <w:color w:val="auto"/>
              </w:rPr>
            </w:pPr>
          </w:p>
        </w:tc>
      </w:tr>
      <w:tr>
        <w:trPr>
          <w:trHeight w:val="210"/>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2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Unrealized gains (losses) on fixed maturity securities available for sale</w:t>
            </w:r>
          </w:p>
        </w:tc>
        <w:tc>
          <w:tcPr>
            <w:tcW w:w="86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10,001,025</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60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(11,042)</w:t>
            </w:r>
          </w:p>
        </w:tc>
      </w:tr>
      <w:tr>
        <w:trPr>
          <w:trHeight w:val="216"/>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on restricted assets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tcPr>
          <w:p>
            <w:pPr>
              <w:spacing w:after="0"/>
              <w:rPr>
                <w:sz w:val="18"/>
                <w:szCs w:val="18"/>
                <w:color w:val="auto"/>
              </w:rPr>
            </w:pPr>
          </w:p>
        </w:tc>
      </w:tr>
      <w:tr>
        <w:trPr>
          <w:trHeight w:val="216"/>
        </w:trPr>
        <w:tc>
          <w:tcPr>
            <w:tcW w:w="612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Unrealized gains (losses) on cemetery perpetual care trust investments</w:t>
            </w:r>
          </w:p>
        </w:tc>
        <w:tc>
          <w:tcPr>
            <w:tcW w:w="86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60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(1,403)</w:t>
            </w:r>
          </w:p>
        </w:tc>
      </w:tr>
      <w:tr>
        <w:trPr>
          <w:trHeight w:val="23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remeasurement of future policy benefits</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(16,285,885)</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44,966,236</w:t>
            </w:r>
          </w:p>
        </w:tc>
        <w:tc>
          <w:tcPr>
            <w:tcW w:w="120" w:type="dxa"/>
            <w:vAlign w:val="bottom"/>
          </w:tcPr>
          <w:p>
            <w:pPr>
              <w:spacing w:after="0"/>
              <w:rPr>
                <w:sz w:val="19"/>
                <w:szCs w:val="19"/>
                <w:color w:val="auto"/>
              </w:rPr>
            </w:pPr>
          </w:p>
        </w:tc>
      </w:tr>
      <w:tr>
        <w:trPr>
          <w:trHeight w:val="209"/>
        </w:trPr>
        <w:tc>
          <w:tcPr>
            <w:tcW w:w="6120" w:type="dxa"/>
            <w:vAlign w:val="bottom"/>
            <w:tcBorders>
              <w:top w:val="single" w:sz="8" w:color="DEDEDE"/>
            </w:tcBorders>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before income tax</w:t>
            </w:r>
          </w:p>
        </w:tc>
        <w:tc>
          <w:tcPr>
            <w:tcW w:w="860" w:type="dxa"/>
            <w:vAlign w:val="bottom"/>
            <w:tcBorders>
              <w:top w:val="single" w:sz="8" w:color="DEDEDE"/>
            </w:tcBorders>
            <w:shd w:val="clear" w:color="auto" w:fill="DEDEDE"/>
          </w:tcPr>
          <w:p>
            <w:pPr>
              <w:spacing w:after="0"/>
              <w:rPr>
                <w:sz w:val="18"/>
                <w:szCs w:val="18"/>
                <w:color w:val="auto"/>
              </w:rPr>
            </w:pPr>
          </w:p>
        </w:tc>
        <w:tc>
          <w:tcPr>
            <w:tcW w:w="440" w:type="dxa"/>
            <w:vAlign w:val="bottom"/>
            <w:tcBorders>
              <w:top w:val="single" w:sz="8" w:color="auto"/>
            </w:tcBorders>
            <w:shd w:val="clear" w:color="auto" w:fill="DEDEDE"/>
          </w:tcPr>
          <w:p>
            <w:pPr>
              <w:spacing w:after="0"/>
              <w:rPr>
                <w:sz w:val="18"/>
                <w:szCs w:val="18"/>
                <w:color w:val="auto"/>
              </w:rPr>
            </w:pPr>
          </w:p>
        </w:tc>
        <w:tc>
          <w:tcPr>
            <w:tcW w:w="14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(6,273,663)</w:t>
            </w:r>
          </w:p>
        </w:tc>
        <w:tc>
          <w:tcPr>
            <w:tcW w:w="18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420" w:type="dxa"/>
            <w:vAlign w:val="bottom"/>
            <w:tcBorders>
              <w:top w:val="single" w:sz="8" w:color="auto"/>
            </w:tcBorders>
            <w:shd w:val="clear" w:color="auto" w:fill="DEDEDE"/>
          </w:tcPr>
          <w:p>
            <w:pPr>
              <w:spacing w:after="0"/>
              <w:rPr>
                <w:sz w:val="18"/>
                <w:szCs w:val="18"/>
                <w:color w:val="auto"/>
              </w:rPr>
            </w:pPr>
          </w:p>
        </w:tc>
        <w:tc>
          <w:tcPr>
            <w:tcW w:w="14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44,954,632</w:t>
            </w:r>
          </w:p>
        </w:tc>
        <w:tc>
          <w:tcPr>
            <w:tcW w:w="120" w:type="dxa"/>
            <w:vAlign w:val="bottom"/>
            <w:tcBorders>
              <w:top w:val="single" w:sz="8" w:color="DEDEDE"/>
            </w:tcBorders>
            <w:shd w:val="clear" w:color="auto" w:fill="DEDEDE"/>
          </w:tcPr>
          <w:p>
            <w:pPr>
              <w:spacing w:after="0"/>
              <w:rPr>
                <w:sz w:val="18"/>
                <w:szCs w:val="18"/>
                <w:color w:val="auto"/>
              </w:rPr>
            </w:pPr>
          </w:p>
        </w:tc>
      </w:tr>
      <w:tr>
        <w:trPr>
          <w:trHeight w:val="230"/>
        </w:trPr>
        <w:tc>
          <w:tcPr>
            <w:tcW w:w="6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1,316,157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(9,443,147)</w:t>
            </w:r>
          </w:p>
        </w:tc>
      </w:tr>
      <w:tr>
        <w:trPr>
          <w:trHeight w:val="209"/>
        </w:trPr>
        <w:tc>
          <w:tcPr>
            <w:tcW w:w="6120" w:type="dxa"/>
            <w:vAlign w:val="bottom"/>
            <w:tcBorders>
              <w:top w:val="single" w:sz="8" w:color="DEDEDE"/>
            </w:tcBorders>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 net of income tax</w:t>
            </w:r>
          </w:p>
        </w:tc>
        <w:tc>
          <w:tcPr>
            <w:tcW w:w="860" w:type="dxa"/>
            <w:vAlign w:val="bottom"/>
            <w:tcBorders>
              <w:top w:val="single" w:sz="8" w:color="DEDEDE"/>
            </w:tcBorders>
            <w:shd w:val="clear" w:color="auto" w:fill="DEDEDE"/>
          </w:tcPr>
          <w:p>
            <w:pPr>
              <w:spacing w:after="0"/>
              <w:rPr>
                <w:sz w:val="18"/>
                <w:szCs w:val="18"/>
                <w:color w:val="auto"/>
              </w:rPr>
            </w:pPr>
          </w:p>
        </w:tc>
        <w:tc>
          <w:tcPr>
            <w:tcW w:w="440" w:type="dxa"/>
            <w:vAlign w:val="bottom"/>
            <w:tcBorders>
              <w:top w:val="single" w:sz="8" w:color="auto"/>
              <w:bottom w:val="single" w:sz="8" w:color="auto"/>
            </w:tcBorders>
            <w:shd w:val="clear" w:color="auto" w:fill="DEDEDE"/>
          </w:tcPr>
          <w:p>
            <w:pPr>
              <w:spacing w:after="0"/>
              <w:rPr>
                <w:sz w:val="18"/>
                <w:szCs w:val="18"/>
                <w:color w:val="auto"/>
              </w:rPr>
            </w:pPr>
          </w:p>
        </w:tc>
        <w:tc>
          <w:tcPr>
            <w:tcW w:w="14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(4,957,506</w:t>
            </w:r>
          </w:p>
        </w:tc>
        <w:tc>
          <w:tcPr>
            <w:tcW w:w="180" w:type="dxa"/>
            <w:vAlign w:val="bottom"/>
            <w:tcBorders>
              <w:top w:val="single" w:sz="8" w:color="DEDEDE"/>
            </w:tcBorders>
            <w:shd w:val="clear" w:color="auto" w:fill="DEDEDE"/>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DEDEDE"/>
            </w:tcBorders>
            <w:shd w:val="clear" w:color="auto" w:fill="DEDEDE"/>
          </w:tcPr>
          <w:p>
            <w:pPr>
              <w:spacing w:after="0"/>
              <w:rPr>
                <w:sz w:val="18"/>
                <w:szCs w:val="18"/>
                <w:color w:val="auto"/>
              </w:rPr>
            </w:pPr>
          </w:p>
        </w:tc>
        <w:tc>
          <w:tcPr>
            <w:tcW w:w="420" w:type="dxa"/>
            <w:vAlign w:val="bottom"/>
            <w:tcBorders>
              <w:top w:val="single" w:sz="8" w:color="auto"/>
              <w:bottom w:val="single" w:sz="8" w:color="auto"/>
            </w:tcBorders>
            <w:shd w:val="clear" w:color="auto" w:fill="DEDEDE"/>
          </w:tcPr>
          <w:p>
            <w:pPr>
              <w:spacing w:after="0"/>
              <w:rPr>
                <w:sz w:val="18"/>
                <w:szCs w:val="18"/>
                <w:color w:val="auto"/>
              </w:rPr>
            </w:pPr>
          </w:p>
        </w:tc>
        <w:tc>
          <w:tcPr>
            <w:tcW w:w="14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35,511,485</w:t>
            </w:r>
          </w:p>
        </w:tc>
        <w:tc>
          <w:tcPr>
            <w:tcW w:w="120" w:type="dxa"/>
            <w:vAlign w:val="bottom"/>
            <w:tcBorders>
              <w:top w:val="single" w:sz="8" w:color="DEDEDE"/>
            </w:tcBorders>
            <w:shd w:val="clear" w:color="auto" w:fill="DEDEDE"/>
          </w:tcPr>
          <w:p>
            <w:pPr>
              <w:spacing w:after="0"/>
              <w:rPr>
                <w:sz w:val="18"/>
                <w:szCs w:val="18"/>
                <w:color w:val="auto"/>
              </w:rPr>
            </w:pPr>
          </w:p>
        </w:tc>
      </w:tr>
      <w:tr>
        <w:trPr>
          <w:trHeight w:val="223"/>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860" w:type="dxa"/>
            <w:vAlign w:val="bottom"/>
          </w:tcPr>
          <w:p>
            <w:pPr>
              <w:spacing w:after="0"/>
              <w:rPr>
                <w:sz w:val="19"/>
                <w:szCs w:val="19"/>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27,194,824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64,630,650</w:t>
            </w:r>
          </w:p>
        </w:tc>
        <w:tc>
          <w:tcPr>
            <w:tcW w:w="12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2240" w:h="15840" w:orient="portrait"/>
          <w:cols w:equalWidth="0" w:num="1">
            <w:col w:w="11240"/>
          </w:cols>
          <w:pgMar w:left="500" w:top="687" w:right="500" w:bottom="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C</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2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40" w:type="dxa"/>
            <w:vAlign w:val="bottom"/>
            <w:gridSpan w:val="4"/>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0" w:type="dxa"/>
            <w:vAlign w:val="bottom"/>
          </w:tcPr>
          <w:p>
            <w:pPr>
              <w:spacing w:after="0"/>
              <w:rPr>
                <w:sz w:val="20"/>
                <w:szCs w:val="20"/>
                <w:color w:val="auto"/>
              </w:rPr>
            </w:pP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Pr>
          <w:p>
            <w:pPr>
              <w:spacing w:after="0"/>
              <w:rPr>
                <w:sz w:val="20"/>
                <w:szCs w:val="20"/>
                <w:color w:val="auto"/>
              </w:rPr>
            </w:pPr>
          </w:p>
        </w:tc>
        <w:tc>
          <w:tcPr>
            <w:tcW w:w="114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72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80" w:type="dxa"/>
            <w:vAlign w:val="bottom"/>
            <w:tcBorders>
              <w:top w:val="single" w:sz="8" w:color="DEDEDE"/>
            </w:tcBorders>
            <w:shd w:val="clear" w:color="auto" w:fill="DEDEDE"/>
          </w:tcPr>
          <w:p>
            <w:pPr>
              <w:spacing w:after="0"/>
              <w:rPr>
                <w:sz w:val="18"/>
                <w:szCs w:val="18"/>
                <w:color w:val="auto"/>
              </w:rPr>
            </w:pPr>
          </w:p>
        </w:tc>
        <w:tc>
          <w:tcPr>
            <w:tcW w:w="9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9"/>
              </w:rPr>
              <w:t>$40,096,004</w:t>
            </w:r>
          </w:p>
        </w:tc>
        <w:tc>
          <w:tcPr>
            <w:tcW w:w="12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8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5"/>
              </w:rPr>
              <w:t>$ 5,943,708</w:t>
            </w:r>
          </w:p>
        </w:tc>
        <w:tc>
          <w:tcPr>
            <w:tcW w:w="1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9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9"/>
              </w:rPr>
              <w:t>$72,424,429</w:t>
            </w:r>
          </w:p>
        </w:tc>
        <w:tc>
          <w:tcPr>
            <w:tcW w:w="1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220" w:type="dxa"/>
            <w:vAlign w:val="bottom"/>
            <w:tcBorders>
              <w:top w:val="single" w:sz="8" w:color="auto"/>
            </w:tcBorders>
            <w:shd w:val="clear" w:color="auto" w:fill="DEDED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(6,885,558)</w:t>
            </w:r>
          </w:p>
        </w:tc>
        <w:tc>
          <w:tcPr>
            <w:tcW w:w="1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10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4"/>
              </w:rPr>
              <w:t>$ 206,978,373</w:t>
            </w:r>
          </w:p>
        </w:tc>
        <w:tc>
          <w:tcPr>
            <w:tcW w:w="160" w:type="dxa"/>
            <w:vAlign w:val="bottom"/>
            <w:tcBorders>
              <w:top w:val="single" w:sz="8" w:color="DEDEDE"/>
            </w:tcBorders>
            <w:shd w:val="clear" w:color="auto" w:fill="DEDEDE"/>
          </w:tcPr>
          <w:p>
            <w:pPr>
              <w:spacing w:after="0"/>
              <w:rPr>
                <w:sz w:val="18"/>
                <w:szCs w:val="18"/>
                <w:color w:val="auto"/>
              </w:rPr>
            </w:pPr>
          </w:p>
        </w:tc>
        <w:tc>
          <w:tcPr>
            <w:tcW w:w="80" w:type="dxa"/>
            <w:vAlign w:val="bottom"/>
            <w:tcBorders>
              <w:top w:val="single" w:sz="8" w:color="DEDEDE"/>
            </w:tcBorders>
            <w:shd w:val="clear" w:color="auto" w:fill="DEDEDE"/>
          </w:tcPr>
          <w:p>
            <w:pPr>
              <w:spacing w:after="0"/>
              <w:rPr>
                <w:sz w:val="18"/>
                <w:szCs w:val="18"/>
                <w:color w:val="auto"/>
              </w:rPr>
            </w:pPr>
          </w:p>
        </w:tc>
        <w:tc>
          <w:tcPr>
            <w:tcW w:w="9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0"/>
              </w:rPr>
              <w:t>$ (5,661,737)</w:t>
            </w:r>
          </w:p>
        </w:tc>
        <w:tc>
          <w:tcPr>
            <w:tcW w:w="24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10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4"/>
              </w:rPr>
              <w:t>$ 312,895,219</w:t>
            </w:r>
          </w:p>
        </w:tc>
        <w:tc>
          <w:tcPr>
            <w:tcW w:w="10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Adoption of ASU 2018-12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5,093,702</w:t>
            </w:r>
          </w:p>
        </w:tc>
        <w:tc>
          <w:tcPr>
            <w:tcW w:w="14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(138,144)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4,955,558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18"/>
                <w:szCs w:val="18"/>
                <w:color w:val="auto"/>
              </w:rPr>
            </w:pPr>
          </w:p>
        </w:tc>
        <w:tc>
          <w:tcPr>
            <w:tcW w:w="9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29,119,165</w:t>
            </w:r>
          </w:p>
        </w:tc>
        <w:tc>
          <w:tcPr>
            <w:tcW w:w="160" w:type="dxa"/>
            <w:vAlign w:val="bottom"/>
            <w:shd w:val="clear" w:color="auto" w:fill="DEDEDE"/>
          </w:tcPr>
          <w:p>
            <w:pPr>
              <w:spacing w:after="0"/>
              <w:rPr>
                <w:sz w:val="18"/>
                <w:szCs w:val="18"/>
                <w:color w:val="auto"/>
              </w:rPr>
            </w:pPr>
          </w:p>
        </w:tc>
        <w:tc>
          <w:tcPr>
            <w:tcW w:w="9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EDEDE"/>
          </w:tcPr>
          <w:p>
            <w:pPr>
              <w:spacing w:after="0"/>
              <w:rPr>
                <w:sz w:val="18"/>
                <w:szCs w:val="18"/>
                <w:color w:val="auto"/>
              </w:rPr>
            </w:pP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29,119,165</w:t>
            </w:r>
          </w:p>
        </w:tc>
        <w:tc>
          <w:tcPr>
            <w:tcW w:w="10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35,511,485</w:t>
            </w: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35,511,485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18"/>
                <w:szCs w:val="18"/>
                <w:color w:val="auto"/>
              </w:rPr>
            </w:pPr>
          </w:p>
        </w:tc>
        <w:tc>
          <w:tcPr>
            <w:tcW w:w="9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800,820</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8"/>
                <w:szCs w:val="18"/>
                <w:color w:val="auto"/>
              </w:rPr>
            </w:pPr>
          </w:p>
        </w:tc>
        <w:tc>
          <w:tcPr>
            <w:tcW w:w="9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EDEDE"/>
          </w:tcPr>
          <w:p>
            <w:pPr>
              <w:spacing w:after="0"/>
              <w:rPr>
                <w:sz w:val="18"/>
                <w:szCs w:val="18"/>
                <w:color w:val="auto"/>
              </w:rPr>
            </w:pP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800,820</w:t>
            </w:r>
          </w:p>
        </w:tc>
        <w:tc>
          <w:tcPr>
            <w:tcW w:w="10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400,144</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403,334</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413,835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(768,191)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20" w:type="dxa"/>
            <w:vAlign w:val="bottom"/>
            <w:shd w:val="clear" w:color="auto" w:fill="DEDEDE"/>
          </w:tcPr>
          <w:p>
            <w:pPr>
              <w:spacing w:after="0"/>
              <w:rPr>
                <w:sz w:val="18"/>
                <w:szCs w:val="18"/>
                <w:color w:val="auto"/>
              </w:rPr>
            </w:pPr>
          </w:p>
        </w:tc>
        <w:tc>
          <w:tcPr>
            <w:tcW w:w="9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160" w:type="dxa"/>
            <w:vAlign w:val="bottom"/>
            <w:gridSpan w:val="3"/>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8"/>
                <w:szCs w:val="18"/>
                <w:color w:val="auto"/>
              </w:rPr>
            </w:pPr>
          </w:p>
        </w:tc>
        <w:tc>
          <w:tcPr>
            <w:tcW w:w="9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EDEDE"/>
          </w:tcPr>
          <w:p>
            <w:pPr>
              <w:spacing w:after="0"/>
              <w:rPr>
                <w:sz w:val="18"/>
                <w:szCs w:val="18"/>
                <w:color w:val="auto"/>
              </w:rPr>
            </w:pP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214,816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1,005,748</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1,220,564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18"/>
                <w:szCs w:val="18"/>
                <w:color w:val="auto"/>
              </w:rPr>
            </w:pPr>
          </w:p>
        </w:tc>
        <w:tc>
          <w:tcPr>
            <w:tcW w:w="9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8"/>
                <w:szCs w:val="18"/>
                <w:color w:val="auto"/>
              </w:rPr>
            </w:pPr>
          </w:p>
        </w:tc>
        <w:tc>
          <w:tcPr>
            <w:tcW w:w="1220" w:type="dxa"/>
            <w:vAlign w:val="bottom"/>
            <w:gridSpan w:val="3"/>
            <w:shd w:val="clear" w:color="auto" w:fill="DEDEDE"/>
          </w:tcPr>
          <w:p>
            <w:pPr>
              <w:jc w:val="right"/>
              <w:ind w:right="101"/>
              <w:spacing w:after="0"/>
              <w:rPr>
                <w:sz w:val="20"/>
                <w:szCs w:val="20"/>
                <w:color w:val="auto"/>
              </w:rPr>
            </w:pPr>
            <w:r>
              <w:rPr>
                <w:rFonts w:ascii="Times New Roman" w:cs="Times New Roman" w:eastAsia="Times New Roman" w:hAnsi="Times New Roman"/>
                <w:sz w:val="18"/>
                <w:szCs w:val="18"/>
                <w:color w:val="auto"/>
              </w:rPr>
              <w:t>(3,053,506)</w:t>
            </w:r>
          </w:p>
        </w:tc>
        <w:tc>
          <w:tcPr>
            <w:tcW w:w="1120" w:type="dxa"/>
            <w:vAlign w:val="bottom"/>
            <w:gridSpan w:val="3"/>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(3,053,506)</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2,009,762</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297,156</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5,848,037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(8,154,955)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shd w:val="clear" w:color="auto" w:fill="DEDEDE"/>
          </w:tcPr>
          <w:p>
            <w:pPr>
              <w:spacing w:after="0"/>
              <w:rPr>
                <w:sz w:val="19"/>
                <w:szCs w:val="19"/>
                <w:color w:val="auto"/>
              </w:rPr>
            </w:pPr>
          </w:p>
        </w:tc>
        <w:tc>
          <w:tcPr>
            <w:tcW w:w="1100" w:type="dxa"/>
            <w:vAlign w:val="bottom"/>
            <w:gridSpan w:val="3"/>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(532)</w:t>
            </w: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220" w:type="dxa"/>
            <w:vAlign w:val="bottom"/>
            <w:shd w:val="clear" w:color="auto" w:fill="DEDEDE"/>
          </w:tcPr>
          <w:p>
            <w:pPr>
              <w:spacing w:after="0"/>
              <w:rPr>
                <w:sz w:val="19"/>
                <w:szCs w:val="19"/>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9"/>
                <w:szCs w:val="19"/>
                <w:color w:val="auto"/>
              </w:rPr>
            </w:pP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9"/>
                <w:szCs w:val="19"/>
                <w:color w:val="auto"/>
              </w:rPr>
            </w:pPr>
          </w:p>
        </w:tc>
        <w:tc>
          <w:tcPr>
            <w:tcW w:w="9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EDEDE"/>
          </w:tcPr>
          <w:p>
            <w:pPr>
              <w:spacing w:after="0"/>
              <w:rPr>
                <w:sz w:val="19"/>
                <w:szCs w:val="19"/>
                <w:color w:val="auto"/>
              </w:rPr>
            </w:pP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42,510,012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6,643,666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79,698,367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33,719,629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227,804,439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(8,477,686)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381,898,427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220" w:type="dxa"/>
            <w:vAlign w:val="bottom"/>
            <w:gridSpan w:val="3"/>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32,152,330</w:t>
            </w:r>
          </w:p>
        </w:tc>
        <w:tc>
          <w:tcPr>
            <w:tcW w:w="160" w:type="dxa"/>
            <w:vAlign w:val="bottom"/>
            <w:shd w:val="clear" w:color="auto" w:fill="DEDEDE"/>
          </w:tcPr>
          <w:p>
            <w:pPr>
              <w:spacing w:after="0"/>
              <w:rPr>
                <w:sz w:val="18"/>
                <w:szCs w:val="18"/>
                <w:color w:val="auto"/>
              </w:rPr>
            </w:pPr>
          </w:p>
        </w:tc>
        <w:tc>
          <w:tcPr>
            <w:tcW w:w="9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EDEDE"/>
          </w:tcPr>
          <w:p>
            <w:pPr>
              <w:spacing w:after="0"/>
              <w:rPr>
                <w:sz w:val="18"/>
                <w:szCs w:val="18"/>
                <w:color w:val="auto"/>
              </w:rPr>
            </w:pP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32,152,330</w:t>
            </w:r>
          </w:p>
        </w:tc>
        <w:tc>
          <w:tcPr>
            <w:tcW w:w="10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(4,957,506)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(4,957,506)</w:t>
            </w:r>
          </w:p>
        </w:tc>
        <w:tc>
          <w:tcPr>
            <w:tcW w:w="0" w:type="dxa"/>
            <w:vAlign w:val="bottom"/>
          </w:tcPr>
          <w:p>
            <w:pPr>
              <w:spacing w:after="0"/>
              <w:rPr>
                <w:sz w:val="1"/>
                <w:szCs w:val="1"/>
                <w:color w:val="auto"/>
              </w:rPr>
            </w:pPr>
          </w:p>
        </w:tc>
      </w:tr>
      <w:tr>
        <w:trPr>
          <w:trHeight w:val="216"/>
        </w:trPr>
        <w:tc>
          <w:tcPr>
            <w:tcW w:w="2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18"/>
                <w:szCs w:val="18"/>
                <w:color w:val="auto"/>
              </w:rPr>
            </w:pPr>
          </w:p>
        </w:tc>
        <w:tc>
          <w:tcPr>
            <w:tcW w:w="9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1,320,497</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8"/>
                <w:szCs w:val="18"/>
                <w:color w:val="auto"/>
              </w:rPr>
            </w:pPr>
          </w:p>
        </w:tc>
        <w:tc>
          <w:tcPr>
            <w:tcW w:w="9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EDEDE"/>
          </w:tcPr>
          <w:p>
            <w:pPr>
              <w:spacing w:after="0"/>
              <w:rPr>
                <w:sz w:val="18"/>
                <w:szCs w:val="18"/>
                <w:color w:val="auto"/>
              </w:rPr>
            </w:pP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1,320,497</w:t>
            </w:r>
          </w:p>
        </w:tc>
        <w:tc>
          <w:tcPr>
            <w:tcW w:w="10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193,132</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190,674</w:t>
            </w:r>
          </w:p>
        </w:tc>
        <w:tc>
          <w:tcPr>
            <w:tcW w:w="14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(128,785)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(149,009)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19,452</w:t>
            </w:r>
          </w:p>
        </w:tc>
        <w:tc>
          <w:tcPr>
            <w:tcW w:w="120" w:type="dxa"/>
            <w:vAlign w:val="bottom"/>
            <w:shd w:val="clear" w:color="auto" w:fill="DEDEDE"/>
          </w:tcPr>
          <w:p>
            <w:pPr>
              <w:spacing w:after="0"/>
              <w:rPr>
                <w:sz w:val="18"/>
                <w:szCs w:val="18"/>
                <w:color w:val="auto"/>
              </w:rPr>
            </w:pPr>
          </w:p>
        </w:tc>
        <w:tc>
          <w:tcPr>
            <w:tcW w:w="9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160" w:type="dxa"/>
            <w:vAlign w:val="bottom"/>
            <w:gridSpan w:val="3"/>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(19,452)</w:t>
            </w:r>
          </w:p>
        </w:tc>
        <w:tc>
          <w:tcPr>
            <w:tcW w:w="10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8"/>
                <w:szCs w:val="18"/>
                <w:color w:val="auto"/>
              </w:rPr>
            </w:pPr>
          </w:p>
        </w:tc>
        <w:tc>
          <w:tcPr>
            <w:tcW w:w="9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EDEDE"/>
          </w:tcPr>
          <w:p>
            <w:pPr>
              <w:spacing w:after="0"/>
              <w:rPr>
                <w:sz w:val="18"/>
                <w:szCs w:val="18"/>
                <w:color w:val="auto"/>
              </w:rPr>
            </w:pP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Sale of treasury stock</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310,630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1,148,387</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1,459,017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18"/>
                <w:szCs w:val="18"/>
                <w:color w:val="auto"/>
              </w:rPr>
            </w:pPr>
          </w:p>
        </w:tc>
        <w:tc>
          <w:tcPr>
            <w:tcW w:w="9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8"/>
                <w:szCs w:val="18"/>
                <w:color w:val="auto"/>
              </w:rPr>
            </w:pPr>
          </w:p>
        </w:tc>
        <w:tc>
          <w:tcPr>
            <w:tcW w:w="1220" w:type="dxa"/>
            <w:vAlign w:val="bottom"/>
            <w:gridSpan w:val="3"/>
            <w:shd w:val="clear" w:color="auto" w:fill="DEDEDE"/>
          </w:tcPr>
          <w:p>
            <w:pPr>
              <w:jc w:val="right"/>
              <w:ind w:right="101"/>
              <w:spacing w:after="0"/>
              <w:rPr>
                <w:sz w:val="20"/>
                <w:szCs w:val="20"/>
                <w:color w:val="auto"/>
              </w:rPr>
            </w:pPr>
            <w:r>
              <w:rPr>
                <w:rFonts w:ascii="Times New Roman" w:cs="Times New Roman" w:eastAsia="Times New Roman" w:hAnsi="Times New Roman"/>
                <w:sz w:val="18"/>
                <w:szCs w:val="18"/>
                <w:color w:val="auto"/>
              </w:rPr>
              <w:t>(1,610,049)</w:t>
            </w:r>
          </w:p>
        </w:tc>
        <w:tc>
          <w:tcPr>
            <w:tcW w:w="1120" w:type="dxa"/>
            <w:vAlign w:val="bottom"/>
            <w:gridSpan w:val="3"/>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(1,610,049)</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Stock dividends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2,133,106</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341,682</w:t>
            </w:r>
          </w:p>
        </w:tc>
        <w:tc>
          <w:tcPr>
            <w:tcW w:w="1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8,686,506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(11,161,294)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Conversion Class C to Class A</w:t>
            </w:r>
          </w:p>
        </w:tc>
        <w:tc>
          <w:tcPr>
            <w:tcW w:w="180" w:type="dxa"/>
            <w:vAlign w:val="bottom"/>
            <w:shd w:val="clear" w:color="auto" w:fill="DEDEDE"/>
          </w:tcPr>
          <w:p>
            <w:pPr>
              <w:spacing w:after="0"/>
              <w:rPr>
                <w:sz w:val="19"/>
                <w:szCs w:val="19"/>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98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(1,548)</w:t>
            </w: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220" w:type="dxa"/>
            <w:vAlign w:val="bottom"/>
            <w:shd w:val="clear" w:color="auto" w:fill="DEDEDE"/>
          </w:tcPr>
          <w:p>
            <w:pPr>
              <w:spacing w:after="0"/>
              <w:rPr>
                <w:sz w:val="19"/>
                <w:szCs w:val="19"/>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9"/>
                <w:szCs w:val="19"/>
                <w:color w:val="auto"/>
              </w:rPr>
            </w:pP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9"/>
                <w:szCs w:val="19"/>
                <w:color w:val="auto"/>
              </w:rPr>
            </w:pPr>
          </w:p>
        </w:tc>
        <w:tc>
          <w:tcPr>
            <w:tcW w:w="9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EDEDE"/>
          </w:tcPr>
          <w:p>
            <w:pPr>
              <w:spacing w:after="0"/>
              <w:rPr>
                <w:sz w:val="19"/>
                <w:szCs w:val="19"/>
                <w:color w:val="auto"/>
              </w:rPr>
            </w:pP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20" w:type="dxa"/>
            <w:vAlign w:val="bottom"/>
            <w:vMerge w:val="restart"/>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720" w:type="dxa"/>
            <w:vAlign w:val="bottom"/>
            <w:vMerge w:val="continue"/>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44,857,250</w:t>
            </w:r>
          </w:p>
        </w:tc>
        <w:tc>
          <w:tcPr>
            <w:tcW w:w="12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$ 7,174,474</w:t>
            </w:r>
          </w:p>
        </w:tc>
        <w:tc>
          <w:tcPr>
            <w:tcW w:w="140" w:type="dxa"/>
            <w:vAlign w:val="bottom"/>
          </w:tcPr>
          <w:p>
            <w:pPr>
              <w:spacing w:after="0"/>
              <w:rPr>
                <w:sz w:val="14"/>
                <w:szCs w:val="14"/>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89,867,763</w:t>
            </w:r>
          </w:p>
        </w:tc>
        <w:tc>
          <w:tcPr>
            <w:tcW w:w="140" w:type="dxa"/>
            <w:vAlign w:val="bottom"/>
          </w:tcPr>
          <w:p>
            <w:pPr>
              <w:spacing w:after="0"/>
              <w:rPr>
                <w:sz w:val="14"/>
                <w:szCs w:val="14"/>
                <w:color w:val="auto"/>
              </w:rPr>
            </w:pPr>
          </w:p>
        </w:tc>
        <w:tc>
          <w:tcPr>
            <w:tcW w:w="3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28,762,123</w:t>
            </w:r>
          </w:p>
        </w:tc>
        <w:tc>
          <w:tcPr>
            <w:tcW w:w="140" w:type="dxa"/>
            <w:vAlign w:val="bottom"/>
          </w:tcPr>
          <w:p>
            <w:pPr>
              <w:spacing w:after="0"/>
              <w:rPr>
                <w:sz w:val="14"/>
                <w:szCs w:val="14"/>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248,795,475</w:t>
            </w:r>
          </w:p>
        </w:tc>
        <w:tc>
          <w:tcPr>
            <w:tcW w:w="160" w:type="dxa"/>
            <w:vAlign w:val="bottom"/>
          </w:tcPr>
          <w:p>
            <w:pPr>
              <w:spacing w:after="0"/>
              <w:rPr>
                <w:sz w:val="14"/>
                <w:szCs w:val="14"/>
                <w:color w:val="auto"/>
              </w:rPr>
            </w:pP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(9,088,357</w:t>
            </w:r>
          </w:p>
        </w:tc>
        <w:tc>
          <w:tcPr>
            <w:tcW w:w="240" w:type="dxa"/>
            <w:vAlign w:val="bottom"/>
            <w:vMerge w:val="continue"/>
          </w:tcPr>
          <w:p>
            <w:pPr>
              <w:spacing w:after="0"/>
              <w:rPr>
                <w:sz w:val="14"/>
                <w:szCs w:val="14"/>
                <w:color w:val="auto"/>
              </w:rPr>
            </w:pP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 xml:space="preserve"> 410,368,728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gridSpan w:val="2"/>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2240" w:h="15840" w:orient="portrait"/>
          <w:cols w:equalWidth="0" w:num="1">
            <w:col w:w="11240"/>
          </w:cols>
          <w:pgMar w:left="500" w:top="903" w:right="500" w:bottom="0" w:gutter="0" w:footer="0" w:header="0"/>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6760" w:type="dxa"/>
            <w:vAlign w:val="bottom"/>
            <w:tcBorders>
              <w:bottom w:val="single" w:sz="8" w:color="DEDEDE"/>
            </w:tcBorders>
          </w:tcPr>
          <w:p>
            <w:pPr>
              <w:spacing w:after="0"/>
              <w:rPr>
                <w:sz w:val="19"/>
                <w:szCs w:val="19"/>
                <w:color w:val="auto"/>
              </w:rPr>
            </w:pPr>
          </w:p>
        </w:tc>
        <w:tc>
          <w:tcPr>
            <w:tcW w:w="220" w:type="dxa"/>
            <w:vAlign w:val="bottom"/>
            <w:tcBorders>
              <w:bottom w:val="single" w:sz="8" w:color="DEDEDE"/>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bottom w:val="single" w:sz="8" w:color="DEDEDE"/>
            </w:tcBorders>
          </w:tcPr>
          <w:p>
            <w:pPr>
              <w:spacing w:after="0"/>
              <w:rPr>
                <w:sz w:val="19"/>
                <w:szCs w:val="19"/>
                <w:color w:val="auto"/>
              </w:rPr>
            </w:pPr>
          </w:p>
        </w:tc>
        <w:tc>
          <w:tcPr>
            <w:tcW w:w="140" w:type="dxa"/>
            <w:vAlign w:val="bottom"/>
            <w:tcBorders>
              <w:top w:val="single" w:sz="8" w:color="auto"/>
              <w:bottom w:val="single" w:sz="8" w:color="DEDEDE"/>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DEDEDE"/>
            </w:tcBorders>
          </w:tcPr>
          <w:p>
            <w:pPr>
              <w:spacing w:after="0"/>
              <w:rPr>
                <w:sz w:val="19"/>
                <w:szCs w:val="19"/>
                <w:color w:val="auto"/>
              </w:rPr>
            </w:pPr>
          </w:p>
        </w:tc>
      </w:tr>
      <w:tr>
        <w:trPr>
          <w:trHeight w:val="209"/>
        </w:trPr>
        <w:tc>
          <w:tcPr>
            <w:tcW w:w="67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earnings</w:t>
            </w:r>
          </w:p>
        </w:tc>
        <w:tc>
          <w:tcPr>
            <w:tcW w:w="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32,152,330</w:t>
            </w:r>
          </w:p>
        </w:tc>
        <w:tc>
          <w:tcPr>
            <w:tcW w:w="180" w:type="dxa"/>
            <w:vAlign w:val="bottom"/>
          </w:tcPr>
          <w:p>
            <w:pPr>
              <w:spacing w:after="0"/>
              <w:rPr>
                <w:sz w:val="18"/>
                <w:szCs w:val="18"/>
                <w:color w:val="auto"/>
              </w:rPr>
            </w:pP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29,119,165</w:t>
            </w:r>
          </w:p>
        </w:tc>
        <w:tc>
          <w:tcPr>
            <w:tcW w:w="120" w:type="dxa"/>
            <w:vAlign w:val="bottom"/>
          </w:tcPr>
          <w:p>
            <w:pPr>
              <w:spacing w:after="0"/>
              <w:rPr>
                <w:sz w:val="18"/>
                <w:szCs w:val="18"/>
                <w:color w:val="auto"/>
              </w:rPr>
            </w:pPr>
          </w:p>
        </w:tc>
      </w:tr>
      <w:tr>
        <w:trPr>
          <w:trHeight w:val="216"/>
        </w:trPr>
        <w:tc>
          <w:tcPr>
            <w:tcW w:w="6760" w:type="dxa"/>
            <w:vAlign w:val="bottom"/>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(4,636,377)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(1,941,898)</w:t>
            </w:r>
          </w:p>
        </w:tc>
      </w:tr>
      <w:tr>
        <w:trPr>
          <w:trHeight w:val="216"/>
        </w:trPr>
        <w:tc>
          <w:tcPr>
            <w:tcW w:w="6760" w:type="dxa"/>
            <w:vAlign w:val="bottom"/>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8,155,965</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8,172,446</w:t>
            </w:r>
          </w:p>
        </w:tc>
        <w:tc>
          <w:tcPr>
            <w:tcW w:w="120" w:type="dxa"/>
            <w:vAlign w:val="bottom"/>
            <w:shd w:val="clear" w:color="auto" w:fill="DEDEDE"/>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55,750</w:t>
            </w:r>
          </w:p>
        </w:tc>
        <w:tc>
          <w:tcPr>
            <w:tcW w:w="120" w:type="dxa"/>
            <w:vAlign w:val="bottom"/>
          </w:tcPr>
          <w:p>
            <w:pPr>
              <w:spacing w:after="0"/>
              <w:rPr>
                <w:sz w:val="18"/>
                <w:szCs w:val="18"/>
                <w:color w:val="auto"/>
              </w:rPr>
            </w:pPr>
          </w:p>
        </w:tc>
      </w:tr>
      <w:tr>
        <w:trPr>
          <w:trHeight w:val="216"/>
        </w:trPr>
        <w:tc>
          <w:tcPr>
            <w:tcW w:w="6760" w:type="dxa"/>
            <w:vAlign w:val="bottom"/>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Net amortization of deferred fees and costs, premiums and discounts</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660" w:type="dxa"/>
            <w:vAlign w:val="bottom"/>
            <w:gridSpan w:val="2"/>
            <w:shd w:val="clear" w:color="auto" w:fill="DEDEDE"/>
          </w:tcPr>
          <w:p>
            <w:pPr>
              <w:jc w:val="right"/>
              <w:ind w:right="41"/>
              <w:spacing w:after="0"/>
              <w:rPr>
                <w:sz w:val="20"/>
                <w:szCs w:val="20"/>
                <w:color w:val="auto"/>
              </w:rPr>
            </w:pPr>
            <w:r>
              <w:rPr>
                <w:rFonts w:ascii="Times New Roman" w:cs="Times New Roman" w:eastAsia="Times New Roman" w:hAnsi="Times New Roman"/>
                <w:sz w:val="18"/>
                <w:szCs w:val="18"/>
                <w:color w:val="auto"/>
              </w:rPr>
              <w:t>(2,652,873)</w:t>
            </w: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6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(1,992,153)</w:t>
            </w: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998,697</w:t>
            </w:r>
          </w:p>
        </w:tc>
        <w:tc>
          <w:tcPr>
            <w:tcW w:w="120" w:type="dxa"/>
            <w:vAlign w:val="bottom"/>
          </w:tcPr>
          <w:p>
            <w:pPr>
              <w:spacing w:after="0"/>
              <w:rPr>
                <w:sz w:val="18"/>
                <w:szCs w:val="18"/>
                <w:color w:val="auto"/>
              </w:rPr>
            </w:pPr>
          </w:p>
        </w:tc>
      </w:tr>
      <w:tr>
        <w:trPr>
          <w:trHeight w:val="216"/>
        </w:trPr>
        <w:tc>
          <w:tcPr>
            <w:tcW w:w="6760" w:type="dxa"/>
            <w:vAlign w:val="bottom"/>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Policy and pre-need acquisition costs deferred</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660" w:type="dxa"/>
            <w:vAlign w:val="bottom"/>
            <w:gridSpan w:val="2"/>
            <w:shd w:val="clear" w:color="auto" w:fill="DEDEDE"/>
          </w:tcPr>
          <w:p>
            <w:pPr>
              <w:jc w:val="right"/>
              <w:ind w:right="41"/>
              <w:spacing w:after="0"/>
              <w:rPr>
                <w:sz w:val="20"/>
                <w:szCs w:val="20"/>
                <w:color w:val="auto"/>
              </w:rPr>
            </w:pPr>
            <w:r>
              <w:rPr>
                <w:rFonts w:ascii="Times New Roman" w:cs="Times New Roman" w:eastAsia="Times New Roman" w:hAnsi="Times New Roman"/>
                <w:sz w:val="18"/>
                <w:szCs w:val="18"/>
                <w:color w:val="auto"/>
              </w:rPr>
              <w:t>(19,926,269)</w:t>
            </w: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6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(21,343,031)</w:t>
            </w: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Policy and pre-need acquisition costs amortized</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11,167,373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10,477,722</w:t>
            </w:r>
          </w:p>
        </w:tc>
        <w:tc>
          <w:tcPr>
            <w:tcW w:w="120" w:type="dxa"/>
            <w:vAlign w:val="bottom"/>
          </w:tcPr>
          <w:p>
            <w:pPr>
              <w:spacing w:after="0"/>
              <w:rPr>
                <w:sz w:val="18"/>
                <w:szCs w:val="18"/>
                <w:color w:val="auto"/>
              </w:rPr>
            </w:pPr>
          </w:p>
        </w:tc>
      </w:tr>
      <w:tr>
        <w:trPr>
          <w:trHeight w:val="216"/>
        </w:trPr>
        <w:tc>
          <w:tcPr>
            <w:tcW w:w="6760" w:type="dxa"/>
            <w:vAlign w:val="bottom"/>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Value of business acquired amortized</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493,335</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534,894</w:t>
            </w:r>
          </w:p>
        </w:tc>
        <w:tc>
          <w:tcPr>
            <w:tcW w:w="120" w:type="dxa"/>
            <w:vAlign w:val="bottom"/>
            <w:shd w:val="clear" w:color="auto" w:fill="DEDEDE"/>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credited to policyholder account balances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4,562,615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3,379,614</w:t>
            </w:r>
          </w:p>
        </w:tc>
        <w:tc>
          <w:tcPr>
            <w:tcW w:w="120" w:type="dxa"/>
            <w:vAlign w:val="bottom"/>
          </w:tcPr>
          <w:p>
            <w:pPr>
              <w:spacing w:after="0"/>
              <w:rPr>
                <w:sz w:val="18"/>
                <w:szCs w:val="18"/>
                <w:color w:val="auto"/>
              </w:rPr>
            </w:pPr>
          </w:p>
        </w:tc>
      </w:tr>
      <w:tr>
        <w:trPr>
          <w:trHeight w:val="216"/>
        </w:trPr>
        <w:tc>
          <w:tcPr>
            <w:tcW w:w="6760" w:type="dxa"/>
            <w:vAlign w:val="bottom"/>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Policy fees assessed on policyholder account balances</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660" w:type="dxa"/>
            <w:vAlign w:val="bottom"/>
            <w:gridSpan w:val="2"/>
            <w:shd w:val="clear" w:color="auto" w:fill="DEDEDE"/>
          </w:tcPr>
          <w:p>
            <w:pPr>
              <w:jc w:val="right"/>
              <w:ind w:right="41"/>
              <w:spacing w:after="0"/>
              <w:rPr>
                <w:sz w:val="20"/>
                <w:szCs w:val="20"/>
                <w:color w:val="auto"/>
              </w:rPr>
            </w:pPr>
            <w:r>
              <w:rPr>
                <w:rFonts w:ascii="Times New Roman" w:cs="Times New Roman" w:eastAsia="Times New Roman" w:hAnsi="Times New Roman"/>
                <w:sz w:val="18"/>
                <w:szCs w:val="18"/>
                <w:color w:val="auto"/>
              </w:rPr>
              <w:t>(2,326,788)</w:t>
            </w: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6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(2,306,993)</w:t>
            </w: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Mortgage servicing rights, additions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(151,056)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(90,370)</w:t>
            </w:r>
          </w:p>
        </w:tc>
      </w:tr>
      <w:tr>
        <w:trPr>
          <w:trHeight w:val="216"/>
        </w:trPr>
        <w:tc>
          <w:tcPr>
            <w:tcW w:w="6760" w:type="dxa"/>
            <w:vAlign w:val="bottom"/>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Amortization of mortgage servicing rights</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562,475</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611,638</w:t>
            </w:r>
          </w:p>
        </w:tc>
        <w:tc>
          <w:tcPr>
            <w:tcW w:w="120" w:type="dxa"/>
            <w:vAlign w:val="bottom"/>
            <w:shd w:val="clear" w:color="auto" w:fill="DEDEDE"/>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1,320,497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800,820</w:t>
            </w:r>
          </w:p>
        </w:tc>
        <w:tc>
          <w:tcPr>
            <w:tcW w:w="120" w:type="dxa"/>
            <w:vAlign w:val="bottom"/>
          </w:tcPr>
          <w:p>
            <w:pPr>
              <w:spacing w:after="0"/>
              <w:rPr>
                <w:sz w:val="18"/>
                <w:szCs w:val="18"/>
                <w:color w:val="auto"/>
              </w:rPr>
            </w:pPr>
          </w:p>
        </w:tc>
      </w:tr>
      <w:tr>
        <w:trPr>
          <w:trHeight w:val="216"/>
        </w:trPr>
        <w:tc>
          <w:tcPr>
            <w:tcW w:w="6760" w:type="dxa"/>
            <w:vAlign w:val="bottom"/>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Benefit plans funded with treasury stock</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1,459,017</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1,220,564</w:t>
            </w:r>
          </w:p>
        </w:tc>
        <w:tc>
          <w:tcPr>
            <w:tcW w:w="120" w:type="dxa"/>
            <w:vAlign w:val="bottom"/>
            <w:shd w:val="clear" w:color="auto" w:fill="DEDEDE"/>
          </w:tcPr>
          <w:p>
            <w:pPr>
              <w:spacing w:after="0"/>
              <w:rPr>
                <w:sz w:val="18"/>
                <w:szCs w:val="18"/>
                <w:color w:val="auto"/>
              </w:rPr>
            </w:pP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fair value of loans held for sale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(615,973)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(2,869,729)</w:t>
            </w:r>
          </w:p>
        </w:tc>
      </w:tr>
      <w:tr>
        <w:trPr>
          <w:trHeight w:val="216"/>
        </w:trPr>
        <w:tc>
          <w:tcPr>
            <w:tcW w:w="6760" w:type="dxa"/>
            <w:vAlign w:val="bottom"/>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66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(2,296,054,902)</w:t>
            </w: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6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(2,295,830,408)</w:t>
            </w: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2,323,112,059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2,338,209,587</w:t>
            </w:r>
          </w:p>
        </w:tc>
        <w:tc>
          <w:tcPr>
            <w:tcW w:w="120" w:type="dxa"/>
            <w:vAlign w:val="bottom"/>
          </w:tcPr>
          <w:p>
            <w:pPr>
              <w:spacing w:after="0"/>
              <w:rPr>
                <w:sz w:val="18"/>
                <w:szCs w:val="18"/>
                <w:color w:val="auto"/>
              </w:rPr>
            </w:pPr>
          </w:p>
        </w:tc>
      </w:tr>
      <w:tr>
        <w:trPr>
          <w:trHeight w:val="216"/>
        </w:trPr>
        <w:tc>
          <w:tcPr>
            <w:tcW w:w="6760" w:type="dxa"/>
            <w:vAlign w:val="bottom"/>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Net gains on sales of loans held for sale</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66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(52,436,365)</w:t>
            </w: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6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(45,383,321)</w:t>
            </w: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760" w:type="dxa"/>
            <w:vAlign w:val="bottom"/>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Land and improvements held for sale</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66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(704,651)</w:t>
            </w: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6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(1,430,941)</w:t>
            </w:r>
          </w:p>
        </w:tc>
      </w:tr>
      <w:tr>
        <w:trPr>
          <w:trHeight w:val="216"/>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31,232,581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32,180,630</w:t>
            </w:r>
          </w:p>
        </w:tc>
        <w:tc>
          <w:tcPr>
            <w:tcW w:w="120" w:type="dxa"/>
            <w:vAlign w:val="bottom"/>
          </w:tcPr>
          <w:p>
            <w:pPr>
              <w:spacing w:after="0"/>
              <w:rPr>
                <w:sz w:val="18"/>
                <w:szCs w:val="18"/>
                <w:color w:val="auto"/>
              </w:rPr>
            </w:pPr>
          </w:p>
        </w:tc>
      </w:tr>
      <w:tr>
        <w:trPr>
          <w:trHeight w:val="230"/>
        </w:trPr>
        <w:tc>
          <w:tcPr>
            <w:tcW w:w="6760" w:type="dxa"/>
            <w:vAlign w:val="bottom"/>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220" w:type="dxa"/>
            <w:vAlign w:val="bottom"/>
            <w:shd w:val="clear" w:color="auto" w:fill="DEDEDE"/>
          </w:tcPr>
          <w:p>
            <w:pPr>
              <w:spacing w:after="0"/>
              <w:rPr>
                <w:sz w:val="19"/>
                <w:szCs w:val="19"/>
                <w:color w:val="auto"/>
              </w:rPr>
            </w:pPr>
          </w:p>
        </w:tc>
        <w:tc>
          <w:tcPr>
            <w:tcW w:w="440" w:type="dxa"/>
            <w:vAlign w:val="bottom"/>
            <w:tcBorders>
              <w:bottom w:val="single" w:sz="8" w:color="auto"/>
            </w:tcBorders>
            <w:shd w:val="clear" w:color="auto" w:fill="DEDEDE"/>
          </w:tcPr>
          <w:p>
            <w:pPr>
              <w:spacing w:after="0"/>
              <w:rPr>
                <w:sz w:val="19"/>
                <w:szCs w:val="19"/>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7,317,697</w:t>
            </w: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420" w:type="dxa"/>
            <w:vAlign w:val="bottom"/>
            <w:tcBorders>
              <w:bottom w:val="single" w:sz="8" w:color="auto"/>
            </w:tcBorders>
            <w:shd w:val="clear" w:color="auto" w:fill="DEDEDE"/>
          </w:tcPr>
          <w:p>
            <w:pPr>
              <w:spacing w:after="0"/>
              <w:rPr>
                <w:sz w:val="19"/>
                <w:szCs w:val="19"/>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4,747,167</w:t>
            </w:r>
          </w:p>
        </w:tc>
        <w:tc>
          <w:tcPr>
            <w:tcW w:w="120" w:type="dxa"/>
            <w:vAlign w:val="bottom"/>
            <w:shd w:val="clear" w:color="auto" w:fill="DEDEDE"/>
          </w:tcPr>
          <w:p>
            <w:pPr>
              <w:spacing w:after="0"/>
              <w:rPr>
                <w:sz w:val="19"/>
                <w:szCs w:val="19"/>
                <w:color w:val="auto"/>
              </w:rPr>
            </w:pPr>
          </w:p>
        </w:tc>
      </w:tr>
      <w:tr>
        <w:trPr>
          <w:trHeight w:val="210"/>
        </w:trPr>
        <w:tc>
          <w:tcPr>
            <w:tcW w:w="6760" w:type="dxa"/>
            <w:vAlign w:val="bottom"/>
            <w:tcBorders>
              <w:bottom w:val="single" w:sz="8" w:color="DEDEDE"/>
            </w:tcBorders>
          </w:tcPr>
          <w:p>
            <w:pPr>
              <w:ind w:left="5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DEDEDE"/>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45,539,897</w:t>
            </w:r>
          </w:p>
        </w:tc>
        <w:tc>
          <w:tcPr>
            <w:tcW w:w="180" w:type="dxa"/>
            <w:vAlign w:val="bottom"/>
            <w:tcBorders>
              <w:bottom w:val="single" w:sz="8" w:color="DEDEDE"/>
            </w:tcBorders>
          </w:tcPr>
          <w:p>
            <w:pPr>
              <w:spacing w:after="0"/>
              <w:rPr>
                <w:sz w:val="18"/>
                <w:szCs w:val="18"/>
                <w:color w:val="auto"/>
              </w:rPr>
            </w:pPr>
          </w:p>
        </w:tc>
        <w:tc>
          <w:tcPr>
            <w:tcW w:w="140" w:type="dxa"/>
            <w:vAlign w:val="bottom"/>
            <w:tcBorders>
              <w:bottom w:val="single" w:sz="8" w:color="DEDEDE"/>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57,319,850</w:t>
            </w:r>
          </w:p>
        </w:tc>
        <w:tc>
          <w:tcPr>
            <w:tcW w:w="120" w:type="dxa"/>
            <w:vAlign w:val="bottom"/>
            <w:tcBorders>
              <w:bottom w:val="single" w:sz="8" w:color="DEDEDE"/>
            </w:tcBorders>
          </w:tcPr>
          <w:p>
            <w:pPr>
              <w:spacing w:after="0"/>
              <w:rPr>
                <w:sz w:val="18"/>
                <w:szCs w:val="18"/>
                <w:color w:val="auto"/>
              </w:rPr>
            </w:pPr>
          </w:p>
        </w:tc>
      </w:tr>
      <w:tr>
        <w:trPr>
          <w:trHeight w:val="209"/>
        </w:trPr>
        <w:tc>
          <w:tcPr>
            <w:tcW w:w="67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fixed maturity securities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(68,178,727)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(85,235,694)</w:t>
            </w:r>
          </w:p>
        </w:tc>
      </w:tr>
      <w:tr>
        <w:trPr>
          <w:trHeight w:val="216"/>
        </w:trPr>
        <w:tc>
          <w:tcPr>
            <w:tcW w:w="676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Sales, calls and maturities of fixed maturity securities</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61,228,738</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101,038,735</w:t>
            </w:r>
          </w:p>
        </w:tc>
        <w:tc>
          <w:tcPr>
            <w:tcW w:w="120" w:type="dxa"/>
            <w:vAlign w:val="bottom"/>
            <w:shd w:val="clear" w:color="auto" w:fill="DEDEDE"/>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equity securities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(5,072,820)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(3,098,448)</w:t>
            </w:r>
          </w:p>
        </w:tc>
      </w:tr>
      <w:tr>
        <w:trPr>
          <w:trHeight w:val="216"/>
        </w:trPr>
        <w:tc>
          <w:tcPr>
            <w:tcW w:w="676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Sales of equity securities</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4,545,506</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2,321,623</w:t>
            </w:r>
          </w:p>
        </w:tc>
        <w:tc>
          <w:tcPr>
            <w:tcW w:w="120" w:type="dxa"/>
            <w:vAlign w:val="bottom"/>
            <w:shd w:val="clear" w:color="auto" w:fill="DEDEDE"/>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restricted assets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(7,620,974)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(6,039,118)</w:t>
            </w:r>
          </w:p>
        </w:tc>
      </w:tr>
      <w:tr>
        <w:trPr>
          <w:trHeight w:val="216"/>
        </w:trPr>
        <w:tc>
          <w:tcPr>
            <w:tcW w:w="676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Sales, calls and maturities of restricted assets</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4,675,141</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1,579,178</w:t>
            </w:r>
          </w:p>
        </w:tc>
        <w:tc>
          <w:tcPr>
            <w:tcW w:w="120" w:type="dxa"/>
            <w:vAlign w:val="bottom"/>
            <w:shd w:val="clear" w:color="auto" w:fill="DEDEDE"/>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cemetery perpetual care trust investments</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(1,428,243)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(4,615,717)</w:t>
            </w:r>
          </w:p>
        </w:tc>
      </w:tr>
      <w:tr>
        <w:trPr>
          <w:trHeight w:val="216"/>
        </w:trPr>
        <w:tc>
          <w:tcPr>
            <w:tcW w:w="676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Sales, calls and maturities of cemetery perpetual care trust investments</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1,972,774</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2,607,608</w:t>
            </w:r>
          </w:p>
        </w:tc>
        <w:tc>
          <w:tcPr>
            <w:tcW w:w="120" w:type="dxa"/>
            <w:vAlign w:val="bottom"/>
            <w:shd w:val="clear" w:color="auto" w:fill="DEDEDE"/>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loans held for investment, other investments and policy loans made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(856,738,839)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(740,739,575)</w:t>
            </w:r>
          </w:p>
        </w:tc>
      </w:tr>
      <w:tr>
        <w:trPr>
          <w:trHeight w:val="197"/>
        </w:trPr>
        <w:tc>
          <w:tcPr>
            <w:tcW w:w="6760" w:type="dxa"/>
            <w:vAlign w:val="bottom"/>
            <w:shd w:val="clear" w:color="auto" w:fill="DEDEDE"/>
          </w:tcPr>
          <w:p>
            <w:pPr>
              <w:ind w:left="180"/>
              <w:spacing w:after="0" w:line="197" w:lineRule="exact"/>
              <w:rPr>
                <w:sz w:val="20"/>
                <w:szCs w:val="20"/>
                <w:color w:val="auto"/>
              </w:rPr>
            </w:pPr>
            <w:r>
              <w:rPr>
                <w:rFonts w:ascii="Times New Roman" w:cs="Times New Roman" w:eastAsia="Times New Roman" w:hAnsi="Times New Roman"/>
                <w:sz w:val="18"/>
                <w:szCs w:val="18"/>
                <w:color w:val="auto"/>
              </w:rPr>
              <w:t>Payments received for mortgage loans held for investment, other investments and policy</w:t>
            </w:r>
          </w:p>
        </w:tc>
        <w:tc>
          <w:tcPr>
            <w:tcW w:w="220" w:type="dxa"/>
            <w:vAlign w:val="bottom"/>
            <w:shd w:val="clear" w:color="auto" w:fill="DEDEDE"/>
          </w:tcPr>
          <w:p>
            <w:pPr>
              <w:spacing w:after="0"/>
              <w:rPr>
                <w:sz w:val="17"/>
                <w:szCs w:val="17"/>
                <w:color w:val="auto"/>
              </w:rPr>
            </w:pPr>
          </w:p>
        </w:tc>
        <w:tc>
          <w:tcPr>
            <w:tcW w:w="440" w:type="dxa"/>
            <w:vAlign w:val="bottom"/>
            <w:shd w:val="clear" w:color="auto" w:fill="DEDEDE"/>
          </w:tcPr>
          <w:p>
            <w:pPr>
              <w:spacing w:after="0"/>
              <w:rPr>
                <w:sz w:val="17"/>
                <w:szCs w:val="17"/>
                <w:color w:val="auto"/>
              </w:rPr>
            </w:pPr>
          </w:p>
        </w:tc>
        <w:tc>
          <w:tcPr>
            <w:tcW w:w="14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420" w:type="dxa"/>
            <w:vAlign w:val="bottom"/>
            <w:shd w:val="clear" w:color="auto" w:fill="DEDEDE"/>
          </w:tcPr>
          <w:p>
            <w:pPr>
              <w:spacing w:after="0"/>
              <w:rPr>
                <w:sz w:val="17"/>
                <w:szCs w:val="17"/>
                <w:color w:val="auto"/>
              </w:rPr>
            </w:pPr>
          </w:p>
        </w:tc>
        <w:tc>
          <w:tcPr>
            <w:tcW w:w="14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r>
      <w:tr>
        <w:trPr>
          <w:trHeight w:val="235"/>
        </w:trPr>
        <w:tc>
          <w:tcPr>
            <w:tcW w:w="676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loans</w:t>
            </w:r>
          </w:p>
        </w:tc>
        <w:tc>
          <w:tcPr>
            <w:tcW w:w="220" w:type="dxa"/>
            <w:vAlign w:val="bottom"/>
            <w:shd w:val="clear" w:color="auto" w:fill="DEDEDE"/>
          </w:tcPr>
          <w:p>
            <w:pPr>
              <w:spacing w:after="0"/>
              <w:rPr>
                <w:sz w:val="20"/>
                <w:szCs w:val="20"/>
                <w:color w:val="auto"/>
              </w:rPr>
            </w:pPr>
          </w:p>
        </w:tc>
        <w:tc>
          <w:tcPr>
            <w:tcW w:w="440" w:type="dxa"/>
            <w:vAlign w:val="bottom"/>
            <w:shd w:val="clear" w:color="auto" w:fill="DEDEDE"/>
          </w:tcPr>
          <w:p>
            <w:pPr>
              <w:spacing w:after="0"/>
              <w:rPr>
                <w:sz w:val="20"/>
                <w:szCs w:val="20"/>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826,248,424</w:t>
            </w:r>
          </w:p>
        </w:tc>
        <w:tc>
          <w:tcPr>
            <w:tcW w:w="18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420" w:type="dxa"/>
            <w:vAlign w:val="bottom"/>
            <w:shd w:val="clear" w:color="auto" w:fill="DEDEDE"/>
          </w:tcPr>
          <w:p>
            <w:pPr>
              <w:spacing w:after="0"/>
              <w:rPr>
                <w:sz w:val="20"/>
                <w:szCs w:val="20"/>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707,194,046</w:t>
            </w:r>
          </w:p>
        </w:tc>
        <w:tc>
          <w:tcPr>
            <w:tcW w:w="120" w:type="dxa"/>
            <w:vAlign w:val="bottom"/>
            <w:shd w:val="clear" w:color="auto" w:fill="DEDEDE"/>
          </w:tcPr>
          <w:p>
            <w:pPr>
              <w:spacing w:after="0"/>
              <w:rPr>
                <w:sz w:val="20"/>
                <w:szCs w:val="20"/>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(1,691,272)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(2,470,032)</w:t>
            </w:r>
          </w:p>
        </w:tc>
      </w:tr>
      <w:tr>
        <w:trPr>
          <w:trHeight w:val="216"/>
        </w:trPr>
        <w:tc>
          <w:tcPr>
            <w:tcW w:w="676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75,722</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365,697</w:t>
            </w:r>
          </w:p>
        </w:tc>
        <w:tc>
          <w:tcPr>
            <w:tcW w:w="120" w:type="dxa"/>
            <w:vAlign w:val="bottom"/>
            <w:shd w:val="clear" w:color="auto" w:fill="DEDEDE"/>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real estate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(63,928,088)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(52,348,798)</w:t>
            </w:r>
          </w:p>
        </w:tc>
      </w:tr>
      <w:tr>
        <w:trPr>
          <w:trHeight w:val="230"/>
        </w:trPr>
        <w:tc>
          <w:tcPr>
            <w:tcW w:w="676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Sales of real estate</w:t>
            </w:r>
          </w:p>
        </w:tc>
        <w:tc>
          <w:tcPr>
            <w:tcW w:w="220" w:type="dxa"/>
            <w:vAlign w:val="bottom"/>
            <w:shd w:val="clear" w:color="auto" w:fill="DEDEDE"/>
          </w:tcPr>
          <w:p>
            <w:pPr>
              <w:spacing w:after="0"/>
              <w:rPr>
                <w:sz w:val="19"/>
                <w:szCs w:val="19"/>
                <w:color w:val="auto"/>
              </w:rPr>
            </w:pPr>
          </w:p>
        </w:tc>
        <w:tc>
          <w:tcPr>
            <w:tcW w:w="440" w:type="dxa"/>
            <w:vAlign w:val="bottom"/>
            <w:tcBorders>
              <w:bottom w:val="single" w:sz="8" w:color="auto"/>
            </w:tcBorders>
            <w:shd w:val="clear" w:color="auto" w:fill="DEDEDE"/>
          </w:tcPr>
          <w:p>
            <w:pPr>
              <w:spacing w:after="0"/>
              <w:rPr>
                <w:sz w:val="19"/>
                <w:szCs w:val="19"/>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38,704,832</w:t>
            </w: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420" w:type="dxa"/>
            <w:vAlign w:val="bottom"/>
            <w:tcBorders>
              <w:bottom w:val="single" w:sz="8" w:color="auto"/>
            </w:tcBorders>
            <w:shd w:val="clear" w:color="auto" w:fill="DEDEDE"/>
          </w:tcPr>
          <w:p>
            <w:pPr>
              <w:spacing w:after="0"/>
              <w:rPr>
                <w:sz w:val="19"/>
                <w:szCs w:val="19"/>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36,306,431</w:t>
            </w:r>
          </w:p>
        </w:tc>
        <w:tc>
          <w:tcPr>
            <w:tcW w:w="120" w:type="dxa"/>
            <w:vAlign w:val="bottom"/>
            <w:shd w:val="clear" w:color="auto" w:fill="DEDEDE"/>
          </w:tcPr>
          <w:p>
            <w:pPr>
              <w:spacing w:after="0"/>
              <w:rPr>
                <w:sz w:val="19"/>
                <w:szCs w:val="19"/>
                <w:color w:val="auto"/>
              </w:rPr>
            </w:pPr>
          </w:p>
        </w:tc>
      </w:tr>
      <w:tr>
        <w:trPr>
          <w:trHeight w:val="210"/>
        </w:trPr>
        <w:tc>
          <w:tcPr>
            <w:tcW w:w="67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(67,207,826</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(43,134,064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2240" w:h="15840" w:orient="portrait"/>
          <w:cols w:equalWidth="0" w:num="1">
            <w:col w:w="11240"/>
          </w:cols>
          <w:pgMar w:left="500" w:top="687" w:right="500" w:bottom="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(Continued)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08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tcBorders>
              <w:bottom w:val="single" w:sz="8" w:color="DEDEDE"/>
            </w:tcBorders>
          </w:tcPr>
          <w:p>
            <w:pPr>
              <w:spacing w:after="0"/>
              <w:rPr>
                <w:sz w:val="19"/>
                <w:szCs w:val="19"/>
                <w:color w:val="auto"/>
              </w:rPr>
            </w:pPr>
          </w:p>
        </w:tc>
        <w:tc>
          <w:tcPr>
            <w:tcW w:w="240" w:type="dxa"/>
            <w:vAlign w:val="bottom"/>
            <w:tcBorders>
              <w:bottom w:val="single" w:sz="8" w:color="DEDEDE"/>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bottom w:val="single" w:sz="8" w:color="DEDEDE"/>
            </w:tcBorders>
          </w:tcPr>
          <w:p>
            <w:pPr>
              <w:spacing w:after="0"/>
              <w:rPr>
                <w:sz w:val="19"/>
                <w:szCs w:val="19"/>
                <w:color w:val="auto"/>
              </w:rPr>
            </w:pPr>
          </w:p>
        </w:tc>
        <w:tc>
          <w:tcPr>
            <w:tcW w:w="140" w:type="dxa"/>
            <w:vAlign w:val="bottom"/>
            <w:tcBorders>
              <w:top w:val="single" w:sz="8" w:color="auto"/>
              <w:bottom w:val="single" w:sz="8" w:color="DEDEDE"/>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Policyholder account balances - deposits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11,980,092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13,302,949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Policyholder account balances - withdrawals</w:t>
            </w:r>
          </w:p>
        </w:tc>
        <w:tc>
          <w:tcPr>
            <w:tcW w:w="2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660" w:type="dxa"/>
            <w:vAlign w:val="bottom"/>
            <w:gridSpan w:val="2"/>
            <w:shd w:val="clear" w:color="auto" w:fill="DEDEDE"/>
          </w:tcPr>
          <w:p>
            <w:pPr>
              <w:jc w:val="right"/>
              <w:ind w:right="41"/>
              <w:spacing w:after="0"/>
              <w:rPr>
                <w:sz w:val="20"/>
                <w:szCs w:val="20"/>
                <w:color w:val="auto"/>
              </w:rPr>
            </w:pPr>
            <w:r>
              <w:rPr>
                <w:rFonts w:ascii="Times New Roman" w:cs="Times New Roman" w:eastAsia="Times New Roman" w:hAnsi="Times New Roman"/>
                <w:sz w:val="18"/>
                <w:szCs w:val="18"/>
                <w:color w:val="auto"/>
              </w:rPr>
              <w:t>(16,336,822)</w:t>
            </w: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6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(15,631,260)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stock options exercised</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106,012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449,122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2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660" w:type="dxa"/>
            <w:vAlign w:val="bottom"/>
            <w:gridSpan w:val="2"/>
            <w:shd w:val="clear" w:color="auto" w:fill="DEDEDE"/>
          </w:tcPr>
          <w:p>
            <w:pPr>
              <w:jc w:val="right"/>
              <w:ind w:right="41"/>
              <w:spacing w:after="0"/>
              <w:rPr>
                <w:sz w:val="20"/>
                <w:szCs w:val="20"/>
                <w:color w:val="auto"/>
              </w:rPr>
            </w:pPr>
            <w:r>
              <w:rPr>
                <w:rFonts w:ascii="Times New Roman" w:cs="Times New Roman" w:eastAsia="Times New Roman" w:hAnsi="Times New Roman"/>
                <w:sz w:val="18"/>
                <w:szCs w:val="18"/>
                <w:color w:val="auto"/>
              </w:rPr>
              <w:t>(1,610,049)</w:t>
            </w: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6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(3,053,506)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Repayment of bank loans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(71,047,816)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(1,929,346)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Proceeds from bank loans</w:t>
            </w:r>
          </w:p>
        </w:tc>
        <w:tc>
          <w:tcPr>
            <w:tcW w:w="2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69,000,000</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change in warehouse line borrowings for loans held for sale</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(6,414,000)</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2,855,476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Borders>
              <w:top w:val="single" w:sz="8" w:color="DEDEDE"/>
            </w:tcBorders>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tcBorders>
              <w:top w:val="single" w:sz="8" w:color="DEDEDE"/>
            </w:tcBorders>
            <w:shd w:val="clear" w:color="auto" w:fill="DEDEDE"/>
          </w:tcPr>
          <w:p>
            <w:pPr>
              <w:spacing w:after="0"/>
              <w:rPr>
                <w:sz w:val="18"/>
                <w:szCs w:val="18"/>
                <w:color w:val="auto"/>
              </w:rPr>
            </w:pPr>
          </w:p>
        </w:tc>
        <w:tc>
          <w:tcPr>
            <w:tcW w:w="440" w:type="dxa"/>
            <w:vAlign w:val="bottom"/>
            <w:tcBorders>
              <w:top w:val="single" w:sz="8" w:color="auto"/>
              <w:bottom w:val="single" w:sz="8" w:color="auto"/>
            </w:tcBorders>
            <w:shd w:val="clear" w:color="auto" w:fill="DEDEDE"/>
          </w:tcPr>
          <w:p>
            <w:pPr>
              <w:spacing w:after="0"/>
              <w:rPr>
                <w:sz w:val="18"/>
                <w:szCs w:val="18"/>
                <w:color w:val="auto"/>
              </w:rPr>
            </w:pPr>
          </w:p>
        </w:tc>
        <w:tc>
          <w:tcPr>
            <w:tcW w:w="14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(14,322,583</w:t>
            </w:r>
          </w:p>
        </w:tc>
        <w:tc>
          <w:tcPr>
            <w:tcW w:w="180" w:type="dxa"/>
            <w:vAlign w:val="bottom"/>
            <w:tcBorders>
              <w:top w:val="single" w:sz="8" w:color="DEDEDE"/>
            </w:tcBorders>
            <w:shd w:val="clear" w:color="auto" w:fill="DEDEDE"/>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DEDEDE"/>
            </w:tcBorders>
            <w:shd w:val="clear" w:color="auto" w:fill="DEDEDE"/>
          </w:tcPr>
          <w:p>
            <w:pPr>
              <w:spacing w:after="0"/>
              <w:rPr>
                <w:sz w:val="18"/>
                <w:szCs w:val="18"/>
                <w:color w:val="auto"/>
              </w:rPr>
            </w:pPr>
          </w:p>
        </w:tc>
        <w:tc>
          <w:tcPr>
            <w:tcW w:w="420" w:type="dxa"/>
            <w:vAlign w:val="bottom"/>
            <w:tcBorders>
              <w:top w:val="single" w:sz="8" w:color="auto"/>
              <w:bottom w:val="single" w:sz="8" w:color="auto"/>
            </w:tcBorders>
            <w:shd w:val="clear" w:color="auto" w:fill="DEDEDE"/>
          </w:tcPr>
          <w:p>
            <w:pPr>
              <w:spacing w:after="0"/>
              <w:rPr>
                <w:sz w:val="18"/>
                <w:szCs w:val="18"/>
                <w:color w:val="auto"/>
              </w:rPr>
            </w:pPr>
          </w:p>
        </w:tc>
        <w:tc>
          <w:tcPr>
            <w:tcW w:w="14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(4,006,565</w:t>
            </w:r>
          </w:p>
        </w:tc>
        <w:tc>
          <w:tcPr>
            <w:tcW w:w="120" w:type="dxa"/>
            <w:vAlign w:val="bottom"/>
            <w:tcBorders>
              <w:top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2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restricted cash and restricted cash equivalents</w:t>
            </w:r>
          </w:p>
        </w:tc>
        <w:tc>
          <w:tcPr>
            <w:tcW w:w="240" w:type="dxa"/>
            <w:vAlign w:val="bottom"/>
            <w:tcBorders>
              <w:bottom w:val="single" w:sz="8" w:color="DEDEDE"/>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(35,990,512</w:t>
            </w:r>
          </w:p>
        </w:tc>
        <w:tc>
          <w:tcPr>
            <w:tcW w:w="180" w:type="dxa"/>
            <w:vAlign w:val="bottom"/>
            <w:tcBorders>
              <w:bottom w:val="single" w:sz="8" w:color="DEDEDE"/>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DEDEDE"/>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10,179,221</w:t>
            </w:r>
          </w:p>
        </w:tc>
        <w:tc>
          <w:tcPr>
            <w:tcW w:w="120" w:type="dxa"/>
            <w:vAlign w:val="bottom"/>
            <w:tcBorders>
              <w:bottom w:val="single" w:sz="8" w:color="DEDE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at beginning of year</w:t>
            </w:r>
          </w:p>
        </w:tc>
        <w:tc>
          <w:tcPr>
            <w:tcW w:w="240" w:type="dxa"/>
            <w:vAlign w:val="bottom"/>
            <w:shd w:val="clear" w:color="auto" w:fill="DEDEDE"/>
          </w:tcPr>
          <w:p>
            <w:pPr>
              <w:spacing w:after="0"/>
              <w:rPr>
                <w:sz w:val="18"/>
                <w:szCs w:val="18"/>
                <w:color w:val="auto"/>
              </w:rPr>
            </w:pPr>
          </w:p>
        </w:tc>
        <w:tc>
          <w:tcPr>
            <w:tcW w:w="440" w:type="dxa"/>
            <w:vAlign w:val="bottom"/>
            <w:tcBorders>
              <w:bottom w:val="single" w:sz="8" w:color="auto"/>
            </w:tcBorders>
            <w:shd w:val="clear" w:color="auto" w:fill="DEDEDE"/>
          </w:tcPr>
          <w:p>
            <w:pPr>
              <w:spacing w:after="0"/>
              <w:rPr>
                <w:sz w:val="18"/>
                <w:szCs w:val="18"/>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150,102,620</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tcBorders>
              <w:bottom w:val="single" w:sz="8" w:color="auto"/>
            </w:tcBorders>
            <w:shd w:val="clear" w:color="auto" w:fill="DEDEDE"/>
          </w:tcPr>
          <w:p>
            <w:pPr>
              <w:spacing w:after="0"/>
              <w:rPr>
                <w:sz w:val="18"/>
                <w:szCs w:val="18"/>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139,923,399</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72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at end of year</w:t>
            </w:r>
          </w:p>
        </w:tc>
        <w:tc>
          <w:tcPr>
            <w:tcW w:w="240" w:type="dxa"/>
            <w:vAlign w:val="bottom"/>
            <w:tcBorders>
              <w:bottom w:val="single" w:sz="8" w:color="DEDEDE"/>
            </w:tcBorders>
          </w:tcPr>
          <w:p>
            <w:pPr>
              <w:spacing w:after="0"/>
              <w:rPr>
                <w:sz w:val="22"/>
                <w:szCs w:val="22"/>
                <w:color w:val="auto"/>
              </w:rPr>
            </w:pPr>
          </w:p>
        </w:tc>
        <w:tc>
          <w:tcPr>
            <w:tcW w:w="44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114,112,108</w:t>
            </w:r>
          </w:p>
        </w:tc>
        <w:tc>
          <w:tcPr>
            <w:tcW w:w="180" w:type="dxa"/>
            <w:vAlign w:val="bottom"/>
            <w:tcBorders>
              <w:bottom w:val="single" w:sz="8" w:color="DEDEDE"/>
            </w:tcBorders>
          </w:tcPr>
          <w:p>
            <w:pPr>
              <w:spacing w:after="0"/>
              <w:rPr>
                <w:sz w:val="22"/>
                <w:szCs w:val="22"/>
                <w:color w:val="auto"/>
              </w:rPr>
            </w:pPr>
          </w:p>
        </w:tc>
        <w:tc>
          <w:tcPr>
            <w:tcW w:w="140" w:type="dxa"/>
            <w:vAlign w:val="bottom"/>
            <w:tcBorders>
              <w:bottom w:val="single" w:sz="8" w:color="DEDEDE"/>
            </w:tcBorders>
          </w:tcPr>
          <w:p>
            <w:pPr>
              <w:spacing w:after="0"/>
              <w:rPr>
                <w:sz w:val="22"/>
                <w:szCs w:val="22"/>
                <w:color w:val="auto"/>
              </w:rPr>
            </w:pP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150,102,620</w:t>
            </w:r>
          </w:p>
        </w:tc>
        <w:tc>
          <w:tcPr>
            <w:tcW w:w="120" w:type="dxa"/>
            <w:vAlign w:val="bottom"/>
            <w:tcBorders>
              <w:bottom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72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440" w:type="dxa"/>
            <w:vAlign w:val="bottom"/>
            <w:shd w:val="clear" w:color="auto" w:fill="DEDEDE"/>
          </w:tcPr>
          <w:p>
            <w:pPr>
              <w:spacing w:after="0"/>
              <w:rPr>
                <w:sz w:val="17"/>
                <w:szCs w:val="17"/>
                <w:color w:val="auto"/>
              </w:rPr>
            </w:pPr>
          </w:p>
        </w:tc>
        <w:tc>
          <w:tcPr>
            <w:tcW w:w="14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420" w:type="dxa"/>
            <w:vAlign w:val="bottom"/>
            <w:shd w:val="clear" w:color="auto" w:fill="DEDEDE"/>
          </w:tcPr>
          <w:p>
            <w:pPr>
              <w:spacing w:after="0"/>
              <w:rPr>
                <w:sz w:val="17"/>
                <w:szCs w:val="17"/>
                <w:color w:val="auto"/>
              </w:rPr>
            </w:pPr>
          </w:p>
        </w:tc>
        <w:tc>
          <w:tcPr>
            <w:tcW w:w="14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2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w:t>
            </w:r>
          </w:p>
        </w:tc>
        <w:tc>
          <w:tcPr>
            <w:tcW w:w="68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4,540,371</w:t>
            </w:r>
          </w:p>
        </w:tc>
        <w:tc>
          <w:tcPr>
            <w:tcW w:w="180" w:type="dxa"/>
            <w:vAlign w:val="bottom"/>
          </w:tcPr>
          <w:p>
            <w:pPr>
              <w:spacing w:after="0"/>
              <w:rPr>
                <w:sz w:val="18"/>
                <w:szCs w:val="18"/>
                <w:color w:val="auto"/>
              </w:rPr>
            </w:pPr>
          </w:p>
        </w:tc>
        <w:tc>
          <w:tcPr>
            <w:tcW w:w="56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4,196,139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Federal Income taxes</w:t>
            </w:r>
          </w:p>
        </w:tc>
        <w:tc>
          <w:tcPr>
            <w:tcW w:w="2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6,436,909</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8,070,000</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Income taxes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101,596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 Cash Investing and Financing Activities: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680" w:type="dxa"/>
            <w:vAlign w:val="bottom"/>
            <w:gridSpan w:val="2"/>
            <w:shd w:val="clear" w:color="auto" w:fill="DEDED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2,582,742</w:t>
            </w:r>
          </w:p>
        </w:tc>
        <w:tc>
          <w:tcPr>
            <w:tcW w:w="180" w:type="dxa"/>
            <w:vAlign w:val="bottom"/>
            <w:shd w:val="clear" w:color="auto" w:fill="DEDEDE"/>
          </w:tcPr>
          <w:p>
            <w:pPr>
              <w:spacing w:after="0"/>
              <w:rPr>
                <w:sz w:val="18"/>
                <w:szCs w:val="18"/>
                <w:color w:val="auto"/>
              </w:rPr>
            </w:pPr>
          </w:p>
        </w:tc>
        <w:tc>
          <w:tcPr>
            <w:tcW w:w="560" w:type="dxa"/>
            <w:vAlign w:val="bottom"/>
            <w:gridSpan w:val="2"/>
            <w:shd w:val="clear" w:color="auto" w:fill="DEDEDE"/>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1,770,873</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Fixed maturity securities available for sale transferred into other investments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Mortgage loans held for investment foreclosed into real estate held for sale</w:t>
            </w:r>
          </w:p>
        </w:tc>
        <w:tc>
          <w:tcPr>
            <w:tcW w:w="2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874,087</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671,480</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 foreclosed into real estate held for sale</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858,977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liabilities</w:t>
            </w:r>
          </w:p>
        </w:tc>
        <w:tc>
          <w:tcPr>
            <w:tcW w:w="2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176,040</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Loans held for sale foreclosed into receivables</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Reconciliation of cash, cash equivalents, restricted cash and restricted cash equivalents as shown in the consolidated statements of cash flows is presented in the table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6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4"/>
        </w:trPr>
        <w:tc>
          <w:tcPr>
            <w:tcW w:w="6980" w:type="dxa"/>
            <w:vAlign w:val="bottom"/>
            <w:tcBorders>
              <w:bottom w:val="single" w:sz="8" w:color="DEDEDE"/>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DEDEDE"/>
            </w:tcBorders>
          </w:tcPr>
          <w:p>
            <w:pPr>
              <w:spacing w:after="0"/>
              <w:rPr>
                <w:sz w:val="19"/>
                <w:szCs w:val="19"/>
                <w:color w:val="auto"/>
              </w:rPr>
            </w:pPr>
          </w:p>
        </w:tc>
        <w:tc>
          <w:tcPr>
            <w:tcW w:w="20" w:type="dxa"/>
            <w:vAlign w:val="bottom"/>
            <w:tcBorders>
              <w:top w:val="single" w:sz="8" w:color="auto"/>
              <w:bottom w:val="single" w:sz="8" w:color="DEDEDE"/>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DEDEDE"/>
            </w:tcBorders>
          </w:tcPr>
          <w:p>
            <w:pPr>
              <w:spacing w:after="0"/>
              <w:rPr>
                <w:sz w:val="19"/>
                <w:szCs w:val="19"/>
                <w:color w:val="auto"/>
              </w:rPr>
            </w:pPr>
          </w:p>
        </w:tc>
      </w:tr>
      <w:tr>
        <w:trPr>
          <w:trHeight w:val="210"/>
        </w:trPr>
        <w:tc>
          <w:tcPr>
            <w:tcW w:w="69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DEDED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102,256,828</w:t>
            </w:r>
          </w:p>
        </w:tc>
        <w:tc>
          <w:tcPr>
            <w:tcW w:w="3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400" w:type="dxa"/>
            <w:vAlign w:val="bottom"/>
            <w:shd w:val="clear" w:color="auto" w:fill="DEDEDE"/>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140,546,421</w:t>
            </w:r>
          </w:p>
        </w:tc>
        <w:tc>
          <w:tcPr>
            <w:tcW w:w="120" w:type="dxa"/>
            <w:vAlign w:val="bottom"/>
            <w:shd w:val="clear" w:color="auto" w:fill="DEDEDE"/>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9,919,800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8,553,803</w:t>
            </w:r>
          </w:p>
        </w:tc>
        <w:tc>
          <w:tcPr>
            <w:tcW w:w="120" w:type="dxa"/>
            <w:vAlign w:val="bottom"/>
          </w:tcPr>
          <w:p>
            <w:pPr>
              <w:spacing w:after="0"/>
              <w:rPr>
                <w:sz w:val="18"/>
                <w:szCs w:val="18"/>
                <w:color w:val="auto"/>
              </w:rPr>
            </w:pPr>
          </w:p>
        </w:tc>
      </w:tr>
      <w:tr>
        <w:trPr>
          <w:trHeight w:val="230"/>
        </w:trPr>
        <w:tc>
          <w:tcPr>
            <w:tcW w:w="69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Cemetery perpetual care trust investments</w:t>
            </w:r>
          </w:p>
        </w:tc>
        <w:tc>
          <w:tcPr>
            <w:tcW w:w="420" w:type="dxa"/>
            <w:vAlign w:val="bottom"/>
            <w:tcBorders>
              <w:bottom w:val="single" w:sz="8" w:color="auto"/>
            </w:tcBorders>
            <w:shd w:val="clear" w:color="auto" w:fill="DEDEDE"/>
          </w:tcPr>
          <w:p>
            <w:pPr>
              <w:spacing w:after="0"/>
              <w:rPr>
                <w:sz w:val="19"/>
                <w:szCs w:val="19"/>
                <w:color w:val="auto"/>
              </w:rPr>
            </w:pPr>
          </w:p>
        </w:tc>
        <w:tc>
          <w:tcPr>
            <w:tcW w:w="15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1,935,480</w:t>
            </w:r>
          </w:p>
        </w:tc>
        <w:tc>
          <w:tcPr>
            <w:tcW w:w="32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400" w:type="dxa"/>
            <w:vAlign w:val="bottom"/>
            <w:tcBorders>
              <w:bottom w:val="single" w:sz="8" w:color="auto"/>
            </w:tcBorders>
            <w:shd w:val="clear" w:color="auto" w:fill="DEDEDE"/>
          </w:tcPr>
          <w:p>
            <w:pPr>
              <w:spacing w:after="0"/>
              <w:rPr>
                <w:sz w:val="19"/>
                <w:szCs w:val="19"/>
                <w:color w:val="auto"/>
              </w:rPr>
            </w:pPr>
          </w:p>
        </w:tc>
        <w:tc>
          <w:tcPr>
            <w:tcW w:w="14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1,002,396</w:t>
            </w:r>
          </w:p>
        </w:tc>
        <w:tc>
          <w:tcPr>
            <w:tcW w:w="120" w:type="dxa"/>
            <w:vAlign w:val="bottom"/>
            <w:shd w:val="clear" w:color="auto" w:fill="DEDEDE"/>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restricted cash and restricted cash equivalents</w:t>
            </w: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114,112,108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150,102,620</w:t>
            </w:r>
          </w:p>
        </w:tc>
        <w:tc>
          <w:tcPr>
            <w:tcW w:w="12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2240" w:h="15840" w:orient="portrait"/>
          <w:cols w:equalWidth="0" w:num="1">
            <w:col w:w="11240"/>
          </w:cols>
          <w:pgMar w:left="500" w:top="687" w:right="500" w:bottom="0" w:gutter="0" w:footer="0" w:header="0"/>
        </w:sectPr>
      </w:pPr>
    </w:p>
    <w:bookmarkStart w:id="38" w:name="page39"/>
    <w:bookmarkEnd w:id="38"/>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General Overview of Business</w:t>
      </w:r>
    </w:p>
    <w:p>
      <w:pPr>
        <w:spacing w:after="0" w:line="228"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Security National Financial Corporation and its wholly owned subsidiaries (the “Company”) operate in three reportable business segments: life insurance, cemetery and mortuary, and mortgages. The life insurance segment is engaged in the business of selling and servicing selected lines of life insurance and annuity products marketed primarily in the states located in western, mid-western and southern regions of the United States. The cemetery and mortuary segment of the Company consists of eleven mortuaries and five cemeteries in Utah, one cemetery in California, and four mortuaries and one cemetery in New Mexico. The mortgage segment is an approved government and conventional lender that originates and underwrites residential and commercial loans for new construction, existing homes, and real estate projects primarily in Arizona, California, Florida, Texas, and Utah.</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8"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(“GAAP”).</w:t>
      </w:r>
    </w:p>
    <w:p>
      <w:pPr>
        <w:spacing w:after="0" w:line="15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228"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These consolidated financial statements include the financial statements of the Company and its wholly owned subsidiaries. All intercompany transactions and accounts have been eliminated in consolidation.</w:t>
      </w:r>
    </w:p>
    <w:p>
      <w:pPr>
        <w:spacing w:after="0" w:line="15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Management of the Company has made several estimates and assumptions related to the reported amounts of assets and liabilities, reported amounts of revenues and expenses, and the disclosure of contingent assets and liabilities to prepare these financial statements in conformity with GAAP. Actual results could differ from those estimates.</w:t>
      </w:r>
    </w:p>
    <w:p>
      <w:pPr>
        <w:spacing w:after="0" w:line="176"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liability for future policy benefits; those used in determining the value of loans held for sale; and those used in determining loan loss reserve. Although some variability is inherent in these estimates, management believes the amounts provided are fairly stated in all material respects.</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Certain prior-period amounts have been reclassified to conform to the current-period presentation.</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228"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Company’s management determines the appropriate classifications of investments in fixed maturity securities and equity securities at the acquisition date and re-evaluates the classifications at each balance sheet date.</w:t>
      </w:r>
    </w:p>
    <w:p>
      <w:pPr>
        <w:spacing w:after="0" w:line="162"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u w:val="single" w:color="auto"/>
          <w:color w:val="auto"/>
        </w:rPr>
        <w:t>Fixed maturity securities available for sale</w:t>
      </w:r>
      <w:r>
        <w:rPr>
          <w:rFonts w:ascii="Times New Roman" w:cs="Times New Roman" w:eastAsia="Times New Roman" w:hAnsi="Times New Roman"/>
          <w:sz w:val="18"/>
          <w:szCs w:val="18"/>
          <w:color w:val="auto"/>
        </w:rPr>
        <w:t xml:space="preserve"> are carried at estimated fair value. Changes in fair values are reported as unrealized gains or losses and are recorded in accumulated other comprehensive income (loss).</w:t>
      </w:r>
    </w:p>
    <w:p>
      <w:pPr>
        <w:spacing w:after="0" w:line="160"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u w:val="single" w:color="auto"/>
          <w:color w:val="auto"/>
        </w:rPr>
        <w:t>Equity securities</w:t>
      </w:r>
      <w:r>
        <w:rPr>
          <w:rFonts w:ascii="Times New Roman" w:cs="Times New Roman" w:eastAsia="Times New Roman" w:hAnsi="Times New Roman"/>
          <w:sz w:val="18"/>
          <w:szCs w:val="18"/>
          <w:color w:val="auto"/>
        </w:rPr>
        <w:t xml:space="preserve"> are carried at estimated fair value. Changes in fair values are reported as unrealized gains or losses and are recorded through net earnings as a component of gains (losses) on investments and other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11</w:t>
      </w:r>
    </w:p>
    <w:p>
      <w:pPr>
        <w:sectPr>
          <w:pgSz w:w="12240" w:h="15840" w:orient="portrait"/>
          <w:cols w:equalWidth="0" w:num="1">
            <w:col w:w="11242"/>
          </w:cols>
          <w:pgMar w:left="498" w:top="687" w:right="500" w:bottom="0" w:gutter="0" w:footer="0" w:header="0"/>
        </w:sectPr>
      </w:pPr>
    </w:p>
    <w:bookmarkStart w:id="39" w:name="page40"/>
    <w:bookmarkEnd w:id="39"/>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u w:val="single" w:color="auto"/>
          <w:color w:val="auto"/>
        </w:rPr>
        <w:t>Mortgage loans held for investment</w:t>
      </w:r>
      <w:r>
        <w:rPr>
          <w:rFonts w:ascii="Times New Roman" w:cs="Times New Roman" w:eastAsia="Times New Roman" w:hAnsi="Times New Roman"/>
          <w:sz w:val="18"/>
          <w:szCs w:val="18"/>
          <w:color w:val="auto"/>
        </w:rPr>
        <w:t xml:space="preserve"> are carried at their unpaid principal balances adjusted for net deferred fees, charge-offs, premiums, discounts, and the related allowance for credit losses. Interest income is included in net investment income on the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consolidated statements of earnings. Mortgage loans are secured by the underlying property and require an appraisal at the time of underwriting and funding. Generally, the Company requires that loans not exceed 80% of the fair market value of the respective loan collateral. For loans of more than 80% of the fair market value of the respective loan collateral, additional collateral or mortgage insurance by an approved third-party insurer is required.</w:t>
      </w:r>
    </w:p>
    <w:p>
      <w:pPr>
        <w:spacing w:after="0" w:line="189"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Real estate held for investment</w:t>
      </w:r>
      <w:r>
        <w:rPr>
          <w:rFonts w:ascii="Times New Roman" w:cs="Times New Roman" w:eastAsia="Times New Roman" w:hAnsi="Times New Roman"/>
          <w:sz w:val="18"/>
          <w:szCs w:val="18"/>
          <w:color w:val="auto"/>
        </w:rPr>
        <w:t xml:space="preserve"> is carried at cost, less accumulated depreciation provided on a straight-line basis over the estimated useful lives of the properties or is adjusted to a new basis for impairment in value, if any. Included, if any, are foreclosed properties. These properties are recorded at the lower of cost or fair value upon foreclosure. Also, included is residential subdivision land development which is carried at cost.</w:t>
      </w:r>
    </w:p>
    <w:p>
      <w:pPr>
        <w:spacing w:after="0" w:line="176"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u w:val="single" w:color="auto"/>
          <w:color w:val="auto"/>
        </w:rPr>
        <w:t>Real estate held for sale</w:t>
      </w:r>
      <w:r>
        <w:rPr>
          <w:rFonts w:ascii="Times New Roman" w:cs="Times New Roman" w:eastAsia="Times New Roman" w:hAnsi="Times New Roman"/>
          <w:sz w:val="18"/>
          <w:szCs w:val="18"/>
          <w:color w:val="auto"/>
        </w:rPr>
        <w:t xml:space="preserve"> is carried at lower of cost or fair value, less estimated costs to sell. Included, if any, are foreclosed properties. These properties are recorded at the lower of cost or fair value upon foreclosure. Depreciation is not recognized on real estate classified as held for sale.</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Other investments and policy loans</w:t>
      </w:r>
      <w:r>
        <w:rPr>
          <w:rFonts w:ascii="Times New Roman" w:cs="Times New Roman" w:eastAsia="Times New Roman" w:hAnsi="Times New Roman"/>
          <w:sz w:val="18"/>
          <w:szCs w:val="18"/>
          <w:color w:val="auto"/>
        </w:rPr>
        <w:t xml:space="preserve"> are carried at the aggregate unpaid balances, less allowances for credit losses.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Accrued investment income</w:t>
      </w:r>
      <w:r>
        <w:rPr>
          <w:rFonts w:ascii="Times New Roman" w:cs="Times New Roman" w:eastAsia="Times New Roman" w:hAnsi="Times New Roman"/>
          <w:sz w:val="18"/>
          <w:szCs w:val="18"/>
          <w:color w:val="auto"/>
        </w:rPr>
        <w:t xml:space="preserve"> refers to the income earned from investments that has not yet been received by the Company.</w:t>
      </w:r>
    </w:p>
    <w:p>
      <w:pPr>
        <w:spacing w:after="0" w:line="225"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u w:val="single" w:color="auto"/>
          <w:color w:val="auto"/>
        </w:rPr>
        <w:t>Gains (losses) on investments (except for equity securities carried at fair value through net earnings)</w:t>
      </w:r>
      <w:r>
        <w:rPr>
          <w:rFonts w:ascii="Times New Roman" w:cs="Times New Roman" w:eastAsia="Times New Roman" w:hAnsi="Times New Roman"/>
          <w:sz w:val="18"/>
          <w:szCs w:val="18"/>
          <w:color w:val="auto"/>
        </w:rPr>
        <w:t xml:space="preserve"> arise when investments are sold and are recorded on the trade date and the cost of the securities sold is determined using the specific identification method. The provision (release) for credit losses for fixed maturity securities available for sale are also included in gains (losses) on investments. See Note 2 for more information regarding the Company’s evaluation of credit losses.</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instruments purchased with an original maturity of three months or less to be cash equivalents. The Company maintains its cash in bank deposit accounts, which at times exceed federally insured limits. The Company has not experienced any losses in such accounts and believes it is not exposed to any significant credit risk on cash and cash equivalents.</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228"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Accounting Standards Codification (“ASC”)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The Company believes the fair value option most closely aligns the timing of the recognition of gains and costs. These loans are intended for sale and the Company believes that fair value is the best indicator of the resolution of these loans. Electing fair value also reduces certain timing differences and better matches changes in the fair value of these assets with changes in the fair value of the related derivatives used for these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12</w:t>
      </w:r>
    </w:p>
    <w:p>
      <w:pPr>
        <w:sectPr>
          <w:pgSz w:w="12240" w:h="15840" w:orient="portrait"/>
          <w:cols w:equalWidth="0" w:num="1">
            <w:col w:w="11242"/>
          </w:cols>
          <w:pgMar w:left="498" w:top="687" w:right="500" w:bottom="0" w:gutter="0" w:footer="0" w:header="0"/>
        </w:sectPr>
      </w:pPr>
    </w:p>
    <w:bookmarkStart w:id="40" w:name="page41"/>
    <w:bookmarkEnd w:id="40"/>
    <w:p>
      <w:pPr>
        <w:jc w:val="center"/>
        <w:ind w:right="3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Company, through its mortgage subsidiary, sells mortgage loans to third-party investors without recourse unless defects are identified in the representations and warranties made at loan sale. It may be required, however, to repurchase a loan or pay a fee instead of repurchasing under certain events, which include the following:</w:t>
      </w:r>
    </w:p>
    <w:p>
      <w:pPr>
        <w:spacing w:after="0" w:line="176" w:lineRule="exact"/>
        <w:rPr>
          <w:sz w:val="20"/>
          <w:szCs w:val="20"/>
          <w:color w:val="auto"/>
        </w:rPr>
      </w:pPr>
    </w:p>
    <w:p>
      <w:pPr>
        <w:ind w:left="682" w:hanging="223"/>
        <w:spacing w:after="0"/>
        <w:tabs>
          <w:tab w:leader="none" w:pos="6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original documents specified by the investor,</w:t>
      </w:r>
    </w:p>
    <w:p>
      <w:pPr>
        <w:spacing w:after="0" w:line="8" w:lineRule="exact"/>
        <w:rPr>
          <w:rFonts w:ascii="Times New Roman" w:cs="Times New Roman" w:eastAsia="Times New Roman" w:hAnsi="Times New Roman"/>
          <w:sz w:val="18"/>
          <w:szCs w:val="18"/>
          <w:color w:val="auto"/>
        </w:rPr>
      </w:pPr>
    </w:p>
    <w:p>
      <w:pPr>
        <w:ind w:left="682" w:hanging="223"/>
        <w:spacing w:after="0"/>
        <w:tabs>
          <w:tab w:leader="none" w:pos="6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misrepresentation or fraud in the origination of the loan,</w:t>
      </w:r>
    </w:p>
    <w:p>
      <w:pPr>
        <w:spacing w:after="0" w:line="8" w:lineRule="exact"/>
        <w:rPr>
          <w:rFonts w:ascii="Times New Roman" w:cs="Times New Roman" w:eastAsia="Times New Roman" w:hAnsi="Times New Roman"/>
          <w:sz w:val="18"/>
          <w:szCs w:val="18"/>
          <w:color w:val="auto"/>
        </w:rPr>
      </w:pPr>
    </w:p>
    <w:p>
      <w:pPr>
        <w:ind w:left="682" w:hanging="223"/>
        <w:spacing w:after="0"/>
        <w:tabs>
          <w:tab w:leader="none" w:pos="6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becomes delinquent due to nonpayment during the first several months after it is sold,</w:t>
      </w:r>
    </w:p>
    <w:p>
      <w:pPr>
        <w:spacing w:after="0" w:line="8" w:lineRule="exact"/>
        <w:rPr>
          <w:rFonts w:ascii="Times New Roman" w:cs="Times New Roman" w:eastAsia="Times New Roman" w:hAnsi="Times New Roman"/>
          <w:sz w:val="18"/>
          <w:szCs w:val="18"/>
          <w:color w:val="auto"/>
        </w:rPr>
      </w:pPr>
    </w:p>
    <w:p>
      <w:pPr>
        <w:ind w:left="682" w:hanging="223"/>
        <w:spacing w:after="0"/>
        <w:tabs>
          <w:tab w:leader="none" w:pos="6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pay-off of a loan, as defined by the agreements,</w:t>
      </w:r>
    </w:p>
    <w:p>
      <w:pPr>
        <w:spacing w:after="0" w:line="8" w:lineRule="exact"/>
        <w:rPr>
          <w:rFonts w:ascii="Times New Roman" w:cs="Times New Roman" w:eastAsia="Times New Roman" w:hAnsi="Times New Roman"/>
          <w:sz w:val="18"/>
          <w:szCs w:val="18"/>
          <w:color w:val="auto"/>
        </w:rPr>
      </w:pPr>
    </w:p>
    <w:p>
      <w:pPr>
        <w:ind w:left="682" w:hanging="223"/>
        <w:spacing w:after="0"/>
        <w:tabs>
          <w:tab w:leader="none" w:pos="6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Excessive time to settle a loan,</w:t>
      </w:r>
    </w:p>
    <w:p>
      <w:pPr>
        <w:spacing w:after="0" w:line="8" w:lineRule="exact"/>
        <w:rPr>
          <w:rFonts w:ascii="Times New Roman" w:cs="Times New Roman" w:eastAsia="Times New Roman" w:hAnsi="Times New Roman"/>
          <w:sz w:val="18"/>
          <w:szCs w:val="18"/>
          <w:color w:val="auto"/>
        </w:rPr>
      </w:pPr>
    </w:p>
    <w:p>
      <w:pPr>
        <w:ind w:left="682" w:hanging="223"/>
        <w:spacing w:after="0"/>
        <w:tabs>
          <w:tab w:leader="none" w:pos="6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declines purchase, and</w:t>
      </w:r>
    </w:p>
    <w:p>
      <w:pPr>
        <w:spacing w:after="0" w:line="8" w:lineRule="exact"/>
        <w:rPr>
          <w:rFonts w:ascii="Times New Roman" w:cs="Times New Roman" w:eastAsia="Times New Roman" w:hAnsi="Times New Roman"/>
          <w:sz w:val="18"/>
          <w:szCs w:val="18"/>
          <w:color w:val="auto"/>
        </w:rPr>
      </w:pPr>
    </w:p>
    <w:p>
      <w:pPr>
        <w:ind w:left="682" w:hanging="223"/>
        <w:spacing w:after="0"/>
        <w:tabs>
          <w:tab w:leader="none" w:pos="68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Discontinued product and expired commitment.</w:t>
      </w:r>
    </w:p>
    <w:p>
      <w:pPr>
        <w:spacing w:after="0" w:line="225" w:lineRule="exact"/>
        <w:rPr>
          <w:sz w:val="20"/>
          <w:szCs w:val="20"/>
          <w:color w:val="auto"/>
        </w:rPr>
      </w:pPr>
    </w:p>
    <w:p>
      <w:pPr>
        <w:jc w:val="both"/>
        <w:ind w:left="2"/>
        <w:spacing w:after="0" w:line="283" w:lineRule="auto"/>
        <w:rPr>
          <w:sz w:val="20"/>
          <w:szCs w:val="20"/>
          <w:color w:val="auto"/>
        </w:rPr>
      </w:pPr>
      <w:r>
        <w:rPr>
          <w:rFonts w:ascii="Times New Roman" w:cs="Times New Roman" w:eastAsia="Times New Roman" w:hAnsi="Times New Roman"/>
          <w:sz w:val="18"/>
          <w:szCs w:val="18"/>
          <w:color w:val="auto"/>
        </w:rPr>
        <w:t>Loan purchase commitments generally specify a date 30 to 45 days after delivery upon which the underlying loans should be settled. Depending on market conditions, these commitment settlement dates can be extended at a cost to the Company.</w:t>
      </w:r>
    </w:p>
    <w:p>
      <w:pPr>
        <w:spacing w:after="0" w:line="160"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It is the Company’s policy to cure any documentation problems regarding such loans at a minimal cost for up to a six-month period and to pursue efforts to enforce loan purchase commitments from third-party investors concerning the loans. The Company believes that six months allows adequate time to remedy any documentation issues, to enforce purchase commitments, and to exhaust other alternatives. Remedial methods include the following:</w:t>
      </w:r>
    </w:p>
    <w:p>
      <w:pPr>
        <w:spacing w:after="0" w:line="176" w:lineRule="exact"/>
        <w:rPr>
          <w:sz w:val="20"/>
          <w:szCs w:val="20"/>
          <w:color w:val="auto"/>
        </w:rPr>
      </w:pPr>
    </w:p>
    <w:p>
      <w:pPr>
        <w:ind w:left="682" w:hanging="223"/>
        <w:spacing w:after="0"/>
        <w:tabs>
          <w:tab w:leader="none" w:pos="6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reasons for rejection,</w:t>
      </w:r>
    </w:p>
    <w:p>
      <w:pPr>
        <w:spacing w:after="0" w:line="8" w:lineRule="exact"/>
        <w:rPr>
          <w:rFonts w:ascii="Times New Roman" w:cs="Times New Roman" w:eastAsia="Times New Roman" w:hAnsi="Times New Roman"/>
          <w:sz w:val="18"/>
          <w:szCs w:val="18"/>
          <w:color w:val="auto"/>
        </w:rPr>
      </w:pPr>
    </w:p>
    <w:p>
      <w:pPr>
        <w:ind w:left="682" w:hanging="223"/>
        <w:spacing w:after="0"/>
        <w:tabs>
          <w:tab w:leader="none" w:pos="6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additional documents,</w:t>
      </w:r>
    </w:p>
    <w:p>
      <w:pPr>
        <w:spacing w:after="0" w:line="8" w:lineRule="exact"/>
        <w:rPr>
          <w:rFonts w:ascii="Times New Roman" w:cs="Times New Roman" w:eastAsia="Times New Roman" w:hAnsi="Times New Roman"/>
          <w:sz w:val="18"/>
          <w:szCs w:val="18"/>
          <w:color w:val="auto"/>
        </w:rPr>
      </w:pPr>
    </w:p>
    <w:p>
      <w:pPr>
        <w:ind w:left="682" w:hanging="223"/>
        <w:spacing w:after="0"/>
        <w:tabs>
          <w:tab w:leader="none" w:pos="6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investor exceptions,</w:t>
      </w:r>
    </w:p>
    <w:p>
      <w:pPr>
        <w:spacing w:after="0" w:line="8" w:lineRule="exact"/>
        <w:rPr>
          <w:rFonts w:ascii="Times New Roman" w:cs="Times New Roman" w:eastAsia="Times New Roman" w:hAnsi="Times New Roman"/>
          <w:sz w:val="18"/>
          <w:szCs w:val="18"/>
          <w:color w:val="auto"/>
        </w:rPr>
      </w:pPr>
    </w:p>
    <w:p>
      <w:pPr>
        <w:ind w:left="682" w:hanging="223"/>
        <w:spacing w:after="0"/>
        <w:tabs>
          <w:tab w:leader="none" w:pos="6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Appeal rejection decision to purchase committee, and</w:t>
      </w:r>
    </w:p>
    <w:p>
      <w:pPr>
        <w:spacing w:after="0" w:line="8" w:lineRule="exact"/>
        <w:rPr>
          <w:rFonts w:ascii="Times New Roman" w:cs="Times New Roman" w:eastAsia="Times New Roman" w:hAnsi="Times New Roman"/>
          <w:sz w:val="18"/>
          <w:szCs w:val="18"/>
          <w:color w:val="auto"/>
        </w:rPr>
      </w:pPr>
    </w:p>
    <w:p>
      <w:pPr>
        <w:ind w:left="682" w:hanging="223"/>
        <w:spacing w:after="0"/>
        <w:tabs>
          <w:tab w:leader="none" w:pos="68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 to secondary investors.</w:t>
      </w:r>
    </w:p>
    <w:p>
      <w:pPr>
        <w:spacing w:after="0" w:line="225"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Once purchase commitments have expired and other alternatives to remedy are exhausted, which could be earlier than the six-month period, the loans are referred to as scratch and dent, within the loans held for sale portfolio. Any previously recognized gain-on-sale or mortgage fee income related to the loan is reversed through earnings. Scratch and dent loans are recorded at fair value. The Company may reclassify a scratch and dent loan to mortgage loans held for investment. At that time, the Company establishes an allowance for credit losses in accordance with the current expected credit loss (“CECL”) model over the contractual term of the loan. The allowance is updated each reporting period based on changes in credit quality, including delinquency status.</w:t>
      </w:r>
    </w:p>
    <w:p>
      <w:pPr>
        <w:spacing w:after="0" w:line="1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Determining Fair Value</w:t>
      </w:r>
    </w:p>
    <w:p>
      <w:pPr>
        <w:spacing w:after="0" w:line="225" w:lineRule="exact"/>
        <w:rPr>
          <w:sz w:val="20"/>
          <w:szCs w:val="20"/>
          <w:color w:val="auto"/>
        </w:rPr>
      </w:pPr>
    </w:p>
    <w:p>
      <w:pPr>
        <w:jc w:val="both"/>
        <w:ind w:left="2"/>
        <w:spacing w:after="0" w:line="283" w:lineRule="auto"/>
        <w:rPr>
          <w:sz w:val="20"/>
          <w:szCs w:val="20"/>
          <w:color w:val="auto"/>
        </w:rPr>
      </w:pPr>
      <w:r>
        <w:rPr>
          <w:rFonts w:ascii="Times New Roman" w:cs="Times New Roman" w:eastAsia="Times New Roman" w:hAnsi="Times New Roman"/>
          <w:sz w:val="18"/>
          <w:szCs w:val="18"/>
          <w:color w:val="auto"/>
        </w:rPr>
        <w:t>The cost for loans held for sale is equal to the amount paid to the warehouse bank and the amount originally funded by the Company. Fair value is often difficult to determine and may contain significant unobservable inputs, but is based on the following guidelines:</w:t>
      </w:r>
    </w:p>
    <w:p>
      <w:pPr>
        <w:spacing w:after="0" w:line="160" w:lineRule="exact"/>
        <w:rPr>
          <w:sz w:val="20"/>
          <w:szCs w:val="20"/>
          <w:color w:val="auto"/>
        </w:rPr>
      </w:pPr>
    </w:p>
    <w:p>
      <w:pPr>
        <w:ind w:left="682" w:hanging="223"/>
        <w:spacing w:after="0"/>
        <w:tabs>
          <w:tab w:leader="none" w:pos="6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committed, the Company uses the commitment price.</w:t>
      </w:r>
    </w:p>
    <w:p>
      <w:pPr>
        <w:spacing w:after="0" w:line="8" w:lineRule="exact"/>
        <w:rPr>
          <w:rFonts w:ascii="Times New Roman" w:cs="Times New Roman" w:eastAsia="Times New Roman" w:hAnsi="Times New Roman"/>
          <w:sz w:val="18"/>
          <w:szCs w:val="18"/>
          <w:color w:val="auto"/>
        </w:rPr>
      </w:pPr>
    </w:p>
    <w:p>
      <w:pPr>
        <w:ind w:left="682" w:hanging="223"/>
        <w:spacing w:after="0"/>
        <w:tabs>
          <w:tab w:leader="none" w:pos="6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that have an active market, the Company uses the market price.</w:t>
      </w:r>
    </w:p>
    <w:p>
      <w:pPr>
        <w:spacing w:after="0" w:line="8" w:lineRule="exact"/>
        <w:rPr>
          <w:rFonts w:ascii="Times New Roman" w:cs="Times New Roman" w:eastAsia="Times New Roman" w:hAnsi="Times New Roman"/>
          <w:sz w:val="18"/>
          <w:szCs w:val="18"/>
          <w:color w:val="auto"/>
        </w:rPr>
      </w:pPr>
    </w:p>
    <w:p>
      <w:pPr>
        <w:ind w:left="682" w:hanging="223"/>
        <w:spacing w:after="0"/>
        <w:tabs>
          <w:tab w:leader="none" w:pos="6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where there is no market but there is a similar product, the Company uses the fair value for the similar product.</w:t>
      </w:r>
    </w:p>
    <w:p>
      <w:pPr>
        <w:spacing w:after="0" w:line="8" w:lineRule="exact"/>
        <w:rPr>
          <w:rFonts w:ascii="Times New Roman" w:cs="Times New Roman" w:eastAsia="Times New Roman" w:hAnsi="Times New Roman"/>
          <w:sz w:val="18"/>
          <w:szCs w:val="18"/>
          <w:color w:val="auto"/>
        </w:rPr>
      </w:pPr>
    </w:p>
    <w:p>
      <w:pPr>
        <w:ind w:left="682" w:hanging="223"/>
        <w:spacing w:after="0" w:line="283" w:lineRule="auto"/>
        <w:tabs>
          <w:tab w:leader="none" w:pos="68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loans that are non-committed where no active market exists, the Company determines that the unpaid principal balance best approximates the fair value, after considering the fair value of the underlying real estate collateral, estimated future cash flows, and the loan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13</w:t>
      </w:r>
    </w:p>
    <w:p>
      <w:pPr>
        <w:sectPr>
          <w:pgSz w:w="12240" w:h="15840" w:orient="portrait"/>
          <w:cols w:equalWidth="0" w:num="1">
            <w:col w:w="11222"/>
          </w:cols>
          <w:pgMar w:left="498" w:top="687" w:right="520" w:bottom="0" w:gutter="0" w:footer="0" w:header="0"/>
        </w:sectPr>
      </w:pPr>
    </w:p>
    <w:bookmarkStart w:id="41" w:name="page42"/>
    <w:bookmarkEnd w:id="41"/>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The appraised value of the real estate underlying the original mortgage loan adds support to the Company’s determination of fair value because if the loan becomes delinquent the Company has sufficient value to collect the unpaid principal balance or the carrying value of the loan, thus minimizing credit losses. Most loans originated are sold to third-party investors. The amounts expected to be sold to investors are shown on the consolidated balance sheets as loans held for sale.</w:t>
      </w:r>
    </w:p>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other income related to the origination and sale of mortgage loans held for sale. All revenues and costs are recognized when the mortgage loan is funded and any changes in fair value are shown as a component of mortgage fee income.</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See Note 3 and Note 21 for additional disclosures regarding loans held for sale and mortgage fee income.</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Loan Loss Reserve</w:t>
      </w:r>
    </w:p>
    <w:p>
      <w:pPr>
        <w:spacing w:after="0" w:line="228" w:lineRule="exact"/>
        <w:rPr>
          <w:sz w:val="20"/>
          <w:szCs w:val="20"/>
          <w:color w:val="auto"/>
        </w:rPr>
      </w:pPr>
    </w:p>
    <w:p>
      <w:pPr>
        <w:jc w:val="both"/>
        <w:ind w:left="2" w:right="20"/>
        <w:spacing w:after="0" w:line="277" w:lineRule="auto"/>
        <w:rPr>
          <w:sz w:val="20"/>
          <w:szCs w:val="20"/>
          <w:color w:val="auto"/>
        </w:rPr>
      </w:pPr>
      <w:r>
        <w:rPr>
          <w:rFonts w:ascii="Times New Roman" w:cs="Times New Roman" w:eastAsia="Times New Roman" w:hAnsi="Times New Roman"/>
          <w:sz w:val="17"/>
          <w:szCs w:val="17"/>
          <w:color w:val="auto"/>
        </w:rPr>
        <w:t>The loan loss reserve, included in other liabilities and accrued expenses on the consolidated balance sheets, is an estimate of probable losses at the balance sheet date that the Company will realize in the future on loans sold to third-party investors classified as loans held for sale on the consolidated balance sheets. The Company may be required to reimburse third-party investors for costs associated with early payoff of loans within six months of origination of such loans and to repurchase loans where there is a default, in any, of the first four monthly payments to the investors or, in lieu of repurchase, to pay a negotiated fee to the investors. The Company’s estimates are based upon historical loss experience and the best estimate of the probable loan loss liabilities.</w:t>
      </w:r>
    </w:p>
    <w:p>
      <w:pPr>
        <w:spacing w:after="0" w:line="168"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Upon completion of a transfer that satisfies the conditions to be accounted for as a sale, the Company initially measures at fair value liabilities incurred in a sale relating to any guarantee or recourse provisions in the event of defects in the representation and warranties made at loan sale. The Company accrues a monthly allowance for indemnification losses to investors based on total production. This estimate is based on the Company’s historical experience and is included as a component of mortgage fee income. Subsequent updates to the recorded liability from changes in assumptions are recorded in selling, general and administrative expenses as a component of provision for loan loss reserve. The estimated liability for indemnification losses is included in other liabilities and accrued expenses.</w:t>
      </w:r>
    </w:p>
    <w:p>
      <w:pPr>
        <w:spacing w:after="0" w:line="187"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loan loss reserve analysis involves mortgage loans that have been sold to third-party investors, which were believed to have met investor underwriting guidelines at the time of sale, where the Company has received a demand from the investor. There are generally three types of demands: make whole, repurchase, or indemnification. These types of demands are further described as follows:</w:t>
      </w:r>
    </w:p>
    <w:p>
      <w:pPr>
        <w:spacing w:after="0" w:line="173" w:lineRule="exact"/>
        <w:rPr>
          <w:sz w:val="20"/>
          <w:szCs w:val="20"/>
          <w:color w:val="auto"/>
        </w:rPr>
      </w:pPr>
    </w:p>
    <w:p>
      <w:pPr>
        <w:jc w:val="both"/>
        <w:ind w:left="642"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Make whole demand </w:t>
      </w:r>
      <w:r>
        <w:rPr>
          <w:rFonts w:ascii="Times New Roman" w:cs="Times New Roman" w:eastAsia="Times New Roman" w:hAnsi="Times New Roman"/>
          <w:sz w:val="18"/>
          <w:szCs w:val="18"/>
          <w:color w:val="auto"/>
        </w:rPr>
        <w:t>— A make whole demand occurs when an investor forecloses on a property and then sells the property. The make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is calculated as the difference between the original unpaid principal balance, payments received, accrued interest and fees, less the sale proceeds.</w:t>
      </w:r>
    </w:p>
    <w:p>
      <w:pPr>
        <w:spacing w:after="0" w:line="170" w:lineRule="exact"/>
        <w:rPr>
          <w:sz w:val="20"/>
          <w:szCs w:val="20"/>
          <w:color w:val="auto"/>
        </w:rPr>
      </w:pPr>
    </w:p>
    <w:p>
      <w:pPr>
        <w:jc w:val="both"/>
        <w:ind w:left="642" w:right="2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Repurchase demand </w:t>
      </w:r>
      <w:r>
        <w:rPr>
          <w:rFonts w:ascii="Times New Roman" w:cs="Times New Roman" w:eastAsia="Times New Roman" w:hAnsi="Times New Roman"/>
          <w:sz w:val="18"/>
          <w:szCs w:val="18"/>
          <w:color w:val="auto"/>
        </w:rPr>
        <w:t>— A repurchase demand usually occurs when there is a significant payment default, error in underwriting or detected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fraud.</w:t>
      </w:r>
    </w:p>
    <w:p>
      <w:pPr>
        <w:spacing w:after="0" w:line="155" w:lineRule="exact"/>
        <w:rPr>
          <w:sz w:val="20"/>
          <w:szCs w:val="20"/>
          <w:color w:val="auto"/>
        </w:rPr>
      </w:pPr>
    </w:p>
    <w:p>
      <w:pPr>
        <w:jc w:val="both"/>
        <w:ind w:left="642" w:right="2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Indemnification demand </w:t>
      </w:r>
      <w:r>
        <w:rPr>
          <w:rFonts w:ascii="Times New Roman" w:cs="Times New Roman" w:eastAsia="Times New Roman" w:hAnsi="Times New Roman"/>
          <w:sz w:val="18"/>
          <w:szCs w:val="18"/>
          <w:color w:val="auto"/>
        </w:rPr>
        <w:t>— On certain loans the Company has negotiated a set fee that is to be paid in lieu of repurchase. The fee varies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and by loan product type.</w:t>
      </w:r>
    </w:p>
    <w:p>
      <w:pPr>
        <w:spacing w:after="0" w:line="15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believes the loan loss reserve represents probable loan losses incurred as of the balance sheet date.</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Additional information related to the Loan Loss Reserve is included in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14</w:t>
      </w:r>
    </w:p>
    <w:p>
      <w:pPr>
        <w:sectPr>
          <w:pgSz w:w="12240" w:h="15840" w:orient="portrait"/>
          <w:cols w:equalWidth="0" w:num="1">
            <w:col w:w="11242"/>
          </w:cols>
          <w:pgMar w:left="498" w:top="687" w:right="500" w:bottom="0" w:gutter="0" w:footer="0" w:header="0"/>
        </w:sectPr>
      </w:pPr>
    </w:p>
    <w:bookmarkStart w:id="42" w:name="page43"/>
    <w:bookmarkEnd w:id="42"/>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Restricted Assets</w:t>
      </w:r>
    </w:p>
    <w:p>
      <w:pPr>
        <w:spacing w:after="0" w:line="228"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Restricted assets are assets held in a trust account for future mortuary services and merchandise. Restricted assets also include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funded its medical benefit safe-harbor limit based on the qualified direct costs and has included this amount as a component of restricted cash. Additional information related to restricted assets is included in Notes 2 and 5.</w:t>
      </w:r>
    </w:p>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Cemetery Perpetual Care Trust Investments</w:t>
      </w:r>
    </w:p>
    <w:p>
      <w:pPr>
        <w:spacing w:after="0" w:line="228"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Cemetery endowment care trusts have been set up for five of the seven cemeteries owned by the Company. Under endowment care arrangements a portion of the price for each lot sold is withheld and invested in a portfolio of investments like those described in the prior paragraph. The earnings stream from the investments is designed to fund future maintenance and upkeep of the cemetery. Additional information related to cemetery perpetual care trust investments is included in Notes 2 and 6.</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Cemetery Land and Improvements</w:t>
      </w:r>
    </w:p>
    <w:p>
      <w:pPr>
        <w:spacing w:after="0" w:line="22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development of a cemetery involves not only the initial acquisition of raw land but also the installation of roads, water lines, landscaping, and other costs to establish a marketable cemetery lot. The costs of developing the cemetery are shown as an asset on the balance sheet. The amount on the balance sheet is reduced by the total cost assigned to the development of a particular lot when the criterion for recognizing a sale of that lot is met.</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Mortgage Servicing Rights</w:t>
      </w:r>
    </w:p>
    <w:p>
      <w:pPr>
        <w:spacing w:after="0" w:line="228"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Mortgage Servicing Rights (“MSR”) arise from contractual agreements between the Company and third-party investors (or their agents) when mortgage loans are sold. Under these contracts, the Company retains and provides loan servicing functions on loans sold, in exchange for fees and other remuneration. The servicing functions typically performed include, among other responsibilities, collecting and remitting loan payments; responding to borrower inquiries; accounting for principal and interest, holding custodial (impound) funds for payment of property taxes and insurance premiums; counseling delinquent mortgagors; and supervising the acquisition of real estate owned and property dispositions.</w:t>
      </w:r>
    </w:p>
    <w:p>
      <w:pPr>
        <w:spacing w:after="0" w:line="183"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The total residential mortgage loans serviced for others consist primarily of agency conforming fixed-rate mortgage loans. The value of MSRs is derived from the net cash flows associated with the servicing contracts. The Company receives a servicing fee of generally about 0.25% annually on the remaining outstanding principal balances of the loans. Based on the result of the cash flow analysis, an asset or liability is recorded for mortgage servicing rights. The servicing fees are collected from the monthly payments made by the mortgagors. The Company generally receives other remuneration including rights to various mortgagor-contracted fees such as late charges, and collateral reconveyance charges and the Company is generally entitled to retain the interest earned on funds held pending remittance of mortgagor principal, interest, tax, and insurance payments. Contractual servicing fees and late fees are included in other revenues on the consolidated statements of earnings.</w:t>
      </w:r>
    </w:p>
    <w:p>
      <w:pPr>
        <w:spacing w:after="0" w:line="188" w:lineRule="exact"/>
        <w:rPr>
          <w:sz w:val="20"/>
          <w:szCs w:val="20"/>
          <w:color w:val="auto"/>
        </w:rPr>
      </w:pPr>
    </w:p>
    <w:p>
      <w:pPr>
        <w:jc w:val="both"/>
        <w:ind w:left="2" w:right="20"/>
        <w:spacing w:after="0" w:line="256" w:lineRule="auto"/>
        <w:rPr>
          <w:sz w:val="20"/>
          <w:szCs w:val="20"/>
          <w:color w:val="auto"/>
        </w:rPr>
      </w:pPr>
      <w:r>
        <w:rPr>
          <w:rFonts w:ascii="Times New Roman" w:cs="Times New Roman" w:eastAsia="Times New Roman" w:hAnsi="Times New Roman"/>
          <w:sz w:val="18"/>
          <w:szCs w:val="18"/>
          <w:color w:val="auto"/>
        </w:rPr>
        <w:t>The Company’s subsequent accounting for MSRs is based on the class of MSRs. The Company has identified two classes of MSRs: MSRs backed by mortgage loans with an initial term of 30 years and MSRs backed by mortgage loans with an initial term of 15 years. The Company distinguishes between these classes of MSRs due to their differing sensitivities to change in value as the result of changes in the market. 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15</w:t>
      </w:r>
    </w:p>
    <w:p>
      <w:pPr>
        <w:sectPr>
          <w:pgSz w:w="12240" w:h="15840" w:orient="portrait"/>
          <w:cols w:equalWidth="0" w:num="1">
            <w:col w:w="11242"/>
          </w:cols>
          <w:pgMar w:left="498" w:top="687" w:right="500" w:bottom="0" w:gutter="0" w:footer="0" w:header="0"/>
        </w:sectPr>
      </w:pPr>
    </w:p>
    <w:bookmarkStart w:id="43" w:name="page44"/>
    <w:bookmarkEnd w:id="43"/>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Interest rate risk, prepayment risk, and default risk are inherent risks in MSR valuation. Interest rate changes largely drive prepayment rates. Refinance activity generally increases as rates decline. A significant decrease in rates beyond expectation could cause a decline in the value of the MSR. On the contrary, if rates increase borrowers are less likely to refinance or prepay their mortgage, which extends the duration of the loan and MSR values are likely to rise. Because of these risks, discount rates and prepayment speeds are used to estimate the fair value.</w:t>
      </w:r>
    </w:p>
    <w:p>
      <w:pPr>
        <w:spacing w:after="0" w:line="179"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Company periodically assesses MSRs for impairment. Impairment occurs when the current fair value of the MSR falls below the carrying value (carrying value is the amortized cost reduced by any related valuation allowance). If MSRs are impaired, the impairment is recognized in current period earnings and the carrying value of the MSRs is adjusted through a valuation allowance.</w:t>
      </w:r>
    </w:p>
    <w:p>
      <w:pPr>
        <w:spacing w:after="0" w:line="176"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various loan strata to determine whether the value of the MSRs in each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Additional information related to MSRs is included in Note 7.</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Depreciation is calculated principally on the straight-line method over the estimated useful lives of the assets which range from three to forty years. Leasehold improvements paid for by the Company as a lessee are amortized over the lesser of the useful life or remaining lease terms. Additional information related to property and equipment is included in Note 8.</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Long-lived Assets</w:t>
      </w:r>
    </w:p>
    <w:p>
      <w:pPr>
        <w:spacing w:after="0" w:line="228"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Long-lived assets to be held and used, including property and equipment and real estate held for investment, are reviewed for impairment whenever events or changes in circumstances indicate that the related carrying amount may not be recoverable. When required, impairment losses on assets to be held and used are recognized based on the fair value of the asset, and long-lived assets to be disposed of are reported at the lower of carrying amount or fair value less costs to sell. Additional information related to long-lived assets is included in Notes 2 and 8.</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Deferred Policy Acquisition Costs and Value of Business Acquired</w:t>
      </w:r>
    </w:p>
    <w:p>
      <w:pPr>
        <w:spacing w:after="0" w:line="228" w:lineRule="exact"/>
        <w:rPr>
          <w:sz w:val="20"/>
          <w:szCs w:val="20"/>
          <w:color w:val="auto"/>
        </w:rPr>
      </w:pPr>
    </w:p>
    <w:p>
      <w:pPr>
        <w:jc w:val="both"/>
        <w:ind w:left="2" w:right="20"/>
        <w:spacing w:after="0" w:line="256" w:lineRule="auto"/>
        <w:rPr>
          <w:sz w:val="20"/>
          <w:szCs w:val="20"/>
          <w:color w:val="auto"/>
        </w:rPr>
      </w:pPr>
      <w:r>
        <w:rPr>
          <w:rFonts w:ascii="Times New Roman" w:cs="Times New Roman" w:eastAsia="Times New Roman" w:hAnsi="Times New Roman"/>
          <w:sz w:val="18"/>
          <w:szCs w:val="18"/>
          <w:color w:val="auto"/>
        </w:rPr>
        <w:t>Commissions and other acquisition costs, net of commission and expense allowances for reinsurance ceded, that vary with and are primarily related to the production of new insurance business that have been incurred are deferred. For traditional long-duration life insurance products, deferred policy acquisition costs (“DAC”) are amortized on a constant-level basis established on a cohort-grouped contract basis over the expected term of the related contracts, with the amortization basis being units in force using assumptions consistent with those used in computing the liability for future policy benefits. For policyholder account balance insurance products, DAC is amortized using the policy counts for annuities and units in-force for interest sensitive life products. Deferred acquisition costs are written off when policies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16</w:t>
      </w:r>
    </w:p>
    <w:p>
      <w:pPr>
        <w:sectPr>
          <w:pgSz w:w="12240" w:h="15840" w:orient="portrait"/>
          <w:cols w:equalWidth="0" w:num="1">
            <w:col w:w="11242"/>
          </w:cols>
          <w:pgMar w:left="498" w:top="687" w:right="500" w:bottom="0" w:gutter="0" w:footer="0" w:header="0"/>
        </w:sectPr>
      </w:pPr>
    </w:p>
    <w:bookmarkStart w:id="44" w:name="page45"/>
    <w:bookmarkEnd w:id="44"/>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right="20"/>
        <w:spacing w:after="0" w:line="256" w:lineRule="auto"/>
        <w:rPr>
          <w:sz w:val="20"/>
          <w:szCs w:val="20"/>
          <w:color w:val="auto"/>
        </w:rPr>
      </w:pPr>
      <w:r>
        <w:rPr>
          <w:rFonts w:ascii="Times New Roman" w:cs="Times New Roman" w:eastAsia="Times New Roman" w:hAnsi="Times New Roman"/>
          <w:sz w:val="18"/>
          <w:szCs w:val="18"/>
          <w:color w:val="auto"/>
        </w:rPr>
        <w:t>When accounting for DAC, the Company considers internal replacements of insurance and investment contracts. An internal replacement is a modification in product benefits, features, rights, or coverage that occurs by the exchange of a contract for a new contract, or by amendment, endorsement, or rider to contract, or by the election of a feature or coverage within a contract. Modifications that result in a replacement contract that is substantially changed from the replaced contract are accounted for as an extinguishment of the replaced contract. Unamortized DAC and unearned revenue liabilities from the replaced contract are written-off. Modifications that result in a contract that is substantially unchanged from the replaced contract are accounted for as a continuation of the replaced contract.</w:t>
      </w:r>
    </w:p>
    <w:p>
      <w:pPr>
        <w:spacing w:after="0" w:line="18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Value of business acquired (“VOBA”) is the present value of estimated future profits of the acquired business and is amortized in the same way as DAC.</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Additional information related to DAC and VOBA is included in Note 9.</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Goodwill and Other Intangible Assets</w:t>
      </w:r>
    </w:p>
    <w:p>
      <w:pPr>
        <w:spacing w:after="0" w:line="22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Previous acquisitions have been accounted for as purchases under which assets acquired, and liabilities assumed were recorded at their fair values with the excess purchase price recognized as goodwill. The Company evaluates annually or when changes in circumstances warrant the recoverability of goodwill and if there is a decrease in value, the related impairment is recognized as a charge against income.</w:t>
      </w:r>
    </w:p>
    <w:p>
      <w:pPr>
        <w:spacing w:after="0" w:line="176"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Other intangibles are recognized apart from goodwill whenever an acquired intangible asset arises from contractual or other legal rights, or whenever it is capable of being separated or divided from the acquired entity and sold, transferred, licensed, rented, or exchanged, either individually or in combination with a related contract, asset, or liability. The Company engages a third-party valuation firm to analyze the value of the intangible assets that result from significant acquisitions. The value of the intangible assets that result from these acquisitions are included in Other Assets and are determined using the income approach, relying on a relief from the royalty method.</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Additional information related to goodwill and other intangible assets is included in Note 10.</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Mortgage Banking Derivatives</w:t>
      </w:r>
    </w:p>
    <w:p>
      <w:pPr>
        <w:spacing w:after="0" w:line="2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Loan Commitments</w:t>
      </w:r>
    </w:p>
    <w:p>
      <w:pPr>
        <w:spacing w:after="0" w:line="225"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several factors, particularly the change, if any, in mortgage rates following the issuance of the loan commitment.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17</w:t>
      </w:r>
    </w:p>
    <w:p>
      <w:pPr>
        <w:sectPr>
          <w:pgSz w:w="12240" w:h="15840" w:orient="portrait"/>
          <w:cols w:equalWidth="0" w:num="1">
            <w:col w:w="11242"/>
          </w:cols>
          <w:pgMar w:left="498" w:top="687" w:right="500" w:bottom="0" w:gutter="0" w:footer="0" w:header="0"/>
        </w:sectPr>
      </w:pPr>
    </w:p>
    <w:bookmarkStart w:id="45" w:name="page46"/>
    <w:bookmarkEnd w:id="45"/>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consider all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88" w:lineRule="exact"/>
        <w:rPr>
          <w:sz w:val="20"/>
          <w:szCs w:val="20"/>
          <w:color w:val="auto"/>
        </w:rPr>
      </w:pPr>
    </w:p>
    <w:p>
      <w:pPr>
        <w:jc w:val="both"/>
        <w:ind w:left="2" w:right="20"/>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net of estimated commission expense. The change in fair value of the underlying mortgage loan is measured from the date the loan commitment is issued and is shown net of related expenses. Following issuance, the value of a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Forward Sale Commitments</w:t>
      </w:r>
    </w:p>
    <w:p>
      <w:pPr>
        <w:spacing w:after="0" w:line="225"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The Company utilizes forward commitments to economically hedge the price risk associated with its outstanding mortgage loan commitments. A forward commitment protects the Company from losses on sales of the loans arising from the exercise of the loan commitments. Management expects these types of commitments will experience changes in fair value in contrast to changes in fair value of the loan commitments, thereby reducing earnings volatility related to the recognition in earnings of changes in the values of the commitments.</w:t>
      </w:r>
    </w:p>
    <w:p>
      <w:pPr>
        <w:spacing w:after="0" w:line="179"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consolidated balance sheets.</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Additional information related to derivative instruments is included in Note 11.</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Allowances for Credit Losses</w:t>
      </w:r>
    </w:p>
    <w:p>
      <w:pPr>
        <w:spacing w:after="0" w:line="228" w:lineRule="exact"/>
        <w:rPr>
          <w:sz w:val="20"/>
          <w:szCs w:val="20"/>
          <w:color w:val="auto"/>
        </w:rPr>
      </w:pPr>
    </w:p>
    <w:p>
      <w:pPr>
        <w:jc w:val="both"/>
        <w:ind w:left="2" w:right="20"/>
        <w:spacing w:after="0" w:line="256" w:lineRule="auto"/>
        <w:rPr>
          <w:sz w:val="20"/>
          <w:szCs w:val="20"/>
          <w:color w:val="auto"/>
        </w:rPr>
      </w:pPr>
      <w:r>
        <w:rPr>
          <w:rFonts w:ascii="Times New Roman" w:cs="Times New Roman" w:eastAsia="Times New Roman" w:hAnsi="Times New Roman"/>
          <w:sz w:val="18"/>
          <w:szCs w:val="18"/>
          <w:color w:val="auto"/>
        </w:rPr>
        <w:t>The Company records allowances for current expected credit losses from fixed maturity securities available for sale, mortgage loans held for investment, other investments, and receivables in accordance with GAAP. The allowances for credit losses are valuation accounts that are reported as a reduction of the financial asset’s cost basis and are measured on a pool basis when similar risk characteristics exist. The Company estimates allowances for credit losses using relevant available information from both internal and external sources. The Company considers its historical loss experience, analyzes current market conditions and forecasts and uses third-party assistance to arrive at current expected credit losses. Amounts are written off against the allowance for credit losses when determined to be uncollectible. See Notes 2 and 4 regarding the Company’s evaluation of allowances for credit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18</w:t>
      </w:r>
    </w:p>
    <w:p>
      <w:pPr>
        <w:sectPr>
          <w:pgSz w:w="12240" w:h="15840" w:orient="portrait"/>
          <w:cols w:equalWidth="0" w:num="1">
            <w:col w:w="11242"/>
          </w:cols>
          <w:pgMar w:left="498" w:top="687" w:right="500" w:bottom="0" w:gutter="0" w:footer="0" w:header="0"/>
        </w:sectPr>
      </w:pPr>
    </w:p>
    <w:bookmarkStart w:id="46" w:name="page47"/>
    <w:bookmarkEnd w:id="46"/>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Future Policy Benefits and Unpaid Claims</w:t>
      </w:r>
    </w:p>
    <w:p>
      <w:pPr>
        <w:spacing w:after="0" w:line="228" w:lineRule="exact"/>
        <w:rPr>
          <w:sz w:val="20"/>
          <w:szCs w:val="20"/>
          <w:color w:val="auto"/>
        </w:rPr>
      </w:pPr>
    </w:p>
    <w:p>
      <w:pPr>
        <w:jc w:val="both"/>
        <w:ind w:left="2"/>
        <w:spacing w:after="0" w:line="252" w:lineRule="auto"/>
        <w:rPr>
          <w:sz w:val="20"/>
          <w:szCs w:val="20"/>
          <w:color w:val="auto"/>
        </w:rPr>
      </w:pPr>
      <w:r>
        <w:rPr>
          <w:rFonts w:ascii="Times New Roman" w:cs="Times New Roman" w:eastAsia="Times New Roman" w:hAnsi="Times New Roman"/>
          <w:sz w:val="18"/>
          <w:szCs w:val="18"/>
          <w:color w:val="auto"/>
        </w:rPr>
        <w:t>A liability for future policy benefits is accrued as premium revenue is recognized, which is the present value of expected future policy benefits to be paid to or on behalf of policyholders less the present value of expected future net premiums to be collected from policyholders. This liability is calculated using a discount rate assumption that is an upper-medium grade fixed-income instrument yield as provided by Bloomberg’s Evaluated Pricing (“BVAL”) methodology. This discount rate for a particular cohort is locked-in when that cohort is closed to new contracts and is used for purposes of interest accretion for the future policy benefits liability and is reflected in policyholder benefits and claims on the consolidated statements of earnings. The current rate as of each reporting date is used to calculate an adjusted future policy benefit liability and is recognized through accumulated other comprehensive income (“AOCI”). Other assumptions include best-estimate mortality and lapse rates that are based on the company’s historical experience, industry data, and other factors; also estimates of expected non-level costs, such as termination or settlement costs. Routine policy maintenance costs are not included. These assumptions are reviewed at least annually. Any changes to these assumptions will be reflected in policyholder benefits and claims on the consolidated statements of earnings. Cohorts are established based on differences in Company (Acquisition), Direct Business v. Acquired, Market (Final Expense v. Pre-need v. Ordinary), Limited-Payment v. Whole Life v. Term, issue year, and significant reinsurance. A deferred profit liability (“DPL”) is also held. The DPL equals accumulated deferrals (prior to and including the valuation date) minus accumulated amortization, where “deferrals” equals the difference between gross and net premium, and “amortization” equals the product of the measure of in force policies (units in force) and an amortization ratio which is updated at the same time as the net premium ratio.</w:t>
      </w:r>
    </w:p>
    <w:p>
      <w:pPr>
        <w:spacing w:after="0" w:line="197"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The Company records an unpaid claims liability for claims in the course of settlement equal to the death benefit amount and records a reinsurance recoverable receivable amount, if any, for claims reported. There is also an unpaid claims liability for claims incurred but not reported. This liability is based on the historical experience of the net amount of claims that were reported in reporting periods subsequent to the reporting period when claims were incurred.</w:t>
      </w:r>
    </w:p>
    <w:p>
      <w:pPr>
        <w:spacing w:after="0" w:line="179"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Additional information related to future policy benefits and unpaid claims is included in Note 1 for the adoption of Accounting Standards Update (“ASU”) 2018-12 and in Note 12.</w:t>
      </w:r>
    </w:p>
    <w:p>
      <w:pPr>
        <w:spacing w:after="0" w:line="15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Policyholder Account Balances</w:t>
      </w:r>
    </w:p>
    <w:p>
      <w:pPr>
        <w:spacing w:after="0" w:line="228"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Policyholder account balances for interest-sensitive insurance products are computed under a retrospective deposit method and represent policy account balances before applicable surrender charges. Policy benefits and claims that are charged to expense include benefit claims incurred in the period more than related policy account balances. Interest credit rates for interest-sensitive insurance products ranged from 3% to 6.5%. Additional information related to policyholder account balances is included in Note 13.</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Unearned Premium Reserve</w:t>
      </w:r>
    </w:p>
    <w:p>
      <w:pPr>
        <w:spacing w:after="0" w:line="228"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Policy initiation fees (front end loads) assessed on universal life–type contracts that are not related to future services are deferred as an unearned revenue liability. The deferred amount is amortized into earnings analogous to the amortization of the deferred acquisition costs of this block of business. Additional information related to the unearned premium reserve is included in Note 9.</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Participating Insurance</w:t>
      </w:r>
    </w:p>
    <w:p>
      <w:pPr>
        <w:spacing w:after="0" w:line="228"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Participating business constituted less than 1% of insurance in force for the years ended 2025 and 2024. The provision for policyholders’ dividends included in policyholder obligations is based on dividend scales anticipated by management. The amounts to be paid are determined by the Company’s Board of Directors. The expense recognized for policyholder dividends is included in policyholder benefits and claims on the consolidated statements of earnings and is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19</w:t>
      </w:r>
    </w:p>
    <w:p>
      <w:pPr>
        <w:sectPr>
          <w:pgSz w:w="12240" w:h="15840" w:orient="portrait"/>
          <w:cols w:equalWidth="0" w:num="1">
            <w:col w:w="11242"/>
          </w:cols>
          <w:pgMar w:left="498" w:top="687" w:right="500" w:bottom="0" w:gutter="0" w:footer="0" w:header="0"/>
        </w:sectPr>
      </w:pPr>
    </w:p>
    <w:bookmarkStart w:id="47" w:name="page48"/>
    <w:bookmarkEnd w:id="47"/>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Insurance Premiums and Other Considerations</w:t>
      </w:r>
    </w:p>
    <w:p>
      <w:pPr>
        <w:spacing w:after="0" w:line="228" w:lineRule="exact"/>
        <w:rPr>
          <w:sz w:val="20"/>
          <w:szCs w:val="20"/>
          <w:color w:val="auto"/>
        </w:rPr>
      </w:pPr>
    </w:p>
    <w:p>
      <w:pPr>
        <w:jc w:val="both"/>
        <w:ind w:left="2"/>
        <w:spacing w:after="0" w:line="254" w:lineRule="auto"/>
        <w:rPr>
          <w:sz w:val="20"/>
          <w:szCs w:val="20"/>
          <w:color w:val="auto"/>
        </w:rPr>
      </w:pPr>
      <w:r>
        <w:rPr>
          <w:rFonts w:ascii="Times New Roman" w:cs="Times New Roman" w:eastAsia="Times New Roman" w:hAnsi="Times New Roman"/>
          <w:sz w:val="18"/>
          <w:szCs w:val="18"/>
          <w:color w:val="auto"/>
        </w:rPr>
        <w:t>Premiums and other considerations for traditional life insurance products (which include those products with fixed and guaranteed premiums and benefits and consist principally of whole life insurance policies, limited-payment life insurance policies, and certain annuities with life contingencies) are recognized as revenues when due from policyholders. Premiums and other consideration for interest-sensitive insurance policies (which include universal life policies, interest-sensitive life policies, deferred annuities, and annuities without life contingencies) are reflected as increases in liabilities for policyholder account balances and not as revenues. Revenues reported for these products consist of policy charges for the cost of insurance, administration charges, amortization of policy initiation fees and surrender charges assessed against policyholder account balances. Surrender benefits paid relating to these products are reflected as decreases in liabilities for policyholder account balances and not as expenses. The Company receives investment income earned from the funds deposited into account balances, a portion of which is passed through to the policyholders in the form of interest credited. Interest credited to policyholder account balances and benefit claims more than policyholder account balances are reported as expenses, included in policyholder benefits and claims, in the consolidated financial statements.</w:t>
      </w:r>
    </w:p>
    <w:p>
      <w:pPr>
        <w:spacing w:after="0" w:line="18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Reinsurance</w:t>
      </w:r>
    </w:p>
    <w:p>
      <w:pPr>
        <w:spacing w:after="0" w:line="22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Company follows the procedure of reinsuring risks of more than $100,000 to provide for greater diversification of business to allow management to control exposure to potential losses arising from large risks and provide additional capacity for growth. The Company remains liable for amounts ceded in the event the reinsurers are unable to meet their obligations.</w:t>
      </w:r>
    </w:p>
    <w:p>
      <w:pPr>
        <w:spacing w:after="0" w:line="176"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Company entered into coinsurance agreements with unaffiliated insurance companies under which the Company assumed 100% of the risk for certain life insurance policies and certain other policy-related liabilities of the insurance company.</w:t>
      </w:r>
    </w:p>
    <w:p>
      <w:pPr>
        <w:spacing w:after="0" w:line="160"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Reinsurance premiums, commissions, expense reimbursements, and reserves related to reinsured business are accounted for on a basis consistent with those used in accounting for the original policies issued and the terms of the reinsurance contracts. Expense allowances received in connection with reinsurance ceded are accounted for as a reduction of the related policy acquisition costs and are deferred and amortized accordingly. Additional information related to reinsurance is included in Note 14.</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Pre-need Sales and Costs</w:t>
      </w:r>
    </w:p>
    <w:p>
      <w:pPr>
        <w:spacing w:after="0" w:line="230"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u w:val="single" w:color="auto"/>
          <w:color w:val="auto"/>
        </w:rPr>
        <w:t>Pre-need contract sales of funeral services and caskets</w:t>
      </w:r>
      <w:r>
        <w:rPr>
          <w:rFonts w:ascii="Times New Roman" w:cs="Times New Roman" w:eastAsia="Times New Roman" w:hAnsi="Times New Roman"/>
          <w:sz w:val="18"/>
          <w:szCs w:val="18"/>
          <w:color w:val="auto"/>
        </w:rPr>
        <w:t xml:space="preserve"> - revenue and costs associated with the sales of pre-need funeral services and caskets are deferred until the performance obligations are fulfilled (services are performed or the caskets are delivered).</w:t>
      </w:r>
    </w:p>
    <w:p>
      <w:pPr>
        <w:spacing w:after="0" w:line="160"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u w:val="single" w:color="auto"/>
          <w:color w:val="auto"/>
        </w:rPr>
        <w:t>Sales of cemetery interment rights (cemetery burial property)</w:t>
      </w:r>
      <w:r>
        <w:rPr>
          <w:rFonts w:ascii="Times New Roman" w:cs="Times New Roman" w:eastAsia="Times New Roman" w:hAnsi="Times New Roman"/>
          <w:sz w:val="18"/>
          <w:szCs w:val="18"/>
          <w:color w:val="auto"/>
        </w:rPr>
        <w:t xml:space="preserve"> - revenue and costs associated with the sale of cemetery interment rights are deferred until 10% of the sales price has been collected.</w:t>
      </w:r>
    </w:p>
    <w:p>
      <w:pPr>
        <w:spacing w:after="0" w:line="160"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u w:val="single" w:color="auto"/>
          <w:color w:val="auto"/>
        </w:rPr>
        <w:t>Pre-need contract sales of cemetery merchandise (primarily markers and vaults)</w:t>
      </w:r>
      <w:r>
        <w:rPr>
          <w:rFonts w:ascii="Times New Roman" w:cs="Times New Roman" w:eastAsia="Times New Roman" w:hAnsi="Times New Roman"/>
          <w:sz w:val="18"/>
          <w:szCs w:val="18"/>
          <w:color w:val="auto"/>
        </w:rPr>
        <w:t xml:space="preserve"> - revenue and costs associated with the sale of pre-need cemetery merchandise is deferred until the merchandise is delivered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20</w:t>
      </w:r>
    </w:p>
    <w:p>
      <w:pPr>
        <w:sectPr>
          <w:pgSz w:w="12240" w:h="15840" w:orient="portrait"/>
          <w:cols w:equalWidth="0" w:num="1">
            <w:col w:w="11242"/>
          </w:cols>
          <w:pgMar w:left="498" w:top="687" w:right="500" w:bottom="0" w:gutter="0" w:footer="0" w:header="0"/>
        </w:sectPr>
      </w:pPr>
    </w:p>
    <w:bookmarkStart w:id="48" w:name="page49"/>
    <w:bookmarkEnd w:id="48"/>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u w:val="single" w:color="auto"/>
          <w:color w:val="auto"/>
        </w:rPr>
        <w:t>Pre-need contract sales of cemetery services (primarily merchandise delivery, installation fees and burial opening and closing fees)</w:t>
      </w:r>
      <w:r>
        <w:rPr>
          <w:rFonts w:ascii="Times New Roman" w:cs="Times New Roman" w:eastAsia="Times New Roman" w:hAnsi="Times New Roman"/>
          <w:sz w:val="18"/>
          <w:szCs w:val="18"/>
          <w:color w:val="auto"/>
        </w:rPr>
        <w:t xml:space="preserve"> - revenue and costs associated with the sales of pre-need cemetery services are deferred until the services are performed.</w:t>
      </w:r>
    </w:p>
    <w:p>
      <w:pPr>
        <w:spacing w:after="0" w:line="160"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u w:val="single" w:color="auto"/>
          <w:color w:val="auto"/>
        </w:rPr>
        <w:t>Prearranged funeral and pre-need cemetery customer acquisition costs</w:t>
      </w:r>
      <w:r>
        <w:rPr>
          <w:rFonts w:ascii="Times New Roman" w:cs="Times New Roman" w:eastAsia="Times New Roman" w:hAnsi="Times New Roman"/>
          <w:sz w:val="18"/>
          <w:szCs w:val="18"/>
          <w:color w:val="auto"/>
        </w:rPr>
        <w:t xml:space="preserve"> - costs incurred related to obtaining new pre-need contract cemetery and prearranged funeral services, which include only costs that vary with and are primarily related to the acquisition of new pre-need cemetery and prearranged funeral services, are deferred until the merchandise is delivered or services are performed.</w:t>
      </w:r>
    </w:p>
    <w:p>
      <w:pPr>
        <w:spacing w:after="0" w:line="176"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Revenues and costs for at-need sales are recorded when a valid contract exists, the services are performed, collection is reasonably assured and there are no significant performance obligations remaining.</w:t>
      </w:r>
    </w:p>
    <w:p>
      <w:pPr>
        <w:spacing w:after="0" w:line="160"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The Company, through its cemetery and mortuary operations, provides guaranteed funeral arrangements wherein a prospective customer can receive future goods and services at guaranteed prices. To accomplish this, the Company, through its life insurance operations, sells to the customer an increasing benefit life insurance policy that is assigned to the mortuaries. If, at the time of need, the policyholder/potential mortuary customer utilizes one of the Company’s facilities, the guaranteed funeral arrangement contract that has been assigned will provide the funeral goods and services at the contracted price. The increasing life insurance policy will cover the difference between the original contract prices and current prices. Risks may arise if the difference cannot be fully met by the life insurance policy. However, management believes that given current inflation rates and related price increases of goods and services, the risk of exposure is minimal.</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Additional information related to pre-need sales and costs is included in Note 4.</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8"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Income taxes include taxes currently payable plus deferred taxes. Deferred tax assets and liabilities are recognized for the future tax consequences attributable to the temporary differences in the financial reporting basis and tax basis of assets and liabilities and operating loss carry-forwards. Deferred tax assets are measured using enacted tax rates expected to apply to taxable income in the years in which these temporary differences are expected to be recovered or settled. Liabilities are established for uncertain tax positions expected to be taken in income tax returns when such positions are judged to meet the “more-likely-than-not” threshold based on the technical merits of the positions. Deferred tax assets and liabilities require various estimates and judgments and may be affected favorably or unfavorably by various internal and external factors. Factors affecting the deferred tax assets and liabilities include, but are not limited to, changes in tax laws, regulations and/or rates, changing interpretations of existing tax laws or regulations, and changes to overall levels of pre-tax earnings. Changes in these estimates, judgments or factors may result in an increase or decrease to the Company’s deferred tax assets and liabilities with a related increase or decrease in the Company’s provision for income taxes. Estimated interest and penalties related to uncertain tax penalties are included as a component of income tax expense. Additional information related to income taxes is included in Note 1 for the adoption of ASU 2023-09 and Note 17.</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228" w:lineRule="exact"/>
        <w:rPr>
          <w:sz w:val="20"/>
          <w:szCs w:val="20"/>
          <w:color w:val="auto"/>
        </w:rPr>
      </w:pPr>
    </w:p>
    <w:p>
      <w:pPr>
        <w:jc w:val="both"/>
        <w:ind w:left="2" w:right="20"/>
        <w:spacing w:after="0" w:line="256" w:lineRule="auto"/>
        <w:rPr>
          <w:sz w:val="20"/>
          <w:szCs w:val="20"/>
          <w:color w:val="auto"/>
        </w:rPr>
      </w:pPr>
      <w:r>
        <w:rPr>
          <w:rFonts w:ascii="Times New Roman" w:cs="Times New Roman" w:eastAsia="Times New Roman" w:hAnsi="Times New Roman"/>
          <w:sz w:val="18"/>
          <w:szCs w:val="18"/>
          <w:color w:val="auto"/>
        </w:rPr>
        <w:t>The Company computes earnings per share, which requires a presentation of basic and diluted earnings per share. Basic earnings per equivalent Class A common share are computed by dividing net earnings by the weighted-average number of Class A common shares outstanding during each year presented, after the effect of the assumed conversion of Class C Common Stock to Class A Common Stock. Diluted earnings per share is computed by dividing net earnings by the weighted-average number of common shares outstanding during the year used to compute basic earnings per share plus dilutive potential incremental shares by application of the treasury stock method. Basic and diluted earnings per share amounts have been adjusted retroactively for the effect of annual stock dividends. Additional information related to earnings per share is included in Note 19.</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Stock Based Compensation</w:t>
      </w:r>
    </w:p>
    <w:p>
      <w:pPr>
        <w:spacing w:after="0" w:line="228"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The cost of employee services received in exchange for an award of equity instruments is recognized in the financial statements and is measured based on the fair value on the grant date of the award. The fair value of stock options is calculated using the Black Scholes Option Pricing Model. Stock option compensation expense is recognized over the period during which an employee is required to provide service in exchange for the award and is included in personnel expenses on the consolidated statements of earnings. Additional information related to stock-based compensation is included in Note 22.</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8"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For a description of the concentration risk regarding available for sale debt securities, mortgage loans held for investment and real estate held for investment, refer to Note 2, and for receivables from reinsurers, refer to Note 14 of the Notes to Consolidated Financial Statements.</w:t>
      </w:r>
    </w:p>
    <w:p>
      <w:pPr>
        <w:spacing w:after="0" w:line="15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Advertising</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expenses advertising costs as incurred.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21</w:t>
      </w:r>
    </w:p>
    <w:p>
      <w:pPr>
        <w:sectPr>
          <w:pgSz w:w="12240" w:h="15840" w:orient="portrait"/>
          <w:cols w:equalWidth="0" w:num="1">
            <w:col w:w="11242"/>
          </w:cols>
          <w:pgMar w:left="498" w:top="687" w:right="500" w:bottom="0" w:gutter="0" w:footer="0" w:header="0"/>
        </w:sectPr>
      </w:pPr>
    </w:p>
    <w:bookmarkStart w:id="49" w:name="page50"/>
    <w:bookmarkEnd w:id="49"/>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Accounting Standards Adopted in 2025</w:t>
      </w:r>
    </w:p>
    <w:p>
      <w:pPr>
        <w:spacing w:after="0" w:line="229"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8"/>
          <w:szCs w:val="18"/>
          <w:u w:val="single" w:color="auto"/>
          <w:color w:val="auto"/>
        </w:rPr>
        <w:t>ASU No. 2018-12: “Financial Services – Insurance (Topic 944): Targeted Improvements to the Accounting for Long-Duration Contracts”</w:t>
      </w:r>
      <w:r>
        <w:rPr>
          <w:rFonts w:ascii="Times New Roman" w:cs="Times New Roman" w:eastAsia="Times New Roman" w:hAnsi="Times New Roman"/>
          <w:sz w:val="18"/>
          <w:szCs w:val="18"/>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standard is aimed at improving the accounting for certain market-based options or guarantees associated with deposit or account balance contracts, simplifying amortization of deferred acquisition costs while improving and expanding required disclosures. In November 2020, ASU No. 2020-11: “Financial Services – Insurance (Topic 944): Effective Date and Early Application,” was issued. This ASU was issued to provide additional time for the implementation of ASU No. 2018-12 by deferring the effective date by one year. For smaller reporting companies, this update is effective for annual reporting periods beginning after December 15, 2024, and interim reporting periods beginning after December 15, 2025. On December 31, 2025, the Company adopted ASU No. 2018-12, using the modified retrospective approach, for changes to the liability for future policy benefits and deferred policy acquisition costs. The Company applied the guidance as of a transition date of January 1, 2024, and retrospectively adjusted prior period amounts to reflect the new guidance. The Company’s consolidated financial statements are presented under the new guidance for reporting periods beginning January 1, 2024.</w:t>
      </w:r>
    </w:p>
    <w:p>
      <w:pPr>
        <w:spacing w:after="0" w:line="191"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After adoption, cash flow assumptions, such as mortality, lapse, and expense, will be reviewed at least annually and, if necessary, they will be updated to reflect actual experience and current expectations in the calculation of the Company’s future policy benefits. Historically, cash flow assumptions were locked in at policy issuance and remained in place for the life of the business—even when material variances emerged between assumptions and actual experience—except in the case of a premium deficiency. Under the new guidance, net premiums are capped at 100 percent of gross premiums at the cohort level. Adoption of this standard also requires changes in the future treatment of the Company’s Deferred Acquisition Cost (“DAC”) asset.</w:t>
      </w:r>
    </w:p>
    <w:p>
      <w:pPr>
        <w:spacing w:after="0" w:line="183"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Historically, the interest rate used to calculate the Company’s future policy benefits was set at policy issuance and remained in effect for the life of the policy. The Company used an expected investment portfolio rate of return based on a conservative experience assumption. The new guidance seeks to improve reporting on the financial impact associated with interest rate sensitivity. To accomplish this, future policy benefits are calculated using a discount rate based on an upper-medium-grade (A-rated) fixed income instrument.</w:t>
      </w:r>
    </w:p>
    <w:p>
      <w:pPr>
        <w:spacing w:after="0" w:line="179"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The initial future policy benefit for each cohort is calculated using the original discount rate and then remeasured using the current discount rate curve. The original rate is used to determine interest accretion on the liability—which is included in net earnings—as well as to calculate the net premiums in both scenarios. The impact of remeasurement, from the original locked-in discount rate to the current rate, is reported as a component of the Company’s AOCI. This original discount rate is locked in at the cohort’s inception or at the Transition Date and will continue to be used in determining the impact on future net earnings associated with that contract.</w:t>
      </w:r>
    </w:p>
    <w:p>
      <w:pPr>
        <w:spacing w:after="0" w:line="183"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DAC is used by insurance companies to defer costs related to acquiring insurance policies. Under the new guidance, amortization methods are simplified, and DAC for all insurance contracts will be subject to constant-level basis amortization over the lifetime of the policy. Historically, traditional life contracts were amortized in proportion to premiums over the expected premium-paying period. Additionally, shadow DAC is no longer reported.</w:t>
      </w:r>
    </w:p>
    <w:p>
      <w:pPr>
        <w:spacing w:after="0" w:line="176"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requirements of the new guidance did not impact capital and surplus or net income under statutory accounting practices, cash flows on the Company’s policies, or the underlying economics of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22</w:t>
      </w:r>
    </w:p>
    <w:p>
      <w:pPr>
        <w:sectPr>
          <w:pgSz w:w="12240" w:h="15840" w:orient="portrait"/>
          <w:cols w:equalWidth="0" w:num="1">
            <w:col w:w="11242"/>
          </w:cols>
          <w:pgMar w:left="498" w:top="687" w:right="500" w:bottom="0" w:gutter="0" w:footer="0" w:header="0"/>
        </w:sectPr>
      </w:pPr>
    </w:p>
    <w:bookmarkStart w:id="50" w:name="page51"/>
    <w:bookmarkEnd w:id="50"/>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right="20"/>
        <w:spacing w:after="0" w:line="283" w:lineRule="auto"/>
        <w:rPr>
          <w:sz w:val="20"/>
          <w:szCs w:val="20"/>
          <w:color w:val="auto"/>
        </w:rPr>
      </w:pPr>
      <w:r>
        <w:rPr>
          <w:rFonts w:ascii="Times New Roman" w:cs="Times New Roman" w:eastAsia="Times New Roman" w:hAnsi="Times New Roman"/>
          <w:sz w:val="18"/>
          <w:szCs w:val="18"/>
          <w:color w:val="auto"/>
        </w:rPr>
        <w:t>The following table presents a summary of the January 1, 2024 transition date impact by providing a roll forward of the ending reported balances as of December 31, 2023, to the opening balances as of January 1, 2024 for the impacted consolidated balance sheet line items.</w:t>
      </w:r>
    </w:p>
    <w:p>
      <w:pPr>
        <w:spacing w:after="0" w:line="159"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Deferred</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Future Policy</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Accumulated</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Receivable</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Policy</w:t>
            </w:r>
          </w:p>
        </w:tc>
        <w:tc>
          <w:tcPr>
            <w:tcW w:w="20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Value of</w:t>
            </w:r>
          </w:p>
        </w:tc>
        <w:tc>
          <w:tcPr>
            <w:tcW w:w="8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Benefits and</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Unearned</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Other</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from</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Acquistion</w:t>
            </w:r>
          </w:p>
        </w:tc>
        <w:tc>
          <w:tcPr>
            <w:tcW w:w="200" w:type="dxa"/>
            <w:vAlign w:val="bottom"/>
          </w:tcPr>
          <w:p>
            <w:pPr>
              <w:spacing w:after="0"/>
              <w:rPr>
                <w:sz w:val="18"/>
                <w:szCs w:val="18"/>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Business</w:t>
            </w:r>
          </w:p>
        </w:tc>
        <w:tc>
          <w:tcPr>
            <w:tcW w:w="8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Unpaid</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Premium</w:t>
            </w: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Income</w:t>
            </w:r>
          </w:p>
        </w:tc>
        <w:tc>
          <w:tcPr>
            <w:tcW w:w="80" w:type="dxa"/>
            <w:vAlign w:val="bottom"/>
          </w:tcPr>
          <w:p>
            <w:pPr>
              <w:spacing w:after="0"/>
              <w:rPr>
                <w:sz w:val="18"/>
                <w:szCs w:val="18"/>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Comprehensive</w:t>
            </w: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Retained</w:t>
            </w:r>
          </w:p>
        </w:tc>
        <w:tc>
          <w:tcPr>
            <w:tcW w:w="0" w:type="dxa"/>
            <w:vAlign w:val="bottom"/>
          </w:tcPr>
          <w:p>
            <w:pPr>
              <w:spacing w:after="0"/>
              <w:rPr>
                <w:sz w:val="1"/>
                <w:szCs w:val="1"/>
                <w:color w:val="auto"/>
              </w:rPr>
            </w:pPr>
          </w:p>
        </w:tc>
      </w:tr>
      <w:tr>
        <w:trPr>
          <w:trHeight w:val="236"/>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Reinsurers</w:t>
            </w:r>
          </w:p>
        </w:tc>
        <w:tc>
          <w:tcPr>
            <w:tcW w:w="8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Costs</w:t>
            </w:r>
          </w:p>
        </w:tc>
        <w:tc>
          <w:tcPr>
            <w:tcW w:w="200" w:type="dxa"/>
            <w:vAlign w:val="bottom"/>
          </w:tcPr>
          <w:p>
            <w:pPr>
              <w:spacing w:after="0"/>
              <w:rPr>
                <w:sz w:val="20"/>
                <w:szCs w:val="20"/>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Acquired</w:t>
            </w:r>
          </w:p>
        </w:tc>
        <w:tc>
          <w:tcPr>
            <w:tcW w:w="8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Claims</w:t>
            </w:r>
          </w:p>
        </w:tc>
        <w:tc>
          <w:tcPr>
            <w:tcW w:w="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Reserve</w:t>
            </w:r>
          </w:p>
        </w:tc>
        <w:tc>
          <w:tcPr>
            <w:tcW w:w="2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Taxes</w:t>
            </w:r>
          </w:p>
        </w:tc>
        <w:tc>
          <w:tcPr>
            <w:tcW w:w="80" w:type="dxa"/>
            <w:vAlign w:val="bottom"/>
          </w:tcPr>
          <w:p>
            <w:pPr>
              <w:spacing w:after="0"/>
              <w:rPr>
                <w:sz w:val="20"/>
                <w:szCs w:val="20"/>
                <w:color w:val="auto"/>
              </w:rPr>
            </w:pPr>
          </w:p>
        </w:tc>
        <w:tc>
          <w:tcPr>
            <w:tcW w:w="12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rPr>
              <w:t>Income (loss)</w:t>
            </w:r>
          </w:p>
        </w:tc>
        <w:tc>
          <w:tcPr>
            <w:tcW w:w="8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Earnings</w:t>
            </w:r>
          </w:p>
        </w:tc>
        <w:tc>
          <w:tcPr>
            <w:tcW w:w="0" w:type="dxa"/>
            <w:vAlign w:val="bottom"/>
          </w:tcPr>
          <w:p>
            <w:pPr>
              <w:spacing w:after="0"/>
              <w:rPr>
                <w:sz w:val="1"/>
                <w:szCs w:val="1"/>
                <w:color w:val="auto"/>
              </w:rPr>
            </w:pPr>
          </w:p>
        </w:tc>
      </w:tr>
      <w:tr>
        <w:trPr>
          <w:trHeight w:val="176"/>
        </w:trPr>
        <w:tc>
          <w:tcPr>
            <w:tcW w:w="1860" w:type="dxa"/>
            <w:vAlign w:val="bottom"/>
            <w:tcBorders>
              <w:top w:val="single" w:sz="8" w:color="DEDEDE"/>
            </w:tcBorders>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rPr>
              <w:t>Balance as reported,</w:t>
            </w:r>
          </w:p>
        </w:tc>
        <w:tc>
          <w:tcPr>
            <w:tcW w:w="100" w:type="dxa"/>
            <w:vAlign w:val="bottom"/>
            <w:tcBorders>
              <w:top w:val="single" w:sz="8" w:color="DEDEDE"/>
            </w:tcBorders>
            <w:shd w:val="clear" w:color="auto" w:fill="DEDEDE"/>
          </w:tcPr>
          <w:p>
            <w:pPr>
              <w:spacing w:after="0"/>
              <w:rPr>
                <w:sz w:val="15"/>
                <w:szCs w:val="15"/>
                <w:color w:val="auto"/>
              </w:rPr>
            </w:pPr>
          </w:p>
        </w:tc>
        <w:tc>
          <w:tcPr>
            <w:tcW w:w="920" w:type="dxa"/>
            <w:vAlign w:val="bottom"/>
            <w:tcBorders>
              <w:top w:val="single" w:sz="8" w:color="auto"/>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1020" w:type="dxa"/>
            <w:vAlign w:val="bottom"/>
            <w:tcBorders>
              <w:top w:val="single" w:sz="8" w:color="auto"/>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840" w:type="dxa"/>
            <w:vAlign w:val="bottom"/>
            <w:tcBorders>
              <w:top w:val="single" w:sz="8" w:color="auto"/>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1000" w:type="dxa"/>
            <w:vAlign w:val="bottom"/>
            <w:tcBorders>
              <w:top w:val="single" w:sz="8" w:color="auto"/>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840" w:type="dxa"/>
            <w:vAlign w:val="bottom"/>
            <w:tcBorders>
              <w:top w:val="single" w:sz="8" w:color="auto"/>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920" w:type="dxa"/>
            <w:vAlign w:val="bottom"/>
            <w:tcBorders>
              <w:top w:val="single" w:sz="8" w:color="auto"/>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80" w:type="dxa"/>
            <w:vAlign w:val="bottom"/>
            <w:tcBorders>
              <w:top w:val="single" w:sz="8" w:color="auto"/>
            </w:tcBorders>
            <w:shd w:val="clear" w:color="auto" w:fill="DEDEDE"/>
          </w:tcPr>
          <w:p>
            <w:pPr>
              <w:spacing w:after="0"/>
              <w:rPr>
                <w:sz w:val="15"/>
                <w:szCs w:val="15"/>
                <w:color w:val="auto"/>
              </w:rPr>
            </w:pPr>
          </w:p>
        </w:tc>
        <w:tc>
          <w:tcPr>
            <w:tcW w:w="1040" w:type="dxa"/>
            <w:vAlign w:val="bottom"/>
            <w:tcBorders>
              <w:top w:val="single" w:sz="8" w:color="auto"/>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1020" w:type="dxa"/>
            <w:vAlign w:val="bottom"/>
            <w:tcBorders>
              <w:top w:val="single" w:sz="8" w:color="auto"/>
            </w:tcBorders>
            <w:shd w:val="clear" w:color="auto" w:fill="DEDEDE"/>
          </w:tcPr>
          <w:p>
            <w:pPr>
              <w:spacing w:after="0"/>
              <w:rPr>
                <w:sz w:val="15"/>
                <w:szCs w:val="15"/>
                <w:color w:val="auto"/>
              </w:rPr>
            </w:pPr>
          </w:p>
        </w:tc>
        <w:tc>
          <w:tcPr>
            <w:tcW w:w="100" w:type="dxa"/>
            <w:vAlign w:val="bottom"/>
            <w:tcBorders>
              <w:top w:val="single" w:sz="8" w:color="DEDEDE"/>
            </w:tcBorders>
            <w:shd w:val="clear" w:color="auto" w:fill="DEDED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$ 14,857,059</w:t>
            </w:r>
          </w:p>
        </w:tc>
        <w:tc>
          <w:tcPr>
            <w:tcW w:w="140" w:type="dxa"/>
            <w:vAlign w:val="bottom"/>
            <w:shd w:val="clear" w:color="auto" w:fill="DEDEDE"/>
          </w:tcPr>
          <w:p>
            <w:pPr>
              <w:spacing w:after="0"/>
              <w:rPr>
                <w:sz w:val="20"/>
                <w:szCs w:val="20"/>
                <w:color w:val="auto"/>
              </w:rPr>
            </w:pP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$ 116,351,067</w:t>
            </w:r>
          </w:p>
        </w:tc>
        <w:tc>
          <w:tcPr>
            <w:tcW w:w="10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$ 8,467,613</w:t>
            </w:r>
          </w:p>
        </w:tc>
        <w:tc>
          <w:tcPr>
            <w:tcW w:w="140" w:type="dxa"/>
            <w:vAlign w:val="bottom"/>
            <w:shd w:val="clear" w:color="auto" w:fill="DEDEDE"/>
          </w:tcPr>
          <w:p>
            <w:pPr>
              <w:spacing w:after="0"/>
              <w:rPr>
                <w:sz w:val="20"/>
                <w:szCs w:val="20"/>
                <w:color w:val="auto"/>
              </w:rPr>
            </w:pPr>
          </w:p>
        </w:tc>
        <w:tc>
          <w:tcPr>
            <w:tcW w:w="10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$ 916,038,616</w:t>
            </w:r>
          </w:p>
        </w:tc>
        <w:tc>
          <w:tcPr>
            <w:tcW w:w="140" w:type="dxa"/>
            <w:vAlign w:val="bottom"/>
            <w:shd w:val="clear" w:color="auto" w:fill="DEDEDE"/>
          </w:tcPr>
          <w:p>
            <w:pPr>
              <w:spacing w:after="0"/>
              <w:rPr>
                <w:sz w:val="20"/>
                <w:szCs w:val="20"/>
                <w:color w:val="auto"/>
              </w:rPr>
            </w:pPr>
          </w:p>
        </w:tc>
        <w:tc>
          <w:tcPr>
            <w:tcW w:w="9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$ 2,543,822</w:t>
            </w:r>
          </w:p>
        </w:tc>
        <w:tc>
          <w:tcPr>
            <w:tcW w:w="1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$ 13,752,981</w:t>
            </w:r>
          </w:p>
        </w:tc>
        <w:tc>
          <w:tcPr>
            <w:tcW w:w="140" w:type="dxa"/>
            <w:vAlign w:val="bottom"/>
            <w:shd w:val="clear" w:color="auto" w:fill="DEDEDE"/>
          </w:tcPr>
          <w:p>
            <w:pPr>
              <w:spacing w:after="0"/>
              <w:rPr>
                <w:sz w:val="20"/>
                <w:szCs w:val="20"/>
                <w:color w:val="auto"/>
              </w:rPr>
            </w:pPr>
          </w:p>
        </w:tc>
        <w:tc>
          <w:tcPr>
            <w:tcW w:w="1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(6,885,558)</w:t>
            </w: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$ 206,978,373</w:t>
            </w:r>
          </w:p>
        </w:tc>
        <w:tc>
          <w:tcPr>
            <w:tcW w:w="10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Effect of discount rate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future</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policy benefits</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(6,775,997)</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1,422,959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5,353,038</w:t>
            </w:r>
          </w:p>
        </w:tc>
        <w:tc>
          <w:tcPr>
            <w:tcW w:w="14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1860" w:type="dxa"/>
            <w:vAlign w:val="bottom"/>
            <w:shd w:val="clear" w:color="auto" w:fill="DEDEDE"/>
          </w:tcPr>
          <w:p>
            <w:pPr>
              <w:spacing w:after="0" w:line="197" w:lineRule="exact"/>
              <w:rPr>
                <w:sz w:val="20"/>
                <w:szCs w:val="20"/>
                <w:color w:val="auto"/>
              </w:rPr>
            </w:pPr>
            <w:r>
              <w:rPr>
                <w:rFonts w:ascii="Times New Roman" w:cs="Times New Roman" w:eastAsia="Times New Roman" w:hAnsi="Times New Roman"/>
                <w:sz w:val="18"/>
                <w:szCs w:val="18"/>
                <w:color w:val="auto"/>
              </w:rPr>
              <w:t>Removal of related</w:t>
            </w:r>
          </w:p>
        </w:tc>
        <w:tc>
          <w:tcPr>
            <w:tcW w:w="100" w:type="dxa"/>
            <w:vAlign w:val="bottom"/>
            <w:shd w:val="clear" w:color="auto" w:fill="DEDEDE"/>
          </w:tcPr>
          <w:p>
            <w:pPr>
              <w:spacing w:after="0"/>
              <w:rPr>
                <w:sz w:val="17"/>
                <w:szCs w:val="17"/>
                <w:color w:val="auto"/>
              </w:rPr>
            </w:pPr>
          </w:p>
        </w:tc>
        <w:tc>
          <w:tcPr>
            <w:tcW w:w="9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102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8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100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84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9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10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1020" w:type="dxa"/>
            <w:vAlign w:val="bottom"/>
            <w:shd w:val="clear" w:color="auto" w:fill="DEDEDE"/>
          </w:tcPr>
          <w:p>
            <w:pPr>
              <w:spacing w:after="0"/>
              <w:rPr>
                <w:sz w:val="17"/>
                <w:szCs w:val="17"/>
                <w:color w:val="auto"/>
              </w:rPr>
            </w:pPr>
          </w:p>
        </w:tc>
        <w:tc>
          <w:tcPr>
            <w:tcW w:w="10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amounts in accumulated</w:t>
            </w: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0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0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other comprehensive</w:t>
            </w: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0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0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income (loss)</w:t>
            </w:r>
          </w:p>
        </w:tc>
        <w:tc>
          <w:tcPr>
            <w:tcW w:w="10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20"/>
                <w:szCs w:val="20"/>
                <w:color w:val="auto"/>
              </w:rPr>
            </w:pP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180" w:type="dxa"/>
            <w:vAlign w:val="bottom"/>
            <w:gridSpan w:val="3"/>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(330,494)</w:t>
            </w:r>
          </w:p>
        </w:tc>
        <w:tc>
          <w:tcPr>
            <w:tcW w:w="10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20"/>
                <w:szCs w:val="20"/>
                <w:color w:val="auto"/>
              </w:rPr>
            </w:pPr>
          </w:p>
        </w:tc>
        <w:tc>
          <w:tcPr>
            <w:tcW w:w="9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260" w:type="dxa"/>
            <w:vAlign w:val="bottom"/>
            <w:gridSpan w:val="3"/>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(68,937)</w:t>
            </w:r>
          </w:p>
        </w:tc>
        <w:tc>
          <w:tcPr>
            <w:tcW w:w="8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118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(259,336)</w:t>
            </w: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Other balance sheet</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reclassifications and</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(164,530)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10,632</w:t>
            </w:r>
          </w:p>
        </w:tc>
        <w:tc>
          <w:tcPr>
            <w:tcW w:w="1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(36,722)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(138,144)</w:t>
            </w:r>
          </w:p>
        </w:tc>
        <w:tc>
          <w:tcPr>
            <w:tcW w:w="0" w:type="dxa"/>
            <w:vAlign w:val="bottom"/>
          </w:tcPr>
          <w:p>
            <w:pPr>
              <w:spacing w:after="0"/>
              <w:rPr>
                <w:sz w:val="1"/>
                <w:szCs w:val="1"/>
                <w:color w:val="auto"/>
              </w:rPr>
            </w:pPr>
          </w:p>
        </w:tc>
      </w:tr>
      <w:tr>
        <w:trPr>
          <w:trHeight w:val="177"/>
        </w:trPr>
        <w:tc>
          <w:tcPr>
            <w:tcW w:w="1860" w:type="dxa"/>
            <w:vAlign w:val="bottom"/>
            <w:tcBorders>
              <w:top w:val="single" w:sz="8" w:color="DEDEDE"/>
            </w:tcBorders>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rPr>
              <w:t>Balance as adjusted,</w:t>
            </w:r>
          </w:p>
        </w:tc>
        <w:tc>
          <w:tcPr>
            <w:tcW w:w="100" w:type="dxa"/>
            <w:vAlign w:val="bottom"/>
            <w:tcBorders>
              <w:top w:val="single" w:sz="8" w:color="DEDEDE"/>
            </w:tcBorders>
            <w:shd w:val="clear" w:color="auto" w:fill="DEDEDE"/>
          </w:tcPr>
          <w:p>
            <w:pPr>
              <w:spacing w:after="0"/>
              <w:rPr>
                <w:sz w:val="15"/>
                <w:szCs w:val="15"/>
                <w:color w:val="auto"/>
              </w:rPr>
            </w:pPr>
          </w:p>
        </w:tc>
        <w:tc>
          <w:tcPr>
            <w:tcW w:w="920" w:type="dxa"/>
            <w:vAlign w:val="bottom"/>
            <w:tcBorders>
              <w:top w:val="single" w:sz="8" w:color="auto"/>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1020" w:type="dxa"/>
            <w:vAlign w:val="bottom"/>
            <w:tcBorders>
              <w:top w:val="single" w:sz="8" w:color="auto"/>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840" w:type="dxa"/>
            <w:vAlign w:val="bottom"/>
            <w:tcBorders>
              <w:top w:val="single" w:sz="8" w:color="auto"/>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1000" w:type="dxa"/>
            <w:vAlign w:val="bottom"/>
            <w:tcBorders>
              <w:top w:val="single" w:sz="8" w:color="auto"/>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840" w:type="dxa"/>
            <w:vAlign w:val="bottom"/>
            <w:tcBorders>
              <w:top w:val="single" w:sz="8" w:color="auto"/>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920" w:type="dxa"/>
            <w:vAlign w:val="bottom"/>
            <w:tcBorders>
              <w:top w:val="single" w:sz="8" w:color="auto"/>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80" w:type="dxa"/>
            <w:vAlign w:val="bottom"/>
            <w:tcBorders>
              <w:top w:val="single" w:sz="8" w:color="auto"/>
            </w:tcBorders>
            <w:shd w:val="clear" w:color="auto" w:fill="DEDEDE"/>
          </w:tcPr>
          <w:p>
            <w:pPr>
              <w:spacing w:after="0"/>
              <w:rPr>
                <w:sz w:val="15"/>
                <w:szCs w:val="15"/>
                <w:color w:val="auto"/>
              </w:rPr>
            </w:pPr>
          </w:p>
        </w:tc>
        <w:tc>
          <w:tcPr>
            <w:tcW w:w="1040" w:type="dxa"/>
            <w:vAlign w:val="bottom"/>
            <w:tcBorders>
              <w:top w:val="single" w:sz="8" w:color="auto"/>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1020" w:type="dxa"/>
            <w:vAlign w:val="bottom"/>
            <w:tcBorders>
              <w:top w:val="single" w:sz="8" w:color="auto"/>
            </w:tcBorders>
            <w:shd w:val="clear" w:color="auto" w:fill="DEDEDE"/>
          </w:tcPr>
          <w:p>
            <w:pPr>
              <w:spacing w:after="0"/>
              <w:rPr>
                <w:sz w:val="15"/>
                <w:szCs w:val="15"/>
                <w:color w:val="auto"/>
              </w:rPr>
            </w:pPr>
          </w:p>
        </w:tc>
        <w:tc>
          <w:tcPr>
            <w:tcW w:w="100" w:type="dxa"/>
            <w:vAlign w:val="bottom"/>
            <w:tcBorders>
              <w:top w:val="single" w:sz="8" w:color="DEDEDE"/>
            </w:tcBorders>
            <w:shd w:val="clear" w:color="auto" w:fill="DEDEDE"/>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860" w:type="dxa"/>
            <w:vAlign w:val="bottom"/>
            <w:shd w:val="clear" w:color="auto" w:fill="DEDEDE"/>
          </w:tcPr>
          <w:p>
            <w:pPr>
              <w:spacing w:after="0" w:line="182" w:lineRule="exact"/>
              <w:rPr>
                <w:sz w:val="20"/>
                <w:szCs w:val="20"/>
                <w:color w:val="auto"/>
              </w:rPr>
            </w:pPr>
            <w:r>
              <w:rPr>
                <w:rFonts w:ascii="Times New Roman" w:cs="Times New Roman" w:eastAsia="Times New Roman" w:hAnsi="Times New Roman"/>
                <w:sz w:val="18"/>
                <w:szCs w:val="18"/>
                <w:color w:val="auto"/>
              </w:rPr>
              <w:t>January 1, 2024</w:t>
            </w:r>
          </w:p>
        </w:tc>
        <w:tc>
          <w:tcPr>
            <w:tcW w:w="102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14,692,529</w:t>
            </w:r>
          </w:p>
        </w:tc>
        <w:tc>
          <w:tcPr>
            <w:tcW w:w="140" w:type="dxa"/>
            <w:vAlign w:val="bottom"/>
            <w:shd w:val="clear" w:color="auto" w:fill="DEDEDE"/>
          </w:tcPr>
          <w:p>
            <w:pPr>
              <w:spacing w:after="0"/>
              <w:rPr>
                <w:sz w:val="15"/>
                <w:szCs w:val="15"/>
                <w:color w:val="auto"/>
              </w:rPr>
            </w:pPr>
          </w:p>
        </w:tc>
        <w:tc>
          <w:tcPr>
            <w:tcW w:w="110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$ 116,354,598</w:t>
            </w:r>
          </w:p>
        </w:tc>
        <w:tc>
          <w:tcPr>
            <w:tcW w:w="104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$ 8,137,415</w:t>
            </w:r>
          </w:p>
        </w:tc>
        <w:tc>
          <w:tcPr>
            <w:tcW w:w="140" w:type="dxa"/>
            <w:vAlign w:val="bottom"/>
            <w:shd w:val="clear" w:color="auto" w:fill="DEDEDE"/>
          </w:tcPr>
          <w:p>
            <w:pPr>
              <w:spacing w:after="0"/>
              <w:rPr>
                <w:sz w:val="15"/>
                <w:szCs w:val="15"/>
                <w:color w:val="auto"/>
              </w:rPr>
            </w:pPr>
          </w:p>
        </w:tc>
        <w:tc>
          <w:tcPr>
            <w:tcW w:w="108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$ 909,273,251</w:t>
            </w:r>
          </w:p>
        </w:tc>
        <w:tc>
          <w:tcPr>
            <w:tcW w:w="140" w:type="dxa"/>
            <w:vAlign w:val="bottom"/>
            <w:shd w:val="clear" w:color="auto" w:fill="DEDEDE"/>
          </w:tcPr>
          <w:p>
            <w:pPr>
              <w:spacing w:after="0"/>
              <w:rPr>
                <w:sz w:val="15"/>
                <w:szCs w:val="15"/>
                <w:color w:val="auto"/>
              </w:rPr>
            </w:pPr>
          </w:p>
        </w:tc>
        <w:tc>
          <w:tcPr>
            <w:tcW w:w="92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$ 2,545,132</w:t>
            </w:r>
          </w:p>
        </w:tc>
        <w:tc>
          <w:tcPr>
            <w:tcW w:w="112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15,070,281</w:t>
            </w:r>
          </w:p>
        </w:tc>
        <w:tc>
          <w:tcPr>
            <w:tcW w:w="140" w:type="dxa"/>
            <w:vAlign w:val="bottom"/>
            <w:shd w:val="clear" w:color="auto" w:fill="DEDEDE"/>
          </w:tcPr>
          <w:p>
            <w:pPr>
              <w:spacing w:after="0"/>
              <w:rPr>
                <w:sz w:val="15"/>
                <w:szCs w:val="15"/>
                <w:color w:val="auto"/>
              </w:rPr>
            </w:pPr>
          </w:p>
        </w:tc>
        <w:tc>
          <w:tcPr>
            <w:tcW w:w="16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DEDEDE"/>
          </w:tcPr>
          <w:p>
            <w:pPr>
              <w:jc w:val="right"/>
              <w:ind w:right="8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$ 206,840,229</w:t>
            </w:r>
          </w:p>
        </w:tc>
        <w:tc>
          <w:tcPr>
            <w:tcW w:w="100" w:type="dxa"/>
            <w:vAlign w:val="bottom"/>
            <w:shd w:val="clear" w:color="auto" w:fill="DEDEDE"/>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1860" w:type="dxa"/>
            <w:vAlign w:val="bottom"/>
            <w:shd w:val="clear" w:color="auto" w:fill="DEDEDE"/>
          </w:tcPr>
          <w:p>
            <w:pPr>
              <w:spacing w:after="0"/>
              <w:rPr>
                <w:sz w:val="7"/>
                <w:szCs w:val="7"/>
                <w:color w:val="auto"/>
              </w:rPr>
            </w:pPr>
          </w:p>
        </w:tc>
        <w:tc>
          <w:tcPr>
            <w:tcW w:w="1020" w:type="dxa"/>
            <w:vAlign w:val="bottom"/>
            <w:gridSpan w:val="2"/>
            <w:vMerge w:val="continue"/>
            <w:shd w:val="clear" w:color="auto" w:fill="DEDEDE"/>
          </w:tcPr>
          <w:p>
            <w:pPr>
              <w:spacing w:after="0"/>
              <w:rPr>
                <w:sz w:val="7"/>
                <w:szCs w:val="7"/>
                <w:color w:val="auto"/>
              </w:rPr>
            </w:pPr>
          </w:p>
        </w:tc>
        <w:tc>
          <w:tcPr>
            <w:tcW w:w="140" w:type="dxa"/>
            <w:vAlign w:val="bottom"/>
            <w:shd w:val="clear" w:color="auto" w:fill="DEDEDE"/>
          </w:tcPr>
          <w:p>
            <w:pPr>
              <w:spacing w:after="0"/>
              <w:rPr>
                <w:sz w:val="7"/>
                <w:szCs w:val="7"/>
                <w:color w:val="auto"/>
              </w:rPr>
            </w:pPr>
          </w:p>
        </w:tc>
        <w:tc>
          <w:tcPr>
            <w:tcW w:w="1100" w:type="dxa"/>
            <w:vAlign w:val="bottom"/>
            <w:gridSpan w:val="2"/>
            <w:vMerge w:val="continue"/>
            <w:shd w:val="clear" w:color="auto" w:fill="DEDEDE"/>
          </w:tcPr>
          <w:p>
            <w:pPr>
              <w:spacing w:after="0"/>
              <w:rPr>
                <w:sz w:val="7"/>
                <w:szCs w:val="7"/>
                <w:color w:val="auto"/>
              </w:rPr>
            </w:pPr>
          </w:p>
        </w:tc>
        <w:tc>
          <w:tcPr>
            <w:tcW w:w="1040" w:type="dxa"/>
            <w:vAlign w:val="bottom"/>
            <w:gridSpan w:val="2"/>
            <w:vMerge w:val="continue"/>
            <w:shd w:val="clear" w:color="auto" w:fill="DEDEDE"/>
          </w:tcPr>
          <w:p>
            <w:pPr>
              <w:spacing w:after="0"/>
              <w:rPr>
                <w:sz w:val="7"/>
                <w:szCs w:val="7"/>
                <w:color w:val="auto"/>
              </w:rPr>
            </w:pPr>
          </w:p>
        </w:tc>
        <w:tc>
          <w:tcPr>
            <w:tcW w:w="140" w:type="dxa"/>
            <w:vAlign w:val="bottom"/>
            <w:shd w:val="clear" w:color="auto" w:fill="DEDEDE"/>
          </w:tcPr>
          <w:p>
            <w:pPr>
              <w:spacing w:after="0"/>
              <w:rPr>
                <w:sz w:val="7"/>
                <w:szCs w:val="7"/>
                <w:color w:val="auto"/>
              </w:rPr>
            </w:pPr>
          </w:p>
        </w:tc>
        <w:tc>
          <w:tcPr>
            <w:tcW w:w="1080" w:type="dxa"/>
            <w:vAlign w:val="bottom"/>
            <w:gridSpan w:val="2"/>
            <w:vMerge w:val="continue"/>
            <w:shd w:val="clear" w:color="auto" w:fill="DEDEDE"/>
          </w:tcPr>
          <w:p>
            <w:pPr>
              <w:spacing w:after="0"/>
              <w:rPr>
                <w:sz w:val="7"/>
                <w:szCs w:val="7"/>
                <w:color w:val="auto"/>
              </w:rPr>
            </w:pPr>
          </w:p>
        </w:tc>
        <w:tc>
          <w:tcPr>
            <w:tcW w:w="140" w:type="dxa"/>
            <w:vAlign w:val="bottom"/>
            <w:shd w:val="clear" w:color="auto" w:fill="DEDEDE"/>
          </w:tcPr>
          <w:p>
            <w:pPr>
              <w:spacing w:after="0"/>
              <w:rPr>
                <w:sz w:val="7"/>
                <w:szCs w:val="7"/>
                <w:color w:val="auto"/>
              </w:rPr>
            </w:pPr>
          </w:p>
        </w:tc>
        <w:tc>
          <w:tcPr>
            <w:tcW w:w="920" w:type="dxa"/>
            <w:vAlign w:val="bottom"/>
            <w:gridSpan w:val="2"/>
            <w:vMerge w:val="continue"/>
            <w:shd w:val="clear" w:color="auto" w:fill="DEDEDE"/>
          </w:tcPr>
          <w:p>
            <w:pPr>
              <w:spacing w:after="0"/>
              <w:rPr>
                <w:sz w:val="7"/>
                <w:szCs w:val="7"/>
                <w:color w:val="auto"/>
              </w:rPr>
            </w:pPr>
          </w:p>
        </w:tc>
        <w:tc>
          <w:tcPr>
            <w:tcW w:w="1120" w:type="dxa"/>
            <w:vAlign w:val="bottom"/>
            <w:gridSpan w:val="2"/>
            <w:vMerge w:val="continue"/>
            <w:shd w:val="clear" w:color="auto" w:fill="DEDEDE"/>
          </w:tcPr>
          <w:p>
            <w:pPr>
              <w:spacing w:after="0"/>
              <w:rPr>
                <w:sz w:val="7"/>
                <w:szCs w:val="7"/>
                <w:color w:val="auto"/>
              </w:rPr>
            </w:pPr>
          </w:p>
        </w:tc>
        <w:tc>
          <w:tcPr>
            <w:tcW w:w="140" w:type="dxa"/>
            <w:vAlign w:val="bottom"/>
            <w:shd w:val="clear" w:color="auto" w:fill="DEDEDE"/>
          </w:tcPr>
          <w:p>
            <w:pPr>
              <w:spacing w:after="0"/>
              <w:rPr>
                <w:sz w:val="7"/>
                <w:szCs w:val="7"/>
                <w:color w:val="auto"/>
              </w:rPr>
            </w:pPr>
          </w:p>
        </w:tc>
        <w:tc>
          <w:tcPr>
            <w:tcW w:w="160" w:type="dxa"/>
            <w:vAlign w:val="bottom"/>
            <w:gridSpan w:val="2"/>
            <w:vMerge w:val="continue"/>
            <w:shd w:val="clear" w:color="auto" w:fill="DEDEDE"/>
          </w:tcPr>
          <w:p>
            <w:pPr>
              <w:spacing w:after="0"/>
              <w:rPr>
                <w:sz w:val="7"/>
                <w:szCs w:val="7"/>
                <w:color w:val="auto"/>
              </w:rPr>
            </w:pPr>
          </w:p>
        </w:tc>
        <w:tc>
          <w:tcPr>
            <w:tcW w:w="1040" w:type="dxa"/>
            <w:vAlign w:val="bottom"/>
            <w:shd w:val="clear" w:color="auto" w:fill="DEDEDE"/>
          </w:tcPr>
          <w:p>
            <w:pPr>
              <w:jc w:val="right"/>
              <w:spacing w:after="0" w:line="83" w:lineRule="exact"/>
              <w:rPr>
                <w:sz w:val="20"/>
                <w:szCs w:val="20"/>
                <w:color w:val="auto"/>
              </w:rPr>
            </w:pPr>
            <w:r>
              <w:rPr>
                <w:rFonts w:ascii="Times New Roman" w:cs="Times New Roman" w:eastAsia="Times New Roman" w:hAnsi="Times New Roman"/>
                <w:sz w:val="9"/>
                <w:szCs w:val="9"/>
                <w:color w:val="auto"/>
              </w:rPr>
              <w:t>(1,791,856</w:t>
            </w:r>
          </w:p>
        </w:tc>
        <w:tc>
          <w:tcPr>
            <w:tcW w:w="140" w:type="dxa"/>
            <w:vAlign w:val="bottom"/>
            <w:shd w:val="clear" w:color="auto" w:fill="DEDEDE"/>
          </w:tcPr>
          <w:p>
            <w:pPr>
              <w:spacing w:after="0"/>
              <w:rPr>
                <w:sz w:val="7"/>
                <w:szCs w:val="7"/>
                <w:color w:val="auto"/>
              </w:rPr>
            </w:pPr>
          </w:p>
        </w:tc>
        <w:tc>
          <w:tcPr>
            <w:tcW w:w="1100" w:type="dxa"/>
            <w:vAlign w:val="bottom"/>
            <w:gridSpan w:val="2"/>
            <w:vMerge w:val="continue"/>
            <w:shd w:val="clear" w:color="auto" w:fill="DEDEDE"/>
          </w:tcPr>
          <w:p>
            <w:pPr>
              <w:spacing w:after="0"/>
              <w:rPr>
                <w:sz w:val="7"/>
                <w:szCs w:val="7"/>
                <w:color w:val="auto"/>
              </w:rPr>
            </w:pPr>
          </w:p>
        </w:tc>
        <w:tc>
          <w:tcPr>
            <w:tcW w:w="100" w:type="dxa"/>
            <w:vAlign w:val="bottom"/>
            <w:shd w:val="clear" w:color="auto" w:fill="DEDED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transition date impacts associated with the adoption of ASU No. 2018-12 were applied as follows:</w:t>
      </w:r>
    </w:p>
    <w:p>
      <w:pPr>
        <w:spacing w:after="0" w:line="22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Future Policy Benefits (“FPB”) (See Note 12)</w:t>
      </w:r>
    </w:p>
    <w:p>
      <w:pPr>
        <w:spacing w:after="0" w:line="225" w:lineRule="exact"/>
        <w:rPr>
          <w:sz w:val="20"/>
          <w:szCs w:val="20"/>
          <w:color w:val="auto"/>
        </w:rPr>
      </w:pPr>
    </w:p>
    <w:p>
      <w:pPr>
        <w:jc w:val="both"/>
        <w:ind w:left="982" w:hanging="334"/>
        <w:spacing w:after="0" w:line="250" w:lineRule="auto"/>
        <w:tabs>
          <w:tab w:leader="none" w:pos="9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in-force as of the transition date were grouped into cohorts; a revised NPR was calculated for each cohort using the existing transition date balance, best estimate cash flow assumptions without a provision for adverse deviation, and the historical discount rates used for the contracts within the cohort prior to the adoption of ASU No. 2018-12 (the “locked-in” discount rate). For any cohorts where the net premiums exceeded gross premiums (NPR exceeded 100%), the FPB was increased by $10,214 for the excess of net premiums over gross premiums, with a corresponding adjustment recorded to opening retained earnings as of the transition date;</w:t>
      </w:r>
    </w:p>
    <w:p>
      <w:pPr>
        <w:spacing w:after="0" w:line="1" w:lineRule="exact"/>
        <w:rPr>
          <w:rFonts w:ascii="Times New Roman" w:cs="Times New Roman" w:eastAsia="Times New Roman" w:hAnsi="Times New Roman"/>
          <w:sz w:val="18"/>
          <w:szCs w:val="18"/>
          <w:color w:val="auto"/>
        </w:rPr>
      </w:pPr>
    </w:p>
    <w:p>
      <w:pPr>
        <w:ind w:left="982" w:right="20" w:hanging="334"/>
        <w:spacing w:after="0" w:line="250" w:lineRule="auto"/>
        <w:tabs>
          <w:tab w:leader="none" w:pos="9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FPB calculated at the current upper-medium grade discount rate and the FPB calculated at the locked-in discount rate was recorded as an adjustment to opening accumulated other comprehensive income as of the transition date; and</w:t>
      </w:r>
    </w:p>
    <w:p>
      <w:pPr>
        <w:ind w:left="982" w:hanging="334"/>
        <w:spacing w:after="0"/>
        <w:tabs>
          <w:tab w:leader="none" w:pos="98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adjustments were made to ceded reinsurance balances.</w:t>
      </w:r>
    </w:p>
    <w:p>
      <w:pPr>
        <w:spacing w:after="0" w:line="225"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Limited-payment long-duration products transition follows a similar approach to traditional non-participating products, except that these product cohorts may have a deferred profit liability (“DPL”) which is adjusted at the transition date. If an increase to FPB depleted the DPL, the remaining adjustment was recorded to opening retained earnings as of the transition date.</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Deferred Acquisition Costs (“DAC”) and Value of Business Acquired (“VOBA”) (See Note 9)</w:t>
      </w:r>
    </w:p>
    <w:p>
      <w:pPr>
        <w:spacing w:after="0" w:line="225"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opening balances of these accounts were adjusted for the removal of the related amounts in accumulated other comprehensive income, as these balances are no longer amortized using expected future gross premiums, margins, profits or earned premiums.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23</w:t>
      </w:r>
    </w:p>
    <w:p>
      <w:pPr>
        <w:sectPr>
          <w:pgSz w:w="12240" w:h="15840" w:orient="portrait"/>
          <w:cols w:equalWidth="0" w:num="1">
            <w:col w:w="11242"/>
          </w:cols>
          <w:pgMar w:left="498" w:top="687" w:right="500" w:bottom="0" w:gutter="0" w:footer="0" w:header="0"/>
        </w:sectPr>
      </w:pPr>
    </w:p>
    <w:bookmarkStart w:id="51" w:name="page52"/>
    <w:bookmarkEnd w:id="51"/>
    <w:p>
      <w:pPr>
        <w:jc w:val="center"/>
        <w:ind w:right="3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following tables present amounts as previously reported in 2024, the effect upon those amounts from the adoption of the new guidance under ASU No. 2018-12, and the resulting adjusted amounts that are reflected in the consolidated financial statements included herein. The following tables only include those line items impacted by the adoption of the new guidance.</w:t>
      </w:r>
    </w:p>
    <w:p>
      <w:pPr>
        <w:sectPr>
          <w:pgSz w:w="12240" w:h="15840" w:orient="portrait"/>
          <w:cols w:equalWidth="0" w:num="1">
            <w:col w:w="11222"/>
          </w:cols>
          <w:pgMar w:left="498" w:top="687" w:right="520" w:bottom="0" w:gutter="0" w:footer="0" w:header="0"/>
        </w:sectPr>
      </w:pPr>
    </w:p>
    <w:p>
      <w:pPr>
        <w:spacing w:after="0" w:line="172" w:lineRule="exact"/>
        <w:rPr>
          <w:sz w:val="20"/>
          <w:szCs w:val="20"/>
          <w:color w:val="auto"/>
        </w:rPr>
      </w:pPr>
    </w:p>
    <w:tbl>
      <w:tblPr>
        <w:tblLayout w:type="fixed"/>
        <w:tblInd w:w="2" w:type="dxa"/>
        <w:tblCellMar>
          <w:top w:w="0" w:type="dxa"/>
          <w:left w:w="0" w:type="dxa"/>
          <w:bottom w:w="0" w:type="dxa"/>
          <w:right w:w="0" w:type="dxa"/>
        </w:tblCellMar>
      </w:tblPr>
      <w:tr>
        <w:trPr>
          <w:trHeight w:val="239"/>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380" w:type="dxa"/>
            <w:vAlign w:val="bottom"/>
          </w:tcPr>
          <w:p>
            <w:pPr>
              <w:spacing w:after="0"/>
              <w:rPr>
                <w:sz w:val="20"/>
                <w:szCs w:val="20"/>
                <w:color w:val="auto"/>
              </w:rPr>
            </w:pPr>
          </w:p>
        </w:tc>
      </w:tr>
      <w:tr>
        <w:trPr>
          <w:trHeight w:val="669"/>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380" w:type="dxa"/>
            <w:vAlign w:val="bottom"/>
          </w:tcPr>
          <w:p>
            <w:pPr>
              <w:spacing w:after="0"/>
              <w:rPr>
                <w:sz w:val="24"/>
                <w:szCs w:val="24"/>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 from reinsurers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policy and pre-need contract acquisition costs</w:t>
            </w:r>
          </w:p>
        </w:tc>
        <w:tc>
          <w:tcPr>
            <w:tcW w:w="380" w:type="dxa"/>
            <w:vAlign w:val="bottom"/>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380" w:type="dxa"/>
            <w:vAlign w:val="bottom"/>
          </w:tcPr>
          <w:p>
            <w:pPr>
              <w:spacing w:after="0"/>
              <w:rPr>
                <w:sz w:val="18"/>
                <w:szCs w:val="18"/>
                <w:color w:val="auto"/>
              </w:rPr>
            </w:pPr>
          </w:p>
        </w:tc>
      </w:tr>
      <w:tr>
        <w:trPr>
          <w:trHeight w:val="23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tcPr>
          <w:p>
            <w:pPr>
              <w:spacing w:after="0"/>
              <w:rPr>
                <w:sz w:val="20"/>
                <w:szCs w:val="20"/>
                <w:color w:val="auto"/>
              </w:rPr>
            </w:pPr>
          </w:p>
        </w:tc>
      </w:tr>
      <w:tr>
        <w:trPr>
          <w:trHeight w:val="41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tcPr>
          <w:p>
            <w:pPr>
              <w:spacing w:after="0"/>
              <w:rPr>
                <w:sz w:val="24"/>
                <w:szCs w:val="24"/>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380" w:type="dxa"/>
            <w:vAlign w:val="bottom"/>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Unearned premium reserve</w:t>
            </w:r>
          </w:p>
        </w:tc>
        <w:tc>
          <w:tcPr>
            <w:tcW w:w="380" w:type="dxa"/>
            <w:vAlign w:val="bottom"/>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80" w:type="dxa"/>
            <w:vAlign w:val="bottom"/>
          </w:tcPr>
          <w:p>
            <w:pPr>
              <w:spacing w:after="0"/>
              <w:rPr>
                <w:sz w:val="18"/>
                <w:szCs w:val="18"/>
                <w:color w:val="auto"/>
              </w:rPr>
            </w:pPr>
          </w:p>
        </w:tc>
      </w:tr>
      <w:tr>
        <w:trPr>
          <w:trHeight w:val="23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80" w:type="dxa"/>
            <w:vAlign w:val="bottom"/>
          </w:tcPr>
          <w:p>
            <w:pPr>
              <w:spacing w:after="0"/>
              <w:rPr>
                <w:sz w:val="20"/>
                <w:szCs w:val="20"/>
                <w:color w:val="auto"/>
              </w:rPr>
            </w:pPr>
          </w:p>
        </w:tc>
      </w:tr>
      <w:tr>
        <w:trPr>
          <w:trHeight w:val="41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Pr>
          <w:p>
            <w:pPr>
              <w:spacing w:after="0"/>
              <w:rPr>
                <w:sz w:val="24"/>
                <w:szCs w:val="24"/>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 net of taxes</w:t>
            </w:r>
          </w:p>
        </w:tc>
        <w:tc>
          <w:tcPr>
            <w:tcW w:w="380" w:type="dxa"/>
            <w:vAlign w:val="bottom"/>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380" w:type="dxa"/>
            <w:vAlign w:val="bottom"/>
          </w:tcPr>
          <w:p>
            <w:pPr>
              <w:spacing w:after="0"/>
              <w:rPr>
                <w:sz w:val="18"/>
                <w:szCs w:val="18"/>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80" w:type="dxa"/>
            <w:vAlign w:val="bottom"/>
          </w:tcPr>
          <w:p>
            <w:pPr>
              <w:spacing w:after="0"/>
              <w:rPr>
                <w:sz w:val="18"/>
                <w:szCs w:val="18"/>
                <w:color w:val="auto"/>
              </w:rPr>
            </w:pPr>
          </w:p>
        </w:tc>
      </w:tr>
      <w:tr>
        <w:trPr>
          <w:trHeight w:val="23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tc>
        <w:tc>
          <w:tcPr>
            <w:tcW w:w="380" w:type="dxa"/>
            <w:vAlign w:val="bottom"/>
          </w:tcPr>
          <w:p>
            <w:pPr>
              <w:spacing w:after="0"/>
              <w:rPr>
                <w:sz w:val="24"/>
                <w:szCs w:val="24"/>
                <w:color w:val="auto"/>
              </w:rPr>
            </w:pPr>
          </w:p>
        </w:tc>
      </w:tr>
      <w:tr>
        <w:trPr>
          <w:trHeight w:val="669"/>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Benefits and expenses:</w:t>
            </w:r>
          </w:p>
        </w:tc>
        <w:tc>
          <w:tcPr>
            <w:tcW w:w="380" w:type="dxa"/>
            <w:vAlign w:val="bottom"/>
          </w:tcPr>
          <w:p>
            <w:pPr>
              <w:spacing w:after="0"/>
              <w:rPr>
                <w:sz w:val="24"/>
                <w:szCs w:val="24"/>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Policyholder benefits and claims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deferred policy and pre-need acquisition</w:t>
            </w:r>
          </w:p>
        </w:tc>
        <w:tc>
          <w:tcPr>
            <w:tcW w:w="380" w:type="dxa"/>
            <w:vAlign w:val="bottom"/>
          </w:tcPr>
          <w:p>
            <w:pPr>
              <w:spacing w:after="0"/>
              <w:rPr>
                <w:sz w:val="18"/>
                <w:szCs w:val="18"/>
                <w:color w:val="auto"/>
              </w:rPr>
            </w:pPr>
          </w:p>
        </w:tc>
      </w:tr>
      <w:tr>
        <w:trPr>
          <w:trHeight w:val="216"/>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costs and value of business acquired</w:t>
            </w:r>
          </w:p>
        </w:tc>
        <w:tc>
          <w:tcPr>
            <w:tcW w:w="380" w:type="dxa"/>
            <w:vAlign w:val="bottom"/>
          </w:tcPr>
          <w:p>
            <w:pPr>
              <w:spacing w:after="0"/>
              <w:rPr>
                <w:sz w:val="18"/>
                <w:szCs w:val="18"/>
                <w:color w:val="auto"/>
              </w:rPr>
            </w:pPr>
          </w:p>
        </w:tc>
      </w:tr>
      <w:tr>
        <w:trPr>
          <w:trHeight w:val="23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benefits and expenses</w:t>
            </w:r>
          </w:p>
        </w:tc>
        <w:tc>
          <w:tcPr>
            <w:tcW w:w="380" w:type="dxa"/>
            <w:vAlign w:val="bottom"/>
          </w:tcPr>
          <w:p>
            <w:pPr>
              <w:spacing w:after="0"/>
              <w:rPr>
                <w:sz w:val="20"/>
                <w:szCs w:val="20"/>
                <w:color w:val="auto"/>
              </w:rPr>
            </w:pPr>
          </w:p>
        </w:tc>
      </w:tr>
      <w:tr>
        <w:trPr>
          <w:trHeight w:val="41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80" w:type="dxa"/>
            <w:vAlign w:val="bottom"/>
          </w:tcPr>
          <w:p>
            <w:pPr>
              <w:spacing w:after="0"/>
              <w:rPr>
                <w:sz w:val="24"/>
                <w:szCs w:val="24"/>
                <w:color w:val="auto"/>
              </w:rPr>
            </w:pPr>
          </w:p>
        </w:tc>
      </w:tr>
      <w:tr>
        <w:trPr>
          <w:trHeight w:val="216"/>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8"/>
                <w:szCs w:val="18"/>
                <w:color w:val="auto"/>
              </w:rPr>
            </w:pPr>
          </w:p>
        </w:tc>
      </w:tr>
      <w:tr>
        <w:trPr>
          <w:trHeight w:val="235"/>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4"/>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per Class A equivalent common share (1)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3"/>
        </w:trPr>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 per Class A equivalent common share -</w:t>
            </w:r>
          </w:p>
        </w:tc>
        <w:tc>
          <w:tcPr>
            <w:tcW w:w="380" w:type="dxa"/>
            <w:vAlign w:val="bottom"/>
          </w:tcPr>
          <w:p>
            <w:pPr>
              <w:spacing w:after="0"/>
              <w:rPr>
                <w:sz w:val="24"/>
                <w:szCs w:val="24"/>
                <w:color w:val="auto"/>
              </w:rPr>
            </w:pPr>
          </w:p>
        </w:tc>
      </w:tr>
      <w:tr>
        <w:trPr>
          <w:trHeight w:val="235"/>
        </w:trPr>
        <w:tc>
          <w:tcPr>
            <w:tcW w:w="5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assuming dilution (1)</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0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r>
      <w:tr>
        <w:trPr>
          <w:trHeight w:val="229"/>
        </w:trPr>
        <w:tc>
          <w:tcPr>
            <w:tcW w:w="2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(1)  Adjusted retroactively for the effect</w:t>
            </w:r>
          </w:p>
        </w:tc>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annual stock dividends</w:t>
            </w:r>
          </w:p>
        </w:tc>
        <w:tc>
          <w:tcPr>
            <w:tcW w:w="3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December 31, 2024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15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As Previously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Effect of</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As Currently</w:t>
            </w:r>
          </w:p>
        </w:tc>
      </w:tr>
      <w:tr>
        <w:trPr>
          <w:trHeight w:val="235"/>
        </w:trPr>
        <w:tc>
          <w:tcPr>
            <w:tcW w:w="15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Reported</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Change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Reported</w:t>
            </w:r>
          </w:p>
        </w:tc>
        <w:tc>
          <w:tcPr>
            <w:tcW w:w="60" w:type="dxa"/>
            <w:vAlign w:val="bottom"/>
          </w:tcPr>
          <w:p>
            <w:pPr>
              <w:spacing w:after="0"/>
              <w:rPr>
                <w:sz w:val="20"/>
                <w:szCs w:val="20"/>
                <w:color w:val="auto"/>
              </w:rPr>
            </w:pPr>
          </w:p>
        </w:tc>
      </w:tr>
      <w:tr>
        <w:trPr>
          <w:trHeight w:val="406"/>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13,831,093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(14,430)</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13,816,663</w:t>
            </w:r>
          </w:p>
        </w:tc>
      </w:tr>
      <w:tr>
        <w:trPr>
          <w:trHeight w:val="216"/>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122,661,298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4,558,609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127,219,907</w:t>
            </w:r>
          </w:p>
        </w:tc>
        <w:tc>
          <w:tcPr>
            <w:tcW w:w="60" w:type="dxa"/>
            <w:vAlign w:val="bottom"/>
          </w:tcPr>
          <w:p>
            <w:pPr>
              <w:spacing w:after="0"/>
              <w:rPr>
                <w:sz w:val="18"/>
                <w:szCs w:val="18"/>
                <w:color w:val="auto"/>
              </w:rPr>
            </w:pPr>
          </w:p>
        </w:tc>
      </w:tr>
      <w:tr>
        <w:trPr>
          <w:trHeight w:val="216"/>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7,491,600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7,602,521</w:t>
            </w:r>
          </w:p>
        </w:tc>
        <w:tc>
          <w:tcPr>
            <w:tcW w:w="60" w:type="dxa"/>
            <w:vAlign w:val="bottom"/>
          </w:tcPr>
          <w:p>
            <w:pPr>
              <w:spacing w:after="0"/>
              <w:rPr>
                <w:sz w:val="18"/>
                <w:szCs w:val="18"/>
                <w:color w:val="auto"/>
              </w:rPr>
            </w:pPr>
          </w:p>
        </w:tc>
      </w:tr>
      <w:tr>
        <w:trPr>
          <w:trHeight w:val="235"/>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1,489,807,214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4,655,100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1,494,462,314</w:t>
            </w:r>
          </w:p>
        </w:tc>
        <w:tc>
          <w:tcPr>
            <w:tcW w:w="60" w:type="dxa"/>
            <w:vAlign w:val="bottom"/>
          </w:tcPr>
          <w:p>
            <w:pPr>
              <w:spacing w:after="0"/>
              <w:rPr>
                <w:sz w:val="20"/>
                <w:szCs w:val="20"/>
                <w:color w:val="auto"/>
              </w:rPr>
            </w:pPr>
          </w:p>
        </w:tc>
      </w:tr>
      <w:tr>
        <w:trPr>
          <w:trHeight w:val="629"/>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802,004,527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(49,923,869)</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752,080,658</w:t>
            </w:r>
          </w:p>
        </w:tc>
        <w:tc>
          <w:tcPr>
            <w:tcW w:w="60" w:type="dxa"/>
            <w:vAlign w:val="bottom"/>
          </w:tcPr>
          <w:p>
            <w:pPr>
              <w:spacing w:after="0"/>
              <w:rPr>
                <w:sz w:val="24"/>
                <w:szCs w:val="24"/>
                <w:color w:val="auto"/>
              </w:rPr>
            </w:pPr>
          </w:p>
        </w:tc>
      </w:tr>
      <w:tr>
        <w:trPr>
          <w:trHeight w:val="216"/>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2,011,679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2,013,245</w:t>
            </w:r>
          </w:p>
        </w:tc>
        <w:tc>
          <w:tcPr>
            <w:tcW w:w="60" w:type="dxa"/>
            <w:vAlign w:val="bottom"/>
          </w:tcPr>
          <w:p>
            <w:pPr>
              <w:spacing w:after="0"/>
              <w:rPr>
                <w:sz w:val="18"/>
                <w:szCs w:val="18"/>
                <w:color w:val="auto"/>
              </w:rPr>
            </w:pPr>
          </w:p>
        </w:tc>
      </w:tr>
      <w:tr>
        <w:trPr>
          <w:trHeight w:val="216"/>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13,079,257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11,461,255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24,540,512</w:t>
            </w:r>
          </w:p>
        </w:tc>
        <w:tc>
          <w:tcPr>
            <w:tcW w:w="60" w:type="dxa"/>
            <w:vAlign w:val="bottom"/>
          </w:tcPr>
          <w:p>
            <w:pPr>
              <w:spacing w:after="0"/>
              <w:rPr>
                <w:sz w:val="18"/>
                <w:szCs w:val="18"/>
                <w:color w:val="auto"/>
              </w:rPr>
            </w:pPr>
          </w:p>
        </w:tc>
      </w:tr>
      <w:tr>
        <w:trPr>
          <w:trHeight w:val="235"/>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1,151,024,935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(38,461,048)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1,112,563,887</w:t>
            </w:r>
          </w:p>
        </w:tc>
        <w:tc>
          <w:tcPr>
            <w:tcW w:w="60" w:type="dxa"/>
            <w:vAlign w:val="bottom"/>
          </w:tcPr>
          <w:p>
            <w:pPr>
              <w:spacing w:after="0"/>
              <w:rPr>
                <w:sz w:val="20"/>
                <w:szCs w:val="20"/>
                <w:color w:val="auto"/>
              </w:rPr>
            </w:pPr>
          </w:p>
        </w:tc>
      </w:tr>
      <w:tr>
        <w:trPr>
          <w:trHeight w:val="629"/>
        </w:trPr>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(6,951,266)</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40,670,895</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33,719,629</w:t>
            </w:r>
          </w:p>
        </w:tc>
        <w:tc>
          <w:tcPr>
            <w:tcW w:w="60" w:type="dxa"/>
            <w:vAlign w:val="bottom"/>
          </w:tcPr>
          <w:p>
            <w:pPr>
              <w:spacing w:after="0"/>
              <w:rPr>
                <w:sz w:val="24"/>
                <w:szCs w:val="24"/>
                <w:color w:val="auto"/>
              </w:rPr>
            </w:pPr>
          </w:p>
        </w:tc>
      </w:tr>
      <w:tr>
        <w:trPr>
          <w:trHeight w:val="216"/>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225,359,186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2,445,253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227,804,439</w:t>
            </w:r>
          </w:p>
        </w:tc>
        <w:tc>
          <w:tcPr>
            <w:tcW w:w="60" w:type="dxa"/>
            <w:vAlign w:val="bottom"/>
          </w:tcPr>
          <w:p>
            <w:pPr>
              <w:spacing w:after="0"/>
              <w:rPr>
                <w:sz w:val="18"/>
                <w:szCs w:val="18"/>
                <w:color w:val="auto"/>
              </w:rPr>
            </w:pPr>
          </w:p>
        </w:tc>
      </w:tr>
      <w:tr>
        <w:trPr>
          <w:trHeight w:val="216"/>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338,782,279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43,116,148</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381,898,427</w:t>
            </w:r>
          </w:p>
        </w:tc>
        <w:tc>
          <w:tcPr>
            <w:tcW w:w="60" w:type="dxa"/>
            <w:vAlign w:val="bottom"/>
          </w:tcPr>
          <w:p>
            <w:pPr>
              <w:spacing w:after="0"/>
              <w:rPr>
                <w:sz w:val="18"/>
                <w:szCs w:val="18"/>
                <w:color w:val="auto"/>
              </w:rPr>
            </w:pPr>
          </w:p>
        </w:tc>
      </w:tr>
      <w:tr>
        <w:trPr>
          <w:trHeight w:val="235"/>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1,489,807,214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4,655,100</w:t>
            </w:r>
          </w:p>
        </w:tc>
        <w:tc>
          <w:tcPr>
            <w:tcW w:w="30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1,494,462,314</w:t>
            </w:r>
          </w:p>
        </w:tc>
        <w:tc>
          <w:tcPr>
            <w:tcW w:w="60" w:type="dxa"/>
            <w:vAlign w:val="bottom"/>
          </w:tcPr>
          <w:p>
            <w:pPr>
              <w:spacing w:after="0"/>
              <w:rPr>
                <w:sz w:val="20"/>
                <w:szCs w:val="20"/>
                <w:color w:val="auto"/>
              </w:rPr>
            </w:pPr>
          </w:p>
        </w:tc>
      </w:tr>
      <w:tr>
        <w:trPr>
          <w:trHeight w:val="440"/>
        </w:trPr>
        <w:tc>
          <w:tcPr>
            <w:tcW w:w="3680" w:type="dxa"/>
            <w:vAlign w:val="bottom"/>
            <w:gridSpan w:val="5"/>
          </w:tcPr>
          <w:p>
            <w:pPr>
              <w:jc w:val="center"/>
              <w:ind w:left="1270"/>
              <w:spacing w:after="0"/>
              <w:rPr>
                <w:sz w:val="20"/>
                <w:szCs w:val="20"/>
                <w:color w:val="auto"/>
              </w:rPr>
            </w:pPr>
            <w:r>
              <w:rPr>
                <w:rFonts w:ascii="Times New Roman" w:cs="Times New Roman" w:eastAsia="Times New Roman" w:hAnsi="Times New Roman"/>
                <w:sz w:val="18"/>
                <w:szCs w:val="18"/>
                <w:color w:val="auto"/>
                <w:w w:val="98"/>
              </w:rPr>
              <w:t>Year Ended December 31, 2024</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5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rPr>
              <w:t>As Previously</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Effect of</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As Currently</w:t>
            </w:r>
          </w:p>
        </w:tc>
      </w:tr>
      <w:tr>
        <w:trPr>
          <w:trHeight w:val="236"/>
        </w:trPr>
        <w:tc>
          <w:tcPr>
            <w:tcW w:w="1560" w:type="dxa"/>
            <w:vAlign w:val="bottom"/>
          </w:tcPr>
          <w:p>
            <w:pPr>
              <w:jc w:val="center"/>
              <w:ind w:right="450"/>
              <w:spacing w:after="0"/>
              <w:rPr>
                <w:sz w:val="20"/>
                <w:szCs w:val="20"/>
                <w:color w:val="auto"/>
              </w:rPr>
            </w:pPr>
            <w:r>
              <w:rPr>
                <w:rFonts w:ascii="Times New Roman" w:cs="Times New Roman" w:eastAsia="Times New Roman" w:hAnsi="Times New Roman"/>
                <w:sz w:val="18"/>
                <w:szCs w:val="18"/>
                <w:color w:val="auto"/>
                <w:w w:val="99"/>
              </w:rPr>
              <w:t>Reported</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Change</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Reported</w:t>
            </w:r>
          </w:p>
        </w:tc>
        <w:tc>
          <w:tcPr>
            <w:tcW w:w="60" w:type="dxa"/>
            <w:vAlign w:val="bottom"/>
          </w:tcPr>
          <w:p>
            <w:pPr>
              <w:spacing w:after="0"/>
              <w:rPr>
                <w:sz w:val="20"/>
                <w:szCs w:val="20"/>
                <w:color w:val="auto"/>
              </w:rPr>
            </w:pPr>
          </w:p>
        </w:tc>
      </w:tr>
      <w:tr>
        <w:trPr>
          <w:trHeight w:val="425"/>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98,955,459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1,657,632</w:t>
            </w:r>
          </w:p>
        </w:tc>
        <w:tc>
          <w:tcPr>
            <w:tcW w:w="300" w:type="dxa"/>
            <w:vAlign w:val="bottom"/>
          </w:tcPr>
          <w:p>
            <w:pPr>
              <w:spacing w:after="0"/>
              <w:rPr>
                <w:sz w:val="24"/>
                <w:szCs w:val="24"/>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100,613,091</w:t>
            </w:r>
          </w:p>
        </w:tc>
        <w:tc>
          <w:tcPr>
            <w:tcW w:w="60" w:type="dxa"/>
            <w:vAlign w:val="bottom"/>
          </w:tcPr>
          <w:p>
            <w:pPr>
              <w:spacing w:after="0"/>
              <w:rPr>
                <w:sz w:val="24"/>
                <w:szCs w:val="24"/>
                <w:color w:val="auto"/>
              </w:rPr>
            </w:pPr>
          </w:p>
        </w:tc>
      </w:tr>
      <w:tr>
        <w:trPr>
          <w:trHeight w:val="413"/>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15,940,371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(4,927,755)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11,012,616</w:t>
            </w:r>
          </w:p>
        </w:tc>
        <w:tc>
          <w:tcPr>
            <w:tcW w:w="60" w:type="dxa"/>
            <w:vAlign w:val="bottom"/>
          </w:tcPr>
          <w:p>
            <w:pPr>
              <w:spacing w:after="0"/>
              <w:rPr>
                <w:sz w:val="24"/>
                <w:szCs w:val="24"/>
                <w:color w:val="auto"/>
              </w:rPr>
            </w:pPr>
          </w:p>
        </w:tc>
      </w:tr>
      <w:tr>
        <w:trPr>
          <w:trHeight w:val="235"/>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300,418,898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(3,270,123)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297,148,775</w:t>
            </w:r>
          </w:p>
        </w:tc>
        <w:tc>
          <w:tcPr>
            <w:tcW w:w="60" w:type="dxa"/>
            <w:vAlign w:val="bottom"/>
          </w:tcPr>
          <w:p>
            <w:pPr>
              <w:spacing w:after="0"/>
              <w:rPr>
                <w:sz w:val="20"/>
                <w:szCs w:val="20"/>
                <w:color w:val="auto"/>
              </w:rPr>
            </w:pPr>
          </w:p>
        </w:tc>
      </w:tr>
      <w:tr>
        <w:trPr>
          <w:trHeight w:val="413"/>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34,103,770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3,270,123</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37,373,893</w:t>
            </w:r>
          </w:p>
        </w:tc>
        <w:tc>
          <w:tcPr>
            <w:tcW w:w="60" w:type="dxa"/>
            <w:vAlign w:val="bottom"/>
          </w:tcPr>
          <w:p>
            <w:pPr>
              <w:spacing w:after="0"/>
              <w:rPr>
                <w:sz w:val="24"/>
                <w:szCs w:val="24"/>
                <w:color w:val="auto"/>
              </w:rPr>
            </w:pPr>
          </w:p>
        </w:tc>
      </w:tr>
      <w:tr>
        <w:trPr>
          <w:trHeight w:val="216"/>
        </w:trPr>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(7,568,002)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(686,726)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(8,254,728)</w:t>
            </w:r>
          </w:p>
        </w:tc>
      </w:tr>
      <w:tr>
        <w:trPr>
          <w:trHeight w:val="235"/>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26,535,768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2,583,397</w:t>
            </w:r>
          </w:p>
        </w:tc>
        <w:tc>
          <w:tcPr>
            <w:tcW w:w="30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29,119,165</w:t>
            </w:r>
          </w:p>
        </w:tc>
        <w:tc>
          <w:tcPr>
            <w:tcW w:w="60" w:type="dxa"/>
            <w:vAlign w:val="bottom"/>
          </w:tcPr>
          <w:p>
            <w:pPr>
              <w:spacing w:after="0"/>
              <w:rPr>
                <w:sz w:val="20"/>
                <w:szCs w:val="20"/>
                <w:color w:val="auto"/>
              </w:rPr>
            </w:pPr>
          </w:p>
        </w:tc>
      </w:tr>
      <w:tr>
        <w:trPr>
          <w:trHeight w:val="434"/>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r>
      <w:tr>
        <w:trPr>
          <w:trHeight w:val="648"/>
        </w:trPr>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-3645535</wp:posOffset>
                </wp:positionH>
                <wp:positionV relativeFrom="paragraph">
                  <wp:posOffset>-4834255</wp:posOffset>
                </wp:positionV>
                <wp:extent cx="7131685" cy="14541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45415"/>
                        </a:xfrm>
                        <a:prstGeom prst="rect">
                          <a:avLst/>
                        </a:prstGeom>
                        <a:solidFill>
                          <a:srgbClr val="DEDEDE"/>
                        </a:solidFill>
                      </wps:spPr>
                      <wps:bodyPr/>
                    </wps:wsp>
                  </a:graphicData>
                </a:graphic>
              </wp:anchor>
            </w:drawing>
          </mc:Choice>
          <mc:Fallback>
            <w:pict>
              <v:rect id="Shape 102" o:spid="_x0000_s1127" style="position:absolute;margin-left:-287.0499pt;margin-top:-380.6499pt;width:561.5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-3645535</wp:posOffset>
                </wp:positionH>
                <wp:positionV relativeFrom="paragraph">
                  <wp:posOffset>-4551680</wp:posOffset>
                </wp:positionV>
                <wp:extent cx="7131685" cy="137160"/>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37160"/>
                        </a:xfrm>
                        <a:prstGeom prst="rect">
                          <a:avLst/>
                        </a:prstGeom>
                        <a:solidFill>
                          <a:srgbClr val="DEDEDE"/>
                        </a:solidFill>
                      </wps:spPr>
                      <wps:bodyPr/>
                    </wps:wsp>
                  </a:graphicData>
                </a:graphic>
              </wp:anchor>
            </w:drawing>
          </mc:Choice>
          <mc:Fallback>
            <w:pict>
              <v:rect id="Shape 103" o:spid="_x0000_s1128" style="position:absolute;margin-left:-287.0499pt;margin-top:-358.3999pt;width:561.5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-3645535</wp:posOffset>
                </wp:positionH>
                <wp:positionV relativeFrom="paragraph">
                  <wp:posOffset>-4277360</wp:posOffset>
                </wp:positionV>
                <wp:extent cx="7131685" cy="13716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37160"/>
                        </a:xfrm>
                        <a:prstGeom prst="rect">
                          <a:avLst/>
                        </a:prstGeom>
                        <a:solidFill>
                          <a:srgbClr val="DEDEDE"/>
                        </a:solidFill>
                      </wps:spPr>
                      <wps:bodyPr/>
                    </wps:wsp>
                  </a:graphicData>
                </a:graphic>
              </wp:anchor>
            </w:drawing>
          </mc:Choice>
          <mc:Fallback>
            <w:pict>
              <v:rect id="Shape 104" o:spid="_x0000_s1129" style="position:absolute;margin-left:-287.0499pt;margin-top:-336.7999pt;width:561.5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-3645535</wp:posOffset>
                </wp:positionH>
                <wp:positionV relativeFrom="paragraph">
                  <wp:posOffset>-4003040</wp:posOffset>
                </wp:positionV>
                <wp:extent cx="7131685" cy="137160"/>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37160"/>
                        </a:xfrm>
                        <a:prstGeom prst="rect">
                          <a:avLst/>
                        </a:prstGeom>
                        <a:solidFill>
                          <a:srgbClr val="DEDEDE"/>
                        </a:solidFill>
                      </wps:spPr>
                      <wps:bodyPr/>
                    </wps:wsp>
                  </a:graphicData>
                </a:graphic>
              </wp:anchor>
            </w:drawing>
          </mc:Choice>
          <mc:Fallback>
            <w:pict>
              <v:rect id="Shape 105" o:spid="_x0000_s1130" style="position:absolute;margin-left:-287.0499pt;margin-top:-315.1999pt;width:561.5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-3645535</wp:posOffset>
                </wp:positionH>
                <wp:positionV relativeFrom="paragraph">
                  <wp:posOffset>-3728720</wp:posOffset>
                </wp:positionV>
                <wp:extent cx="7131685" cy="13716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37160"/>
                        </a:xfrm>
                        <a:prstGeom prst="rect">
                          <a:avLst/>
                        </a:prstGeom>
                        <a:solidFill>
                          <a:srgbClr val="DEDEDE"/>
                        </a:solidFill>
                      </wps:spPr>
                      <wps:bodyPr/>
                    </wps:wsp>
                  </a:graphicData>
                </a:graphic>
              </wp:anchor>
            </w:drawing>
          </mc:Choice>
          <mc:Fallback>
            <w:pict>
              <v:rect id="Shape 106" o:spid="_x0000_s1131" style="position:absolute;margin-left:-287.0499pt;margin-top:-293.5999pt;width:561.5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-3645535</wp:posOffset>
                </wp:positionH>
                <wp:positionV relativeFrom="paragraph">
                  <wp:posOffset>-3454400</wp:posOffset>
                </wp:positionV>
                <wp:extent cx="7131685" cy="13716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37160"/>
                        </a:xfrm>
                        <a:prstGeom prst="rect">
                          <a:avLst/>
                        </a:prstGeom>
                        <a:solidFill>
                          <a:srgbClr val="DEDEDE"/>
                        </a:solidFill>
                      </wps:spPr>
                      <wps:bodyPr/>
                    </wps:wsp>
                  </a:graphicData>
                </a:graphic>
              </wp:anchor>
            </w:drawing>
          </mc:Choice>
          <mc:Fallback>
            <w:pict>
              <v:rect id="Shape 107" o:spid="_x0000_s1132" style="position:absolute;margin-left:-287.0499pt;margin-top:-272pt;width:561.5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-3645535</wp:posOffset>
                </wp:positionH>
                <wp:positionV relativeFrom="paragraph">
                  <wp:posOffset>-3180080</wp:posOffset>
                </wp:positionV>
                <wp:extent cx="7131685" cy="13716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37160"/>
                        </a:xfrm>
                        <a:prstGeom prst="rect">
                          <a:avLst/>
                        </a:prstGeom>
                        <a:solidFill>
                          <a:srgbClr val="DEDEDE"/>
                        </a:solidFill>
                      </wps:spPr>
                      <wps:bodyPr/>
                    </wps:wsp>
                  </a:graphicData>
                </a:graphic>
              </wp:anchor>
            </w:drawing>
          </mc:Choice>
          <mc:Fallback>
            <w:pict>
              <v:rect id="Shape 108" o:spid="_x0000_s1133" style="position:absolute;margin-left:-287.0499pt;margin-top:-250.3999pt;width:561.5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-3645535</wp:posOffset>
                </wp:positionH>
                <wp:positionV relativeFrom="paragraph">
                  <wp:posOffset>-2905760</wp:posOffset>
                </wp:positionV>
                <wp:extent cx="7131685" cy="137160"/>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37160"/>
                        </a:xfrm>
                        <a:prstGeom prst="rect">
                          <a:avLst/>
                        </a:prstGeom>
                        <a:solidFill>
                          <a:srgbClr val="DEDEDE"/>
                        </a:solidFill>
                      </wps:spPr>
                      <wps:bodyPr/>
                    </wps:wsp>
                  </a:graphicData>
                </a:graphic>
              </wp:anchor>
            </w:drawing>
          </mc:Choice>
          <mc:Fallback>
            <w:pict>
              <v:rect id="Shape 109" o:spid="_x0000_s1134" style="position:absolute;margin-left:-287.0499pt;margin-top:-228.7999pt;width:561.5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-3645535</wp:posOffset>
                </wp:positionH>
                <wp:positionV relativeFrom="paragraph">
                  <wp:posOffset>-2631440</wp:posOffset>
                </wp:positionV>
                <wp:extent cx="7131685" cy="137160"/>
                <wp:wrapNone/>
                <wp:docPr id="110" name="Shape 1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37160"/>
                        </a:xfrm>
                        <a:prstGeom prst="rect">
                          <a:avLst/>
                        </a:prstGeom>
                        <a:solidFill>
                          <a:srgbClr val="DEDEDE"/>
                        </a:solidFill>
                      </wps:spPr>
                      <wps:bodyPr/>
                    </wps:wsp>
                  </a:graphicData>
                </a:graphic>
              </wp:anchor>
            </w:drawing>
          </mc:Choice>
          <mc:Fallback>
            <w:pict>
              <v:rect id="Shape 110" o:spid="_x0000_s1135" style="position:absolute;margin-left:-287.0499pt;margin-top:-207.1999pt;width:561.5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-216535</wp:posOffset>
                </wp:positionH>
                <wp:positionV relativeFrom="paragraph">
                  <wp:posOffset>-4830445</wp:posOffset>
                </wp:positionV>
                <wp:extent cx="107950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950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499pt,-380.3499pt" to="67.95pt,-380.3499pt" o:allowincell="f" strokecolor="#000000" strokeweight="0.675pt"/>
            </w:pict>
          </mc:Fallback>
        </mc:AlternateContent>
        <mc:AlternateContent>
          <mc:Choice Requires="wps">
            <w:drawing>
              <wp:anchor simplePos="0" relativeHeight="251657728" behindDoc="1" locked="0" layoutInCell="0" allowOverlap="1">
                <wp:simplePos x="0" y="0"/>
                <wp:positionH relativeFrom="column">
                  <wp:posOffset>-216535</wp:posOffset>
                </wp:positionH>
                <wp:positionV relativeFrom="paragraph">
                  <wp:posOffset>-5113020</wp:posOffset>
                </wp:positionV>
                <wp:extent cx="3634105"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34105" cy="4763"/>
                        </a:xfrm>
                        <a:prstGeom prst="line">
                          <a:avLst/>
                        </a:prstGeom>
                        <a:solidFill>
                          <a:srgbClr val="FFFFFF"/>
                        </a:solidFill>
                        <a:ln w="8573">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499pt,-402.5999pt" to="269.1pt,-402.5999pt" o:allowincell="f" strokecolor="#000000" strokeweight="0.675pt"/>
            </w:pict>
          </mc:Fallback>
        </mc:AlternateContent>
        <mc:AlternateContent>
          <mc:Choice Requires="wps">
            <w:drawing>
              <wp:anchor simplePos="0" relativeHeight="251657728" behindDoc="1" locked="0" layoutInCell="0" allowOverlap="1">
                <wp:simplePos x="0" y="0"/>
                <wp:positionH relativeFrom="column">
                  <wp:posOffset>-3645535</wp:posOffset>
                </wp:positionH>
                <wp:positionV relativeFrom="paragraph">
                  <wp:posOffset>-1928495</wp:posOffset>
                </wp:positionV>
                <wp:extent cx="7131685" cy="14605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46050"/>
                        </a:xfrm>
                        <a:prstGeom prst="rect">
                          <a:avLst/>
                        </a:prstGeom>
                        <a:solidFill>
                          <a:srgbClr val="DEDEDE"/>
                        </a:solidFill>
                      </wps:spPr>
                      <wps:bodyPr/>
                    </wps:wsp>
                  </a:graphicData>
                </a:graphic>
              </wp:anchor>
            </w:drawing>
          </mc:Choice>
          <mc:Fallback>
            <w:pict>
              <v:rect id="Shape 113" o:spid="_x0000_s1138" style="position:absolute;margin-left:-287.0499pt;margin-top:-151.8499pt;width:561.5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-3645535</wp:posOffset>
                </wp:positionH>
                <wp:positionV relativeFrom="paragraph">
                  <wp:posOffset>-1645285</wp:posOffset>
                </wp:positionV>
                <wp:extent cx="7131685" cy="27432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274320"/>
                        </a:xfrm>
                        <a:prstGeom prst="rect">
                          <a:avLst/>
                        </a:prstGeom>
                        <a:solidFill>
                          <a:srgbClr val="DEDEDE"/>
                        </a:solidFill>
                      </wps:spPr>
                      <wps:bodyPr/>
                    </wps:wsp>
                  </a:graphicData>
                </a:graphic>
              </wp:anchor>
            </w:drawing>
          </mc:Choice>
          <mc:Fallback>
            <w:pict>
              <v:rect id="Shape 114" o:spid="_x0000_s1139" style="position:absolute;margin-left:-287.0499pt;margin-top:-129.5499pt;width:561.55pt;height:2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-3645535</wp:posOffset>
                </wp:positionH>
                <wp:positionV relativeFrom="paragraph">
                  <wp:posOffset>-1233805</wp:posOffset>
                </wp:positionV>
                <wp:extent cx="7131685" cy="13716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37160"/>
                        </a:xfrm>
                        <a:prstGeom prst="rect">
                          <a:avLst/>
                        </a:prstGeom>
                        <a:solidFill>
                          <a:srgbClr val="DEDEDE"/>
                        </a:solidFill>
                      </wps:spPr>
                      <wps:bodyPr/>
                    </wps:wsp>
                  </a:graphicData>
                </a:graphic>
              </wp:anchor>
            </w:drawing>
          </mc:Choice>
          <mc:Fallback>
            <w:pict>
              <v:rect id="Shape 115" o:spid="_x0000_s1140" style="position:absolute;margin-left:-287.0499pt;margin-top:-97.1499pt;width:561.5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-3645535</wp:posOffset>
                </wp:positionH>
                <wp:positionV relativeFrom="paragraph">
                  <wp:posOffset>-959485</wp:posOffset>
                </wp:positionV>
                <wp:extent cx="7131685" cy="13716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37160"/>
                        </a:xfrm>
                        <a:prstGeom prst="rect">
                          <a:avLst/>
                        </a:prstGeom>
                        <a:solidFill>
                          <a:srgbClr val="DEDEDE"/>
                        </a:solidFill>
                      </wps:spPr>
                      <wps:bodyPr/>
                    </wps:wsp>
                  </a:graphicData>
                </a:graphic>
              </wp:anchor>
            </w:drawing>
          </mc:Choice>
          <mc:Fallback>
            <w:pict>
              <v:rect id="Shape 116" o:spid="_x0000_s1141" style="position:absolute;margin-left:-287.0499pt;margin-top:-75.5499pt;width:561.5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-3645535</wp:posOffset>
                </wp:positionH>
                <wp:positionV relativeFrom="paragraph">
                  <wp:posOffset>-685165</wp:posOffset>
                </wp:positionV>
                <wp:extent cx="7131685" cy="13716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37160"/>
                        </a:xfrm>
                        <a:prstGeom prst="rect">
                          <a:avLst/>
                        </a:prstGeom>
                        <a:solidFill>
                          <a:srgbClr val="DEDEDE"/>
                        </a:solidFill>
                      </wps:spPr>
                      <wps:bodyPr/>
                    </wps:wsp>
                  </a:graphicData>
                </a:graphic>
              </wp:anchor>
            </w:drawing>
          </mc:Choice>
          <mc:Fallback>
            <w:pict>
              <v:rect id="Shape 117" o:spid="_x0000_s1142" style="position:absolute;margin-left:-287.0499pt;margin-top:-53.9499pt;width:561.5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-3645535</wp:posOffset>
                </wp:positionH>
                <wp:positionV relativeFrom="paragraph">
                  <wp:posOffset>-410845</wp:posOffset>
                </wp:positionV>
                <wp:extent cx="7131685" cy="13716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37160"/>
                        </a:xfrm>
                        <a:prstGeom prst="rect">
                          <a:avLst/>
                        </a:prstGeom>
                        <a:solidFill>
                          <a:srgbClr val="DEDEDE"/>
                        </a:solidFill>
                      </wps:spPr>
                      <wps:bodyPr/>
                    </wps:wsp>
                  </a:graphicData>
                </a:graphic>
              </wp:anchor>
            </w:drawing>
          </mc:Choice>
          <mc:Fallback>
            <w:pict>
              <v:rect id="Shape 118" o:spid="_x0000_s1143" style="position:absolute;margin-left:-287.0499pt;margin-top:-32.3499pt;width:561.55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-216535</wp:posOffset>
                </wp:positionH>
                <wp:positionV relativeFrom="paragraph">
                  <wp:posOffset>-1924050</wp:posOffset>
                </wp:positionV>
                <wp:extent cx="107950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7950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499pt,-151.4999pt" to="67.95pt,-151.4999pt" o:allowincell="f" strokecolor="#000000" strokeweight="0.675pt"/>
            </w:pict>
          </mc:Fallback>
        </mc:AlternateContent>
        <mc:AlternateContent>
          <mc:Choice Requires="wps">
            <w:drawing>
              <wp:anchor simplePos="0" relativeHeight="251657728" behindDoc="1" locked="0" layoutInCell="0" allowOverlap="1">
                <wp:simplePos x="0" y="0"/>
                <wp:positionH relativeFrom="column">
                  <wp:posOffset>-216535</wp:posOffset>
                </wp:positionH>
                <wp:positionV relativeFrom="paragraph">
                  <wp:posOffset>-2207260</wp:posOffset>
                </wp:positionV>
                <wp:extent cx="3634105"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63410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499pt,-173.7999pt" to="269.1pt,-173.7999pt" o:allowincell="f" strokecolor="#000000" strokeweight="0.675pt"/>
            </w:pict>
          </mc:Fallback>
        </mc:AlternateContent>
      </w:r>
    </w:p>
    <w:p>
      <w:pPr>
        <w:spacing w:after="0" w:line="664" w:lineRule="exact"/>
        <w:rPr>
          <w:sz w:val="20"/>
          <w:szCs w:val="20"/>
          <w:color w:val="auto"/>
        </w:rPr>
      </w:pPr>
    </w:p>
    <w:p>
      <w:pPr>
        <w:sectPr>
          <w:pgSz w:w="12240" w:h="15840" w:orient="portrait"/>
          <w:cols w:equalWidth="0" w:num="2">
            <w:col w:w="5482" w:space="260"/>
            <w:col w:w="5480"/>
          </w:cols>
          <w:pgMar w:left="498" w:top="687" w:right="5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24</w:t>
      </w:r>
    </w:p>
    <w:p>
      <w:pPr>
        <w:sectPr>
          <w:pgSz w:w="12240" w:h="15840" w:orient="portrait"/>
          <w:cols w:equalWidth="0" w:num="1">
            <w:col w:w="11222"/>
          </w:cols>
          <w:pgMar w:left="498" w:top="687" w:right="520" w:bottom="0" w:gutter="0" w:footer="0" w:header="0"/>
          <w:type w:val="continuous"/>
        </w:sectPr>
      </w:pPr>
    </w:p>
    <w:bookmarkStart w:id="52" w:name="page53"/>
    <w:bookmarkEnd w:id="52"/>
    <w:p>
      <w:pPr>
        <w:jc w:val="center"/>
        <w:ind w:right="6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w w:val="93"/>
              </w:rPr>
              <w:t>1)</w:t>
            </w:r>
          </w:p>
        </w:tc>
        <w:tc>
          <w:tcPr>
            <w:tcW w:w="4600" w:type="dxa"/>
            <w:vAlign w:val="bottom"/>
          </w:tcPr>
          <w:p>
            <w:pPr>
              <w:ind w:left="480"/>
              <w:spacing w:after="0"/>
              <w:rPr>
                <w:sz w:val="20"/>
                <w:szCs w:val="20"/>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Year Ended December 31, 2024</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1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30"/>
              <w:spacing w:after="0" w:line="190" w:lineRule="exact"/>
              <w:rPr>
                <w:sz w:val="20"/>
                <w:szCs w:val="20"/>
                <w:color w:val="auto"/>
              </w:rPr>
            </w:pPr>
            <w:r>
              <w:rPr>
                <w:rFonts w:ascii="Times New Roman" w:cs="Times New Roman" w:eastAsia="Times New Roman" w:hAnsi="Times New Roman"/>
                <w:sz w:val="18"/>
                <w:szCs w:val="18"/>
                <w:color w:val="auto"/>
              </w:rPr>
              <w:t>As Previously</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640"/>
              <w:spacing w:after="0" w:line="190" w:lineRule="exact"/>
              <w:rPr>
                <w:sz w:val="20"/>
                <w:szCs w:val="20"/>
                <w:color w:val="auto"/>
              </w:rPr>
            </w:pPr>
            <w:r>
              <w:rPr>
                <w:rFonts w:ascii="Times New Roman" w:cs="Times New Roman" w:eastAsia="Times New Roman" w:hAnsi="Times New Roman"/>
                <w:sz w:val="18"/>
                <w:szCs w:val="18"/>
                <w:color w:val="auto"/>
              </w:rPr>
              <w:t>Effect of</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30"/>
              <w:spacing w:after="0" w:line="190" w:lineRule="exact"/>
              <w:rPr>
                <w:sz w:val="20"/>
                <w:szCs w:val="20"/>
                <w:color w:val="auto"/>
              </w:rPr>
            </w:pPr>
            <w:r>
              <w:rPr>
                <w:rFonts w:ascii="Times New Roman" w:cs="Times New Roman" w:eastAsia="Times New Roman" w:hAnsi="Times New Roman"/>
                <w:sz w:val="18"/>
                <w:szCs w:val="18"/>
                <w:color w:val="auto"/>
              </w:rPr>
              <w:t>As Currently</w:t>
            </w:r>
          </w:p>
        </w:tc>
        <w:tc>
          <w:tcPr>
            <w:tcW w:w="120" w:type="dxa"/>
            <w:vAlign w:val="bottom"/>
          </w:tcPr>
          <w:p>
            <w:pPr>
              <w:spacing w:after="0"/>
              <w:rPr>
                <w:sz w:val="16"/>
                <w:szCs w:val="16"/>
                <w:color w:val="auto"/>
              </w:rPr>
            </w:pPr>
          </w:p>
        </w:tc>
      </w:tr>
      <w:tr>
        <w:trPr>
          <w:trHeight w:val="235"/>
        </w:trPr>
        <w:tc>
          <w:tcPr>
            <w:tcW w:w="1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Reported</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Change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Reported</w:t>
            </w:r>
          </w:p>
        </w:tc>
      </w:tr>
      <w:tr>
        <w:trPr>
          <w:trHeight w:val="210"/>
        </w:trPr>
        <w:tc>
          <w:tcPr>
            <w:tcW w:w="4760" w:type="dxa"/>
            <w:vAlign w:val="bottom"/>
            <w:tcBorders>
              <w:top w:val="single" w:sz="8" w:color="DEDEDE"/>
            </w:tcBorders>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640" w:type="dxa"/>
            <w:vAlign w:val="bottom"/>
            <w:tcBorders>
              <w:top w:val="single" w:sz="8" w:color="DEDEDE"/>
            </w:tcBorders>
            <w:shd w:val="clear" w:color="auto" w:fill="DEDEDE"/>
          </w:tcPr>
          <w:p>
            <w:pPr>
              <w:spacing w:after="0"/>
              <w:rPr>
                <w:sz w:val="18"/>
                <w:szCs w:val="18"/>
                <w:color w:val="auto"/>
              </w:rPr>
            </w:pPr>
          </w:p>
        </w:tc>
        <w:tc>
          <w:tcPr>
            <w:tcW w:w="220" w:type="dxa"/>
            <w:vAlign w:val="bottom"/>
            <w:tcBorders>
              <w:top w:val="single" w:sz="8" w:color="auto"/>
            </w:tcBorders>
            <w:shd w:val="clear" w:color="auto" w:fill="DEDED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26,535,768</w:t>
            </w:r>
          </w:p>
        </w:tc>
        <w:tc>
          <w:tcPr>
            <w:tcW w:w="20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280" w:type="dxa"/>
            <w:vAlign w:val="bottom"/>
            <w:tcBorders>
              <w:top w:val="single" w:sz="8" w:color="auto"/>
            </w:tcBorders>
            <w:shd w:val="clear" w:color="auto" w:fill="DEDED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2,583,397</w:t>
            </w:r>
          </w:p>
        </w:tc>
        <w:tc>
          <w:tcPr>
            <w:tcW w:w="30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240" w:type="dxa"/>
            <w:vAlign w:val="bottom"/>
            <w:tcBorders>
              <w:top w:val="single" w:sz="8" w:color="auto"/>
            </w:tcBorders>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29,119,165</w:t>
            </w:r>
          </w:p>
        </w:tc>
        <w:tc>
          <w:tcPr>
            <w:tcW w:w="120" w:type="dxa"/>
            <w:vAlign w:val="bottom"/>
            <w:tcBorders>
              <w:top w:val="single" w:sz="8" w:color="DEDEDE"/>
            </w:tcBorders>
            <w:shd w:val="clear" w:color="auto" w:fill="DEDEDE"/>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7"/>
        </w:trPr>
        <w:tc>
          <w:tcPr>
            <w:tcW w:w="160" w:type="dxa"/>
            <w:vAlign w:val="bottom"/>
            <w:shd w:val="clear" w:color="auto" w:fill="DEDEDE"/>
          </w:tcPr>
          <w:p>
            <w:pPr>
              <w:spacing w:after="0"/>
              <w:rPr>
                <w:sz w:val="17"/>
                <w:szCs w:val="17"/>
                <w:color w:val="auto"/>
              </w:rPr>
            </w:pPr>
          </w:p>
        </w:tc>
        <w:tc>
          <w:tcPr>
            <w:tcW w:w="4600" w:type="dxa"/>
            <w:vAlign w:val="bottom"/>
            <w:shd w:val="clear" w:color="auto" w:fill="DEDEDE"/>
          </w:tcPr>
          <w:p>
            <w:pPr>
              <w:ind w:left="20"/>
              <w:spacing w:after="0" w:line="196" w:lineRule="exact"/>
              <w:rPr>
                <w:sz w:val="20"/>
                <w:szCs w:val="20"/>
                <w:color w:val="auto"/>
              </w:rPr>
            </w:pPr>
            <w:r>
              <w:rPr>
                <w:rFonts w:ascii="Times New Roman" w:cs="Times New Roman" w:eastAsia="Times New Roman" w:hAnsi="Times New Roman"/>
                <w:sz w:val="18"/>
                <w:szCs w:val="18"/>
                <w:color w:val="auto"/>
              </w:rPr>
              <w:t>Unrealized gains (losses) on fixed maturity securities</w:t>
            </w:r>
          </w:p>
        </w:tc>
        <w:tc>
          <w:tcPr>
            <w:tcW w:w="640" w:type="dxa"/>
            <w:vAlign w:val="bottom"/>
            <w:shd w:val="clear" w:color="auto" w:fill="DEDEDE"/>
          </w:tcPr>
          <w:p>
            <w:pPr>
              <w:spacing w:after="0"/>
              <w:rPr>
                <w:sz w:val="17"/>
                <w:szCs w:val="17"/>
                <w:color w:val="auto"/>
              </w:rPr>
            </w:pPr>
          </w:p>
        </w:tc>
        <w:tc>
          <w:tcPr>
            <w:tcW w:w="220" w:type="dxa"/>
            <w:vAlign w:val="bottom"/>
            <w:shd w:val="clear" w:color="auto" w:fill="DEDEDE"/>
          </w:tcPr>
          <w:p>
            <w:pPr>
              <w:spacing w:after="0"/>
              <w:rPr>
                <w:sz w:val="17"/>
                <w:szCs w:val="17"/>
                <w:color w:val="auto"/>
              </w:rPr>
            </w:pPr>
          </w:p>
        </w:tc>
        <w:tc>
          <w:tcPr>
            <w:tcW w:w="148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280" w:type="dxa"/>
            <w:vAlign w:val="bottom"/>
            <w:shd w:val="clear" w:color="auto" w:fill="DEDEDE"/>
          </w:tcPr>
          <w:p>
            <w:pPr>
              <w:spacing w:after="0"/>
              <w:rPr>
                <w:sz w:val="17"/>
                <w:szCs w:val="17"/>
                <w:color w:val="auto"/>
              </w:rPr>
            </w:pPr>
          </w:p>
        </w:tc>
        <w:tc>
          <w:tcPr>
            <w:tcW w:w="1380" w:type="dxa"/>
            <w:vAlign w:val="bottom"/>
            <w:shd w:val="clear" w:color="auto" w:fill="DEDEDE"/>
          </w:tcPr>
          <w:p>
            <w:pPr>
              <w:spacing w:after="0"/>
              <w:rPr>
                <w:sz w:val="17"/>
                <w:szCs w:val="17"/>
                <w:color w:val="auto"/>
              </w:rPr>
            </w:pPr>
          </w:p>
        </w:tc>
        <w:tc>
          <w:tcPr>
            <w:tcW w:w="30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14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r>
      <w:tr>
        <w:trPr>
          <w:trHeight w:val="235"/>
        </w:trPr>
        <w:tc>
          <w:tcPr>
            <w:tcW w:w="160" w:type="dxa"/>
            <w:vAlign w:val="bottom"/>
            <w:shd w:val="clear" w:color="auto" w:fill="DEDEDE"/>
          </w:tcPr>
          <w:p>
            <w:pPr>
              <w:spacing w:after="0"/>
              <w:rPr>
                <w:sz w:val="20"/>
                <w:szCs w:val="20"/>
                <w:color w:val="auto"/>
              </w:rPr>
            </w:pPr>
          </w:p>
        </w:tc>
        <w:tc>
          <w:tcPr>
            <w:tcW w:w="4600" w:type="dxa"/>
            <w:vAlign w:val="bottom"/>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available for sale</w:t>
            </w:r>
          </w:p>
        </w:tc>
        <w:tc>
          <w:tcPr>
            <w:tcW w:w="640" w:type="dxa"/>
            <w:vAlign w:val="bottom"/>
            <w:shd w:val="clear" w:color="auto" w:fill="DEDEDE"/>
          </w:tcPr>
          <w:p>
            <w:pPr>
              <w:spacing w:after="0"/>
              <w:rPr>
                <w:sz w:val="20"/>
                <w:szCs w:val="20"/>
                <w:color w:val="auto"/>
              </w:rPr>
            </w:pPr>
          </w:p>
        </w:tc>
        <w:tc>
          <w:tcPr>
            <w:tcW w:w="220" w:type="dxa"/>
            <w:vAlign w:val="bottom"/>
            <w:shd w:val="clear" w:color="auto" w:fill="DEDEDE"/>
          </w:tcPr>
          <w:p>
            <w:pPr>
              <w:spacing w:after="0"/>
              <w:rPr>
                <w:sz w:val="20"/>
                <w:szCs w:val="20"/>
                <w:color w:val="auto"/>
              </w:rPr>
            </w:pPr>
          </w:p>
        </w:tc>
        <w:tc>
          <w:tcPr>
            <w:tcW w:w="1680" w:type="dxa"/>
            <w:vAlign w:val="bottom"/>
            <w:gridSpan w:val="2"/>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rPr>
              <w:t>(79,228)</w:t>
            </w:r>
          </w:p>
        </w:tc>
        <w:tc>
          <w:tcPr>
            <w:tcW w:w="16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13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68,186</w:t>
            </w:r>
          </w:p>
        </w:tc>
        <w:tc>
          <w:tcPr>
            <w:tcW w:w="300" w:type="dxa"/>
            <w:vAlign w:val="bottom"/>
            <w:shd w:val="clear" w:color="auto" w:fill="DEDEDE"/>
          </w:tcPr>
          <w:p>
            <w:pPr>
              <w:spacing w:after="0"/>
              <w:rPr>
                <w:sz w:val="20"/>
                <w:szCs w:val="20"/>
                <w:color w:val="auto"/>
              </w:rPr>
            </w:pPr>
          </w:p>
        </w:tc>
        <w:tc>
          <w:tcPr>
            <w:tcW w:w="20" w:type="dxa"/>
            <w:vAlign w:val="bottom"/>
            <w:shd w:val="clear" w:color="auto" w:fill="DEDEDE"/>
          </w:tcPr>
          <w:p>
            <w:pPr>
              <w:spacing w:after="0"/>
              <w:rPr>
                <w:sz w:val="20"/>
                <w:szCs w:val="20"/>
                <w:color w:val="auto"/>
              </w:rPr>
            </w:pPr>
          </w:p>
        </w:tc>
        <w:tc>
          <w:tcPr>
            <w:tcW w:w="240" w:type="dxa"/>
            <w:vAlign w:val="bottom"/>
            <w:shd w:val="clear" w:color="auto" w:fill="DEDEDE"/>
          </w:tcPr>
          <w:p>
            <w:pPr>
              <w:spacing w:after="0"/>
              <w:rPr>
                <w:sz w:val="20"/>
                <w:szCs w:val="20"/>
                <w:color w:val="auto"/>
              </w:rPr>
            </w:pPr>
          </w:p>
        </w:tc>
        <w:tc>
          <w:tcPr>
            <w:tcW w:w="156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(11,042)</w:t>
            </w:r>
          </w:p>
        </w:tc>
      </w:tr>
      <w:tr>
        <w:trPr>
          <w:trHeight w:val="216"/>
        </w:trPr>
        <w:tc>
          <w:tcPr>
            <w:tcW w:w="16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remeasurement of future policy benefits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44,966,236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44,966,236</w:t>
            </w:r>
          </w:p>
        </w:tc>
        <w:tc>
          <w:tcPr>
            <w:tcW w:w="120" w:type="dxa"/>
            <w:vAlign w:val="bottom"/>
          </w:tcPr>
          <w:p>
            <w:pPr>
              <w:spacing w:after="0"/>
              <w:rPr>
                <w:sz w:val="18"/>
                <w:szCs w:val="18"/>
                <w:color w:val="auto"/>
              </w:rPr>
            </w:pPr>
          </w:p>
        </w:tc>
      </w:tr>
      <w:tr>
        <w:trPr>
          <w:trHeight w:val="216"/>
        </w:trPr>
        <w:tc>
          <w:tcPr>
            <w:tcW w:w="160" w:type="dxa"/>
            <w:vAlign w:val="bottom"/>
            <w:shd w:val="clear" w:color="auto" w:fill="DEDEDE"/>
          </w:tcPr>
          <w:p>
            <w:pPr>
              <w:spacing w:after="0"/>
              <w:rPr>
                <w:sz w:val="18"/>
                <w:szCs w:val="18"/>
                <w:color w:val="auto"/>
              </w:rPr>
            </w:pPr>
          </w:p>
        </w:tc>
        <w:tc>
          <w:tcPr>
            <w:tcW w:w="4600" w:type="dxa"/>
            <w:vAlign w:val="bottom"/>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income tax</w:t>
            </w:r>
          </w:p>
        </w:tc>
        <w:tc>
          <w:tcPr>
            <w:tcW w:w="64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680" w:type="dxa"/>
            <w:vAlign w:val="bottom"/>
            <w:gridSpan w:val="2"/>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rPr>
              <w:t>(79,790)</w:t>
            </w:r>
          </w:p>
        </w:tc>
        <w:tc>
          <w:tcPr>
            <w:tcW w:w="160" w:type="dxa"/>
            <w:vAlign w:val="bottom"/>
            <w:shd w:val="clear" w:color="auto" w:fill="DEDEDE"/>
          </w:tcPr>
          <w:p>
            <w:pPr>
              <w:spacing w:after="0"/>
              <w:rPr>
                <w:sz w:val="18"/>
                <w:szCs w:val="18"/>
                <w:color w:val="auto"/>
              </w:rPr>
            </w:pPr>
          </w:p>
        </w:tc>
        <w:tc>
          <w:tcPr>
            <w:tcW w:w="280" w:type="dxa"/>
            <w:vAlign w:val="bottom"/>
            <w:shd w:val="clear" w:color="auto" w:fill="DEDEDE"/>
          </w:tcPr>
          <w:p>
            <w:pPr>
              <w:spacing w:after="0"/>
              <w:rPr>
                <w:sz w:val="18"/>
                <w:szCs w:val="18"/>
                <w:color w:val="auto"/>
              </w:rPr>
            </w:pPr>
          </w:p>
        </w:tc>
        <w:tc>
          <w:tcPr>
            <w:tcW w:w="13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45,034,422</w:t>
            </w:r>
          </w:p>
        </w:tc>
        <w:tc>
          <w:tcPr>
            <w:tcW w:w="30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4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44,954,632</w:t>
            </w:r>
          </w:p>
        </w:tc>
        <w:tc>
          <w:tcPr>
            <w:tcW w:w="120" w:type="dxa"/>
            <w:vAlign w:val="bottom"/>
            <w:shd w:val="clear" w:color="auto" w:fill="DEDEDE"/>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(9,457,229)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(9,443,147)</w:t>
            </w:r>
          </w:p>
        </w:tc>
      </w:tr>
      <w:tr>
        <w:trPr>
          <w:trHeight w:val="216"/>
        </w:trPr>
        <w:tc>
          <w:tcPr>
            <w:tcW w:w="160" w:type="dxa"/>
            <w:vAlign w:val="bottom"/>
            <w:shd w:val="clear" w:color="auto" w:fill="DEDEDE"/>
          </w:tcPr>
          <w:p>
            <w:pPr>
              <w:spacing w:after="0"/>
              <w:rPr>
                <w:sz w:val="18"/>
                <w:szCs w:val="18"/>
                <w:color w:val="auto"/>
              </w:rPr>
            </w:pPr>
          </w:p>
        </w:tc>
        <w:tc>
          <w:tcPr>
            <w:tcW w:w="4600" w:type="dxa"/>
            <w:vAlign w:val="bottom"/>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income tax</w:t>
            </w:r>
          </w:p>
        </w:tc>
        <w:tc>
          <w:tcPr>
            <w:tcW w:w="64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680" w:type="dxa"/>
            <w:vAlign w:val="bottom"/>
            <w:gridSpan w:val="2"/>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rPr>
              <w:t>(65,708)</w:t>
            </w:r>
          </w:p>
        </w:tc>
        <w:tc>
          <w:tcPr>
            <w:tcW w:w="160" w:type="dxa"/>
            <w:vAlign w:val="bottom"/>
            <w:shd w:val="clear" w:color="auto" w:fill="DEDEDE"/>
          </w:tcPr>
          <w:p>
            <w:pPr>
              <w:spacing w:after="0"/>
              <w:rPr>
                <w:sz w:val="18"/>
                <w:szCs w:val="18"/>
                <w:color w:val="auto"/>
              </w:rPr>
            </w:pPr>
          </w:p>
        </w:tc>
        <w:tc>
          <w:tcPr>
            <w:tcW w:w="280" w:type="dxa"/>
            <w:vAlign w:val="bottom"/>
            <w:shd w:val="clear" w:color="auto" w:fill="DEDEDE"/>
          </w:tcPr>
          <w:p>
            <w:pPr>
              <w:spacing w:after="0"/>
              <w:rPr>
                <w:sz w:val="18"/>
                <w:szCs w:val="18"/>
                <w:color w:val="auto"/>
              </w:rPr>
            </w:pPr>
          </w:p>
        </w:tc>
        <w:tc>
          <w:tcPr>
            <w:tcW w:w="13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35,577,193</w:t>
            </w:r>
          </w:p>
        </w:tc>
        <w:tc>
          <w:tcPr>
            <w:tcW w:w="30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4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35,511,485</w:t>
            </w:r>
          </w:p>
        </w:tc>
        <w:tc>
          <w:tcPr>
            <w:tcW w:w="120" w:type="dxa"/>
            <w:vAlign w:val="bottom"/>
            <w:shd w:val="clear" w:color="auto" w:fill="DEDEDE"/>
          </w:tcPr>
          <w:p>
            <w:pPr>
              <w:spacing w:after="0"/>
              <w:rPr>
                <w:sz w:val="18"/>
                <w:szCs w:val="18"/>
                <w:color w:val="auto"/>
              </w:rPr>
            </w:pPr>
          </w:p>
        </w:tc>
      </w:tr>
      <w:tr>
        <w:trPr>
          <w:trHeight w:val="235"/>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26,470,060</w:t>
            </w:r>
          </w:p>
        </w:tc>
        <w:tc>
          <w:tcPr>
            <w:tcW w:w="200" w:type="dxa"/>
            <w:vAlign w:val="bottom"/>
          </w:tcPr>
          <w:p>
            <w:pPr>
              <w:spacing w:after="0"/>
              <w:rPr>
                <w:sz w:val="20"/>
                <w:szCs w:val="20"/>
                <w:color w:val="auto"/>
              </w:rPr>
            </w:pP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38,160,590</w:t>
            </w:r>
          </w:p>
        </w:tc>
        <w:tc>
          <w:tcPr>
            <w:tcW w:w="300" w:type="dxa"/>
            <w:vAlign w:val="bottom"/>
          </w:tcPr>
          <w:p>
            <w:pPr>
              <w:spacing w:after="0"/>
              <w:rPr>
                <w:sz w:val="20"/>
                <w:szCs w:val="20"/>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64,630,650</w:t>
            </w:r>
          </w:p>
        </w:tc>
        <w:tc>
          <w:tcPr>
            <w:tcW w:w="120" w:type="dxa"/>
            <w:vAlign w:val="bottom"/>
          </w:tcPr>
          <w:p>
            <w:pPr>
              <w:spacing w:after="0"/>
              <w:rPr>
                <w:sz w:val="20"/>
                <w:szCs w:val="20"/>
                <w:color w:val="auto"/>
              </w:rPr>
            </w:pPr>
          </w:p>
        </w:tc>
      </w:tr>
      <w:tr>
        <w:trPr>
          <w:trHeight w:val="42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Stockholders’ Equity:</w:t>
            </w:r>
          </w:p>
        </w:tc>
        <w:tc>
          <w:tcPr>
            <w:tcW w:w="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Year Ended December 31, 2024</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1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30"/>
              <w:spacing w:after="0" w:line="190" w:lineRule="exact"/>
              <w:rPr>
                <w:sz w:val="20"/>
                <w:szCs w:val="20"/>
                <w:color w:val="auto"/>
              </w:rPr>
            </w:pPr>
            <w:r>
              <w:rPr>
                <w:rFonts w:ascii="Times New Roman" w:cs="Times New Roman" w:eastAsia="Times New Roman" w:hAnsi="Times New Roman"/>
                <w:sz w:val="18"/>
                <w:szCs w:val="18"/>
                <w:color w:val="auto"/>
              </w:rPr>
              <w:t>As Previously</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640"/>
              <w:spacing w:after="0" w:line="190" w:lineRule="exact"/>
              <w:rPr>
                <w:sz w:val="20"/>
                <w:szCs w:val="20"/>
                <w:color w:val="auto"/>
              </w:rPr>
            </w:pPr>
            <w:r>
              <w:rPr>
                <w:rFonts w:ascii="Times New Roman" w:cs="Times New Roman" w:eastAsia="Times New Roman" w:hAnsi="Times New Roman"/>
                <w:sz w:val="18"/>
                <w:szCs w:val="18"/>
                <w:color w:val="auto"/>
              </w:rPr>
              <w:t>Effect of</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30"/>
              <w:spacing w:after="0" w:line="190" w:lineRule="exact"/>
              <w:rPr>
                <w:sz w:val="20"/>
                <w:szCs w:val="20"/>
                <w:color w:val="auto"/>
              </w:rPr>
            </w:pPr>
            <w:r>
              <w:rPr>
                <w:rFonts w:ascii="Times New Roman" w:cs="Times New Roman" w:eastAsia="Times New Roman" w:hAnsi="Times New Roman"/>
                <w:sz w:val="18"/>
                <w:szCs w:val="18"/>
                <w:color w:val="auto"/>
              </w:rPr>
              <w:t>As Currently</w:t>
            </w:r>
          </w:p>
        </w:tc>
        <w:tc>
          <w:tcPr>
            <w:tcW w:w="120" w:type="dxa"/>
            <w:vAlign w:val="bottom"/>
          </w:tcPr>
          <w:p>
            <w:pPr>
              <w:spacing w:after="0"/>
              <w:rPr>
                <w:sz w:val="16"/>
                <w:szCs w:val="16"/>
                <w:color w:val="auto"/>
              </w:rPr>
            </w:pPr>
          </w:p>
        </w:tc>
      </w:tr>
      <w:tr>
        <w:trPr>
          <w:trHeight w:val="235"/>
        </w:trPr>
        <w:tc>
          <w:tcPr>
            <w:tcW w:w="1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Reported</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Change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Reported</w:t>
            </w:r>
          </w:p>
        </w:tc>
      </w:tr>
      <w:tr>
        <w:trPr>
          <w:trHeight w:val="210"/>
        </w:trPr>
        <w:tc>
          <w:tcPr>
            <w:tcW w:w="4760" w:type="dxa"/>
            <w:vAlign w:val="bottom"/>
            <w:tcBorders>
              <w:top w:val="single" w:sz="8" w:color="DEDEDE"/>
            </w:tcBorders>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640" w:type="dxa"/>
            <w:vAlign w:val="bottom"/>
            <w:tcBorders>
              <w:top w:val="single" w:sz="8" w:color="DEDEDE"/>
            </w:tcBorders>
            <w:shd w:val="clear" w:color="auto" w:fill="DEDEDE"/>
          </w:tcPr>
          <w:p>
            <w:pPr>
              <w:spacing w:after="0"/>
              <w:rPr>
                <w:sz w:val="18"/>
                <w:szCs w:val="18"/>
                <w:color w:val="auto"/>
              </w:rPr>
            </w:pPr>
          </w:p>
        </w:tc>
        <w:tc>
          <w:tcPr>
            <w:tcW w:w="220" w:type="dxa"/>
            <w:vAlign w:val="bottom"/>
            <w:tcBorders>
              <w:top w:val="single" w:sz="8" w:color="auto"/>
            </w:tcBorders>
            <w:shd w:val="clear" w:color="auto" w:fill="DEDED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(6,951,266)</w:t>
            </w:r>
          </w:p>
        </w:tc>
        <w:tc>
          <w:tcPr>
            <w:tcW w:w="20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280" w:type="dxa"/>
            <w:vAlign w:val="bottom"/>
            <w:tcBorders>
              <w:top w:val="single" w:sz="8" w:color="auto"/>
            </w:tcBorders>
            <w:shd w:val="clear" w:color="auto" w:fill="DEDED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40,670,895</w:t>
            </w:r>
          </w:p>
        </w:tc>
        <w:tc>
          <w:tcPr>
            <w:tcW w:w="30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240" w:type="dxa"/>
            <w:vAlign w:val="bottom"/>
            <w:tcBorders>
              <w:top w:val="single" w:sz="8" w:color="auto"/>
            </w:tcBorders>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33,719,629</w:t>
            </w:r>
          </w:p>
        </w:tc>
        <w:tc>
          <w:tcPr>
            <w:tcW w:w="120" w:type="dxa"/>
            <w:vAlign w:val="bottom"/>
            <w:tcBorders>
              <w:top w:val="single" w:sz="8" w:color="DEDEDE"/>
            </w:tcBorders>
            <w:shd w:val="clear" w:color="auto" w:fill="DEDEDE"/>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225,359,186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2,445,253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227,804,439</w:t>
            </w:r>
          </w:p>
        </w:tc>
        <w:tc>
          <w:tcPr>
            <w:tcW w:w="120" w:type="dxa"/>
            <w:vAlign w:val="bottom"/>
          </w:tcPr>
          <w:p>
            <w:pPr>
              <w:spacing w:after="0"/>
              <w:rPr>
                <w:sz w:val="18"/>
                <w:szCs w:val="18"/>
                <w:color w:val="auto"/>
              </w:rPr>
            </w:pPr>
          </w:p>
        </w:tc>
      </w:tr>
      <w:tr>
        <w:trPr>
          <w:trHeight w:val="216"/>
        </w:trPr>
        <w:tc>
          <w:tcPr>
            <w:tcW w:w="476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860" w:type="dxa"/>
            <w:vAlign w:val="bottom"/>
            <w:gridSpan w:val="2"/>
            <w:shd w:val="clear" w:color="auto" w:fill="DEDEDE"/>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338,782,279</w:t>
            </w:r>
          </w:p>
        </w:tc>
        <w:tc>
          <w:tcPr>
            <w:tcW w:w="200" w:type="dxa"/>
            <w:vAlign w:val="bottom"/>
            <w:shd w:val="clear" w:color="auto" w:fill="DEDEDE"/>
          </w:tcPr>
          <w:p>
            <w:pPr>
              <w:spacing w:after="0"/>
              <w:rPr>
                <w:sz w:val="18"/>
                <w:szCs w:val="18"/>
                <w:color w:val="auto"/>
              </w:rPr>
            </w:pPr>
          </w:p>
        </w:tc>
        <w:tc>
          <w:tcPr>
            <w:tcW w:w="440" w:type="dxa"/>
            <w:vAlign w:val="bottom"/>
            <w:gridSpan w:val="2"/>
            <w:shd w:val="clear" w:color="auto" w:fill="DEDEDE"/>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43,116,148</w:t>
            </w:r>
          </w:p>
        </w:tc>
        <w:tc>
          <w:tcPr>
            <w:tcW w:w="300" w:type="dxa"/>
            <w:vAlign w:val="bottom"/>
            <w:shd w:val="clear" w:color="auto" w:fill="DEDEDE"/>
          </w:tcPr>
          <w:p>
            <w:pPr>
              <w:spacing w:after="0"/>
              <w:rPr>
                <w:sz w:val="18"/>
                <w:szCs w:val="18"/>
                <w:color w:val="auto"/>
              </w:rPr>
            </w:pPr>
          </w:p>
        </w:tc>
        <w:tc>
          <w:tcPr>
            <w:tcW w:w="260" w:type="dxa"/>
            <w:vAlign w:val="bottom"/>
            <w:gridSpan w:val="2"/>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381,898,427</w:t>
            </w:r>
          </w:p>
        </w:tc>
        <w:tc>
          <w:tcPr>
            <w:tcW w:w="120" w:type="dxa"/>
            <w:vAlign w:val="bottom"/>
            <w:shd w:val="clear" w:color="auto" w:fill="DEDEDE"/>
          </w:tcPr>
          <w:p>
            <w:pPr>
              <w:spacing w:after="0"/>
              <w:rPr>
                <w:sz w:val="18"/>
                <w:szCs w:val="18"/>
                <w:color w:val="auto"/>
              </w:rPr>
            </w:pPr>
          </w:p>
        </w:tc>
      </w:tr>
      <w:tr>
        <w:trPr>
          <w:trHeight w:val="445"/>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6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Year Ended December 31, 2024</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16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jc w:val="center"/>
              <w:ind w:right="330"/>
              <w:spacing w:after="0" w:line="190" w:lineRule="exact"/>
              <w:rPr>
                <w:sz w:val="20"/>
                <w:szCs w:val="20"/>
                <w:color w:val="auto"/>
              </w:rPr>
            </w:pPr>
            <w:r>
              <w:rPr>
                <w:rFonts w:ascii="Times New Roman" w:cs="Times New Roman" w:eastAsia="Times New Roman" w:hAnsi="Times New Roman"/>
                <w:sz w:val="18"/>
                <w:szCs w:val="18"/>
                <w:color w:val="auto"/>
              </w:rPr>
              <w:t>As Previously</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80" w:type="dxa"/>
            <w:vAlign w:val="bottom"/>
            <w:gridSpan w:val="2"/>
          </w:tcPr>
          <w:p>
            <w:pPr>
              <w:jc w:val="center"/>
              <w:ind w:right="640"/>
              <w:spacing w:after="0" w:line="190" w:lineRule="exact"/>
              <w:rPr>
                <w:sz w:val="20"/>
                <w:szCs w:val="20"/>
                <w:color w:val="auto"/>
              </w:rPr>
            </w:pPr>
            <w:r>
              <w:rPr>
                <w:rFonts w:ascii="Times New Roman" w:cs="Times New Roman" w:eastAsia="Times New Roman" w:hAnsi="Times New Roman"/>
                <w:sz w:val="18"/>
                <w:szCs w:val="18"/>
                <w:color w:val="auto"/>
              </w:rPr>
              <w:t>Effect of</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center"/>
              <w:ind w:right="130"/>
              <w:spacing w:after="0" w:line="190" w:lineRule="exact"/>
              <w:rPr>
                <w:sz w:val="20"/>
                <w:szCs w:val="20"/>
                <w:color w:val="auto"/>
              </w:rPr>
            </w:pPr>
            <w:r>
              <w:rPr>
                <w:rFonts w:ascii="Times New Roman" w:cs="Times New Roman" w:eastAsia="Times New Roman" w:hAnsi="Times New Roman"/>
                <w:sz w:val="18"/>
                <w:szCs w:val="18"/>
                <w:color w:val="auto"/>
              </w:rPr>
              <w:t>As Currently</w:t>
            </w:r>
          </w:p>
        </w:tc>
        <w:tc>
          <w:tcPr>
            <w:tcW w:w="120" w:type="dxa"/>
            <w:vAlign w:val="bottom"/>
          </w:tcPr>
          <w:p>
            <w:pPr>
              <w:spacing w:after="0"/>
              <w:rPr>
                <w:sz w:val="16"/>
                <w:szCs w:val="16"/>
                <w:color w:val="auto"/>
              </w:rPr>
            </w:pPr>
          </w:p>
        </w:tc>
      </w:tr>
      <w:tr>
        <w:trPr>
          <w:trHeight w:val="235"/>
        </w:trPr>
        <w:tc>
          <w:tcPr>
            <w:tcW w:w="1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color w:val="auto"/>
                <w:w w:val="99"/>
              </w:rPr>
              <w:t>Reported</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Change</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Reported</w:t>
            </w:r>
          </w:p>
        </w:tc>
      </w:tr>
      <w:tr>
        <w:trPr>
          <w:trHeight w:val="210"/>
        </w:trPr>
        <w:tc>
          <w:tcPr>
            <w:tcW w:w="4760" w:type="dxa"/>
            <w:vAlign w:val="bottom"/>
            <w:tcBorders>
              <w:top w:val="single" w:sz="8" w:color="DEDEDE"/>
            </w:tcBorders>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40" w:type="dxa"/>
            <w:vAlign w:val="bottom"/>
            <w:tcBorders>
              <w:top w:val="single" w:sz="8" w:color="DEDEDE"/>
            </w:tcBorders>
            <w:shd w:val="clear" w:color="auto" w:fill="DEDEDE"/>
          </w:tcPr>
          <w:p>
            <w:pPr>
              <w:spacing w:after="0"/>
              <w:rPr>
                <w:sz w:val="18"/>
                <w:szCs w:val="18"/>
                <w:color w:val="auto"/>
              </w:rPr>
            </w:pPr>
          </w:p>
        </w:tc>
        <w:tc>
          <w:tcPr>
            <w:tcW w:w="220" w:type="dxa"/>
            <w:vAlign w:val="bottom"/>
            <w:tcBorders>
              <w:top w:val="single" w:sz="8" w:color="auto"/>
            </w:tcBorders>
            <w:shd w:val="clear" w:color="auto" w:fill="DEDEDE"/>
          </w:tcPr>
          <w:p>
            <w:pPr>
              <w:spacing w:after="0"/>
              <w:rPr>
                <w:sz w:val="18"/>
                <w:szCs w:val="18"/>
                <w:color w:val="auto"/>
              </w:rPr>
            </w:pPr>
          </w:p>
        </w:tc>
        <w:tc>
          <w:tcPr>
            <w:tcW w:w="148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280" w:type="dxa"/>
            <w:vAlign w:val="bottom"/>
            <w:tcBorders>
              <w:top w:val="single" w:sz="8" w:color="auto"/>
            </w:tcBorders>
            <w:shd w:val="clear" w:color="auto" w:fill="DEDEDE"/>
          </w:tcPr>
          <w:p>
            <w:pPr>
              <w:spacing w:after="0"/>
              <w:rPr>
                <w:sz w:val="18"/>
                <w:szCs w:val="18"/>
                <w:color w:val="auto"/>
              </w:rPr>
            </w:pPr>
          </w:p>
        </w:tc>
        <w:tc>
          <w:tcPr>
            <w:tcW w:w="1380" w:type="dxa"/>
            <w:vAlign w:val="bottom"/>
            <w:tcBorders>
              <w:top w:val="single" w:sz="8" w:color="auto"/>
            </w:tcBorders>
            <w:shd w:val="clear" w:color="auto" w:fill="DEDEDE"/>
          </w:tcPr>
          <w:p>
            <w:pPr>
              <w:spacing w:after="0"/>
              <w:rPr>
                <w:sz w:val="18"/>
                <w:szCs w:val="18"/>
                <w:color w:val="auto"/>
              </w:rPr>
            </w:pPr>
          </w:p>
        </w:tc>
        <w:tc>
          <w:tcPr>
            <w:tcW w:w="30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240" w:type="dxa"/>
            <w:vAlign w:val="bottom"/>
            <w:tcBorders>
              <w:top w:val="single" w:sz="8" w:color="auto"/>
            </w:tcBorders>
            <w:shd w:val="clear" w:color="auto" w:fill="DEDEDE"/>
          </w:tcPr>
          <w:p>
            <w:pPr>
              <w:spacing w:after="0"/>
              <w:rPr>
                <w:sz w:val="18"/>
                <w:szCs w:val="18"/>
                <w:color w:val="auto"/>
              </w:rPr>
            </w:pPr>
          </w:p>
        </w:tc>
        <w:tc>
          <w:tcPr>
            <w:tcW w:w="144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8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26,535,768</w:t>
            </w:r>
          </w:p>
        </w:tc>
        <w:tc>
          <w:tcPr>
            <w:tcW w:w="200" w:type="dxa"/>
            <w:vAlign w:val="bottom"/>
          </w:tcPr>
          <w:p>
            <w:pPr>
              <w:spacing w:after="0"/>
              <w:rPr>
                <w:sz w:val="18"/>
                <w:szCs w:val="18"/>
                <w:color w:val="auto"/>
              </w:rPr>
            </w:pP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2,583,397</w:t>
            </w:r>
          </w:p>
        </w:tc>
        <w:tc>
          <w:tcPr>
            <w:tcW w:w="300" w:type="dxa"/>
            <w:vAlign w:val="bottom"/>
          </w:tcPr>
          <w:p>
            <w:pPr>
              <w:spacing w:after="0"/>
              <w:rPr>
                <w:sz w:val="18"/>
                <w:szCs w:val="18"/>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29,119,165</w:t>
            </w:r>
          </w:p>
        </w:tc>
        <w:tc>
          <w:tcPr>
            <w:tcW w:w="120" w:type="dxa"/>
            <w:vAlign w:val="bottom"/>
          </w:tcPr>
          <w:p>
            <w:pPr>
              <w:spacing w:after="0"/>
              <w:rPr>
                <w:sz w:val="18"/>
                <w:szCs w:val="18"/>
                <w:color w:val="auto"/>
              </w:rPr>
            </w:pPr>
          </w:p>
        </w:tc>
      </w:tr>
      <w:tr>
        <w:trPr>
          <w:trHeight w:val="216"/>
        </w:trPr>
        <w:tc>
          <w:tcPr>
            <w:tcW w:w="476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64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311,971</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280" w:type="dxa"/>
            <w:vAlign w:val="bottom"/>
            <w:shd w:val="clear" w:color="auto" w:fill="DEDEDE"/>
          </w:tcPr>
          <w:p>
            <w:pPr>
              <w:spacing w:after="0"/>
              <w:rPr>
                <w:sz w:val="18"/>
                <w:szCs w:val="18"/>
                <w:color w:val="auto"/>
              </w:rPr>
            </w:pPr>
          </w:p>
        </w:tc>
        <w:tc>
          <w:tcPr>
            <w:tcW w:w="13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686,726</w:t>
            </w:r>
          </w:p>
        </w:tc>
        <w:tc>
          <w:tcPr>
            <w:tcW w:w="30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4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998,697</w:t>
            </w:r>
          </w:p>
        </w:tc>
        <w:tc>
          <w:tcPr>
            <w:tcW w:w="120" w:type="dxa"/>
            <w:vAlign w:val="bottom"/>
            <w:shd w:val="clear" w:color="auto" w:fill="DEDEDE"/>
          </w:tcPr>
          <w:p>
            <w:pPr>
              <w:spacing w:after="0"/>
              <w:rPr>
                <w:sz w:val="18"/>
                <w:szCs w:val="18"/>
                <w:color w:val="auto"/>
              </w:rPr>
            </w:pP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Policy and pre-need acquisition costs amortized</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15,032,413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(4,554,691)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10,477,722</w:t>
            </w:r>
          </w:p>
        </w:tc>
        <w:tc>
          <w:tcPr>
            <w:tcW w:w="120" w:type="dxa"/>
            <w:vAlign w:val="bottom"/>
          </w:tcPr>
          <w:p>
            <w:pPr>
              <w:spacing w:after="0"/>
              <w:rPr>
                <w:sz w:val="18"/>
                <w:szCs w:val="18"/>
                <w:color w:val="auto"/>
              </w:rPr>
            </w:pPr>
          </w:p>
        </w:tc>
      </w:tr>
      <w:tr>
        <w:trPr>
          <w:trHeight w:val="216"/>
        </w:trPr>
        <w:tc>
          <w:tcPr>
            <w:tcW w:w="476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Value of business acquired amortized</w:t>
            </w:r>
          </w:p>
        </w:tc>
        <w:tc>
          <w:tcPr>
            <w:tcW w:w="64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907,958</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280" w:type="dxa"/>
            <w:vAlign w:val="bottom"/>
            <w:shd w:val="clear" w:color="auto" w:fill="DEDEDE"/>
          </w:tcPr>
          <w:p>
            <w:pPr>
              <w:spacing w:after="0"/>
              <w:rPr>
                <w:sz w:val="18"/>
                <w:szCs w:val="18"/>
                <w:color w:val="auto"/>
              </w:rPr>
            </w:pPr>
          </w:p>
        </w:tc>
        <w:tc>
          <w:tcPr>
            <w:tcW w:w="168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18"/>
                <w:szCs w:val="18"/>
                <w:color w:val="auto"/>
              </w:rPr>
              <w:t>(373,064)</w:t>
            </w:r>
          </w:p>
        </w:tc>
        <w:tc>
          <w:tcPr>
            <w:tcW w:w="2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4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534,894</w:t>
            </w:r>
          </w:p>
        </w:tc>
        <w:tc>
          <w:tcPr>
            <w:tcW w:w="120" w:type="dxa"/>
            <w:vAlign w:val="bottom"/>
            <w:shd w:val="clear" w:color="auto" w:fill="DEDEDE"/>
          </w:tcPr>
          <w:p>
            <w:pPr>
              <w:spacing w:after="0"/>
              <w:rPr>
                <w:sz w:val="18"/>
                <w:szCs w:val="18"/>
                <w:color w:val="auto"/>
              </w:rPr>
            </w:pPr>
          </w:p>
        </w:tc>
      </w:tr>
      <w:tr>
        <w:trPr>
          <w:trHeight w:val="235"/>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policy benefits and unpaid claims</w:t>
            </w:r>
          </w:p>
        </w:tc>
        <w:tc>
          <w:tcPr>
            <w:tcW w:w="8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30,522,998</w:t>
            </w:r>
          </w:p>
        </w:tc>
        <w:tc>
          <w:tcPr>
            <w:tcW w:w="200" w:type="dxa"/>
            <w:vAlign w:val="bottom"/>
          </w:tcPr>
          <w:p>
            <w:pPr>
              <w:spacing w:after="0"/>
              <w:rPr>
                <w:sz w:val="20"/>
                <w:szCs w:val="20"/>
                <w:color w:val="auto"/>
              </w:rPr>
            </w:pPr>
          </w:p>
        </w:tc>
        <w:tc>
          <w:tcPr>
            <w:tcW w:w="44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1,657,632</w:t>
            </w:r>
          </w:p>
        </w:tc>
        <w:tc>
          <w:tcPr>
            <w:tcW w:w="300" w:type="dxa"/>
            <w:vAlign w:val="bottom"/>
          </w:tcPr>
          <w:p>
            <w:pPr>
              <w:spacing w:after="0"/>
              <w:rPr>
                <w:sz w:val="20"/>
                <w:szCs w:val="20"/>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32,180,630</w:t>
            </w:r>
          </w:p>
        </w:tc>
        <w:tc>
          <w:tcPr>
            <w:tcW w:w="120" w:type="dxa"/>
            <w:vAlign w:val="bottom"/>
          </w:tcPr>
          <w:p>
            <w:pPr>
              <w:spacing w:after="0"/>
              <w:rPr>
                <w:sz w:val="20"/>
                <w:szCs w:val="20"/>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ASU No. 2023-09: “Income Taxes (Topic 740): Improvements to Income Tax Disclosures”</w:t>
      </w:r>
      <w:r>
        <w:rPr>
          <w:rFonts w:ascii="Times New Roman" w:cs="Times New Roman" w:eastAsia="Times New Roman" w:hAnsi="Times New Roman"/>
          <w:sz w:val="18"/>
          <w:szCs w:val="18"/>
          <w:color w:val="auto"/>
        </w:rPr>
        <w:t xml:space="preserve"> — Issued in December 2023, ASU 2023-09 requires that public</w:t>
      </w:r>
    </w:p>
    <w:p>
      <w:pPr>
        <w:spacing w:after="0" w:line="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business entities, on an annual basis: (i) disclose specific categories in the rate reconciliation and (ii) provide additional information for reconciling items that meet a quantitative threshold. In addition, the amendments in this update require that all entities disclose on an annual basis the following information about income taxes paid: (i) the amount of income taxes paid (net of refunds received) disaggregated by federal (national), state, and foreign taxes and (ii) the amount of income taxes paid (net of refunds received) disaggregated by individual jurisdictions in which income taxes paid (net of refunds received) is equal to or greater than 5 percent of total income taxes paid (net of refunds received). The Company adopted ASU 2023-09 retrospectively for the annual period beginning January 1, 2025. The adoption of this standard did not affect the Company’s financial position or results of operations. Refer to Note 16 for the disclosures regarding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2240" w:h="15840" w:orient="portrait"/>
          <w:cols w:equalWidth="0" w:num="1">
            <w:col w:w="11240"/>
          </w:cols>
          <w:pgMar w:left="500" w:top="687" w:right="500" w:bottom="0" w:gutter="0" w:footer="0" w:header="0"/>
        </w:sectPr>
      </w:pPr>
    </w:p>
    <w:bookmarkStart w:id="53" w:name="page54"/>
    <w:bookmarkEnd w:id="53"/>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Significant Accounting Policies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Adopted</w:t>
      </w:r>
    </w:p>
    <w:p>
      <w:pPr>
        <w:spacing w:after="0" w:line="229" w:lineRule="exact"/>
        <w:rPr>
          <w:sz w:val="20"/>
          <w:szCs w:val="20"/>
          <w:color w:val="auto"/>
        </w:rPr>
      </w:pPr>
    </w:p>
    <w:p>
      <w:pPr>
        <w:jc w:val="both"/>
        <w:ind w:left="2"/>
        <w:spacing w:after="0" w:line="254" w:lineRule="auto"/>
        <w:rPr>
          <w:sz w:val="20"/>
          <w:szCs w:val="20"/>
          <w:color w:val="auto"/>
        </w:rPr>
      </w:pPr>
      <w:r>
        <w:rPr>
          <w:rFonts w:ascii="Times New Roman" w:cs="Times New Roman" w:eastAsia="Times New Roman" w:hAnsi="Times New Roman"/>
          <w:sz w:val="18"/>
          <w:szCs w:val="18"/>
          <w:u w:val="single" w:color="auto"/>
          <w:color w:val="auto"/>
        </w:rPr>
        <w:t>ASU No. 2024-03: “Income Statement-Reporting Comprehensive Income- Expense Disaggregation Disclosures (Subtopic 220-40): Disaggregation of Income Statement Expenses”</w:t>
      </w:r>
      <w:r>
        <w:rPr>
          <w:rFonts w:ascii="Times New Roman" w:cs="Times New Roman" w:eastAsia="Times New Roman" w:hAnsi="Times New Roman"/>
          <w:sz w:val="18"/>
          <w:szCs w:val="18"/>
          <w:color w:val="auto"/>
        </w:rPr>
        <w:t xml:space="preserve"> — Issued in November 2024, ASU 2024-03 requires public business entities to disclose, in the notes to the consolidated financial statements, specified information about certain expenses at each interim and annual reporting period. ASU 2024-03 requires disclosures about specific types of expenses (i.e., (a) purchases of inventory, (b) employee compensation, (c) depreciation and (d) intangible asset amortization) included in the expense captions presented on the face of the statement of earnings as well as disclosures about selling expenses. ASU 2024-03 does not change the requirements for the presentation of expenses on the statement of earnings. ASU 2024-03 is effective for annual reporting periods beginning after December 15, 2026, and interim reporting periods beginning after December 15, 2027. Accordingly, the Company will adopt the standard commencing with its annual reporting period ending December 31, 2027. The Company is in the process of estimating the potential impact of this new standard on the consolidated financial statements.</w:t>
      </w:r>
    </w:p>
    <w:p>
      <w:pPr>
        <w:spacing w:after="0" w:line="188"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8"/>
          <w:szCs w:val="18"/>
          <w:u w:val="single" w:color="auto"/>
          <w:color w:val="auto"/>
        </w:rPr>
        <w:t>ASU No. 2025-11: “Interim Reporting (Topic 270): Narrow-Scope Improvements”</w:t>
      </w:r>
      <w:r>
        <w:rPr>
          <w:rFonts w:ascii="Times New Roman" w:cs="Times New Roman" w:eastAsia="Times New Roman" w:hAnsi="Times New Roman"/>
          <w:sz w:val="18"/>
          <w:szCs w:val="18"/>
          <w:color w:val="auto"/>
        </w:rPr>
        <w:t xml:space="preserve"> — Issued in December 2025, ASU 2025-11 clarifies the form, content, and disclosure requirements for interim financial statements and the application of Topic 270. The update differentiates requirements by entity type: SEC registrants must continue to follow SEC rules for condensed financial statements; non-SEC registrants may present either full or condensed statements, using either the ASU’s guidance or SEC-style condensed guidance; and not-for-profit entities follow the non-SEC model with additional presentation considerations specific to NFP reporting. The ASU also compiles a comprehensive list of required interim disclosures for condensed statements from across the Codification, supported by conforming edits, to improve usability (while not replacing underlying guidance). In addition, the ASU reinforces a disclosure principle requiring entities to provide interim disclosures for significant events or transactions that have had a material effect since the most recent year-end, such as changes in accounting principles, key estimates, financing arrangements, long-term contracts, or the reporting entity. The amendments are effective for public business entities for interim periods within annual periods beginning after December 15, 2027, with early adoption permitted. The guidance may be applied prospectively or retrospectively. The Company is in the process of estimating the potential impact of this new standard on the consolidated financial statements.</w:t>
      </w:r>
    </w:p>
    <w:p>
      <w:pPr>
        <w:spacing w:after="0" w:line="191"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Company has reviewed other recent accounting pronouncements and has determined that they will not significantly impact the Company’s results of operations or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26</w:t>
      </w:r>
    </w:p>
    <w:p>
      <w:pPr>
        <w:sectPr>
          <w:pgSz w:w="12240" w:h="15840" w:orient="portrait"/>
          <w:cols w:equalWidth="0" w:num="1">
            <w:col w:w="11242"/>
          </w:cols>
          <w:pgMar w:left="498" w:top="687" w:right="500" w:bottom="0" w:gutter="0" w:footer="0" w:header="0"/>
        </w:sectPr>
      </w:pPr>
    </w:p>
    <w:bookmarkStart w:id="54" w:name="page55"/>
    <w:bookmarkEnd w:id="54"/>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Company’s investments as of December 31, 2025, are summarized as follows:</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Allowance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Unrealized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for Credit</w:t>
            </w:r>
          </w:p>
        </w:tc>
        <w:tc>
          <w:tcPr>
            <w:tcW w:w="1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Amortized Cost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Gains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8"/>
                <w:szCs w:val="18"/>
                <w:color w:val="auto"/>
                <w:w w:val="99"/>
              </w:rPr>
              <w:t>Losses (1)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tcBorders>
              <w:top w:val="single" w:sz="8" w:color="DEDEDE"/>
            </w:tcBorders>
            <w:gridSpan w:val="3"/>
            <w:shd w:val="clear" w:color="auto" w:fill="DEDEDE"/>
          </w:tcPr>
          <w:p>
            <w:pPr>
              <w:spacing w:after="0" w:line="170" w:lineRule="exact"/>
              <w:rPr>
                <w:sz w:val="20"/>
                <w:szCs w:val="20"/>
                <w:color w:val="auto"/>
              </w:rPr>
            </w:pPr>
            <w:r>
              <w:rPr>
                <w:rFonts w:ascii="Times New Roman" w:cs="Times New Roman" w:eastAsia="Times New Roman" w:hAnsi="Times New Roman"/>
                <w:sz w:val="18"/>
                <w:szCs w:val="18"/>
                <w:u w:val="single" w:color="auto"/>
                <w:color w:val="auto"/>
              </w:rPr>
              <w:t>December 31,</w:t>
            </w:r>
            <w:r>
              <w:rPr>
                <w:rFonts w:ascii="Times New Roman" w:cs="Times New Roman" w:eastAsia="Times New Roman" w:hAnsi="Times New Roman"/>
                <w:sz w:val="18"/>
                <w:szCs w:val="18"/>
                <w:color w:val="auto"/>
              </w:rPr>
              <w:t xml:space="preserve"> 2025:</w:t>
            </w:r>
          </w:p>
        </w:tc>
        <w:tc>
          <w:tcPr>
            <w:tcW w:w="120" w:type="dxa"/>
            <w:vAlign w:val="bottom"/>
            <w:tcBorders>
              <w:top w:val="single" w:sz="8" w:color="DEDEDE"/>
            </w:tcBorders>
            <w:shd w:val="clear" w:color="auto" w:fill="DEDEDE"/>
          </w:tcPr>
          <w:p>
            <w:pPr>
              <w:spacing w:after="0"/>
              <w:rPr>
                <w:sz w:val="14"/>
                <w:szCs w:val="14"/>
                <w:color w:val="auto"/>
              </w:rPr>
            </w:pPr>
          </w:p>
        </w:tc>
        <w:tc>
          <w:tcPr>
            <w:tcW w:w="200" w:type="dxa"/>
            <w:vAlign w:val="bottom"/>
            <w:tcBorders>
              <w:top w:val="single" w:sz="8" w:color="auto"/>
            </w:tcBorders>
            <w:shd w:val="clear" w:color="auto" w:fill="DEDEDE"/>
          </w:tcPr>
          <w:p>
            <w:pPr>
              <w:spacing w:after="0"/>
              <w:rPr>
                <w:sz w:val="14"/>
                <w:szCs w:val="14"/>
                <w:color w:val="auto"/>
              </w:rPr>
            </w:pPr>
          </w:p>
        </w:tc>
        <w:tc>
          <w:tcPr>
            <w:tcW w:w="980" w:type="dxa"/>
            <w:vAlign w:val="bottom"/>
            <w:tcBorders>
              <w:top w:val="single" w:sz="8" w:color="auto"/>
            </w:tcBorders>
            <w:shd w:val="clear" w:color="auto" w:fill="DEDEDE"/>
          </w:tcPr>
          <w:p>
            <w:pPr>
              <w:spacing w:after="0"/>
              <w:rPr>
                <w:sz w:val="14"/>
                <w:szCs w:val="14"/>
                <w:color w:val="auto"/>
              </w:rPr>
            </w:pPr>
          </w:p>
        </w:tc>
        <w:tc>
          <w:tcPr>
            <w:tcW w:w="200" w:type="dxa"/>
            <w:vAlign w:val="bottom"/>
            <w:tcBorders>
              <w:top w:val="single" w:sz="8" w:color="DEDEDE"/>
            </w:tcBorders>
            <w:shd w:val="clear" w:color="auto" w:fill="DEDEDE"/>
          </w:tcPr>
          <w:p>
            <w:pPr>
              <w:spacing w:after="0"/>
              <w:rPr>
                <w:sz w:val="14"/>
                <w:szCs w:val="14"/>
                <w:color w:val="auto"/>
              </w:rPr>
            </w:pPr>
          </w:p>
        </w:tc>
        <w:tc>
          <w:tcPr>
            <w:tcW w:w="160" w:type="dxa"/>
            <w:vAlign w:val="bottom"/>
            <w:tcBorders>
              <w:top w:val="single" w:sz="8" w:color="DEDEDE"/>
            </w:tcBorders>
            <w:shd w:val="clear" w:color="auto" w:fill="DEDEDE"/>
          </w:tcPr>
          <w:p>
            <w:pPr>
              <w:spacing w:after="0"/>
              <w:rPr>
                <w:sz w:val="14"/>
                <w:szCs w:val="14"/>
                <w:color w:val="auto"/>
              </w:rPr>
            </w:pPr>
          </w:p>
        </w:tc>
        <w:tc>
          <w:tcPr>
            <w:tcW w:w="120" w:type="dxa"/>
            <w:vAlign w:val="bottom"/>
            <w:tcBorders>
              <w:top w:val="single" w:sz="8" w:color="auto"/>
            </w:tcBorders>
            <w:shd w:val="clear" w:color="auto" w:fill="DEDEDE"/>
          </w:tcPr>
          <w:p>
            <w:pPr>
              <w:spacing w:after="0"/>
              <w:rPr>
                <w:sz w:val="14"/>
                <w:szCs w:val="14"/>
                <w:color w:val="auto"/>
              </w:rPr>
            </w:pPr>
          </w:p>
        </w:tc>
        <w:tc>
          <w:tcPr>
            <w:tcW w:w="1000" w:type="dxa"/>
            <w:vAlign w:val="bottom"/>
            <w:tcBorders>
              <w:top w:val="single" w:sz="8" w:color="auto"/>
            </w:tcBorders>
            <w:shd w:val="clear" w:color="auto" w:fill="DEDEDE"/>
          </w:tcPr>
          <w:p>
            <w:pPr>
              <w:spacing w:after="0"/>
              <w:rPr>
                <w:sz w:val="14"/>
                <w:szCs w:val="14"/>
                <w:color w:val="auto"/>
              </w:rPr>
            </w:pPr>
          </w:p>
        </w:tc>
        <w:tc>
          <w:tcPr>
            <w:tcW w:w="160" w:type="dxa"/>
            <w:vAlign w:val="bottom"/>
            <w:tcBorders>
              <w:top w:val="single" w:sz="8" w:color="DEDEDE"/>
            </w:tcBorders>
            <w:shd w:val="clear" w:color="auto" w:fill="DEDEDE"/>
          </w:tcPr>
          <w:p>
            <w:pPr>
              <w:spacing w:after="0"/>
              <w:rPr>
                <w:sz w:val="14"/>
                <w:szCs w:val="14"/>
                <w:color w:val="auto"/>
              </w:rPr>
            </w:pPr>
          </w:p>
        </w:tc>
        <w:tc>
          <w:tcPr>
            <w:tcW w:w="180" w:type="dxa"/>
            <w:vAlign w:val="bottom"/>
            <w:tcBorders>
              <w:top w:val="single" w:sz="8" w:color="DEDEDE"/>
            </w:tcBorders>
            <w:shd w:val="clear" w:color="auto" w:fill="DEDEDE"/>
          </w:tcPr>
          <w:p>
            <w:pPr>
              <w:spacing w:after="0"/>
              <w:rPr>
                <w:sz w:val="14"/>
                <w:szCs w:val="14"/>
                <w:color w:val="auto"/>
              </w:rPr>
            </w:pPr>
          </w:p>
        </w:tc>
        <w:tc>
          <w:tcPr>
            <w:tcW w:w="120" w:type="dxa"/>
            <w:vAlign w:val="bottom"/>
            <w:tcBorders>
              <w:top w:val="single" w:sz="8" w:color="auto"/>
            </w:tcBorders>
            <w:shd w:val="clear" w:color="auto" w:fill="DEDEDE"/>
          </w:tcPr>
          <w:p>
            <w:pPr>
              <w:spacing w:after="0"/>
              <w:rPr>
                <w:sz w:val="14"/>
                <w:szCs w:val="14"/>
                <w:color w:val="auto"/>
              </w:rPr>
            </w:pPr>
          </w:p>
        </w:tc>
        <w:tc>
          <w:tcPr>
            <w:tcW w:w="980" w:type="dxa"/>
            <w:vAlign w:val="bottom"/>
            <w:tcBorders>
              <w:top w:val="single" w:sz="8" w:color="auto"/>
            </w:tcBorders>
            <w:shd w:val="clear" w:color="auto" w:fill="DEDEDE"/>
          </w:tcPr>
          <w:p>
            <w:pPr>
              <w:spacing w:after="0"/>
              <w:rPr>
                <w:sz w:val="14"/>
                <w:szCs w:val="14"/>
                <w:color w:val="auto"/>
              </w:rPr>
            </w:pPr>
          </w:p>
        </w:tc>
        <w:tc>
          <w:tcPr>
            <w:tcW w:w="200" w:type="dxa"/>
            <w:vAlign w:val="bottom"/>
            <w:tcBorders>
              <w:top w:val="single" w:sz="8" w:color="DEDEDE"/>
            </w:tcBorders>
            <w:shd w:val="clear" w:color="auto" w:fill="DEDEDE"/>
          </w:tcPr>
          <w:p>
            <w:pPr>
              <w:spacing w:after="0"/>
              <w:rPr>
                <w:sz w:val="14"/>
                <w:szCs w:val="14"/>
                <w:color w:val="auto"/>
              </w:rPr>
            </w:pPr>
          </w:p>
        </w:tc>
        <w:tc>
          <w:tcPr>
            <w:tcW w:w="120" w:type="dxa"/>
            <w:vAlign w:val="bottom"/>
            <w:tcBorders>
              <w:top w:val="single" w:sz="8" w:color="DEDEDE"/>
            </w:tcBorders>
            <w:shd w:val="clear" w:color="auto" w:fill="DEDEDE"/>
          </w:tcPr>
          <w:p>
            <w:pPr>
              <w:spacing w:after="0"/>
              <w:rPr>
                <w:sz w:val="14"/>
                <w:szCs w:val="14"/>
                <w:color w:val="auto"/>
              </w:rPr>
            </w:pPr>
          </w:p>
        </w:tc>
        <w:tc>
          <w:tcPr>
            <w:tcW w:w="140" w:type="dxa"/>
            <w:vAlign w:val="bottom"/>
            <w:tcBorders>
              <w:top w:val="single" w:sz="8" w:color="auto"/>
            </w:tcBorders>
            <w:shd w:val="clear" w:color="auto" w:fill="DEDEDE"/>
          </w:tcPr>
          <w:p>
            <w:pPr>
              <w:spacing w:after="0"/>
              <w:rPr>
                <w:sz w:val="14"/>
                <w:szCs w:val="14"/>
                <w:color w:val="auto"/>
              </w:rPr>
            </w:pPr>
          </w:p>
        </w:tc>
        <w:tc>
          <w:tcPr>
            <w:tcW w:w="980" w:type="dxa"/>
            <w:vAlign w:val="bottom"/>
            <w:tcBorders>
              <w:top w:val="single" w:sz="8" w:color="auto"/>
            </w:tcBorders>
            <w:shd w:val="clear" w:color="auto" w:fill="DEDEDE"/>
          </w:tcPr>
          <w:p>
            <w:pPr>
              <w:spacing w:after="0"/>
              <w:rPr>
                <w:sz w:val="14"/>
                <w:szCs w:val="14"/>
                <w:color w:val="auto"/>
              </w:rPr>
            </w:pPr>
          </w:p>
        </w:tc>
        <w:tc>
          <w:tcPr>
            <w:tcW w:w="180" w:type="dxa"/>
            <w:vAlign w:val="bottom"/>
            <w:tcBorders>
              <w:top w:val="single" w:sz="8" w:color="DEDEDE"/>
            </w:tcBorders>
            <w:shd w:val="clear" w:color="auto" w:fill="DEDEDE"/>
          </w:tcPr>
          <w:p>
            <w:pPr>
              <w:spacing w:after="0"/>
              <w:rPr>
                <w:sz w:val="14"/>
                <w:szCs w:val="14"/>
                <w:color w:val="auto"/>
              </w:rPr>
            </w:pPr>
          </w:p>
        </w:tc>
        <w:tc>
          <w:tcPr>
            <w:tcW w:w="140" w:type="dxa"/>
            <w:vAlign w:val="bottom"/>
            <w:tcBorders>
              <w:top w:val="single" w:sz="8" w:color="DEDEDE"/>
            </w:tcBorders>
            <w:shd w:val="clear" w:color="auto" w:fill="DEDEDE"/>
          </w:tcPr>
          <w:p>
            <w:pPr>
              <w:spacing w:after="0"/>
              <w:rPr>
                <w:sz w:val="14"/>
                <w:szCs w:val="14"/>
                <w:color w:val="auto"/>
              </w:rPr>
            </w:pPr>
          </w:p>
        </w:tc>
        <w:tc>
          <w:tcPr>
            <w:tcW w:w="140" w:type="dxa"/>
            <w:vAlign w:val="bottom"/>
            <w:tcBorders>
              <w:top w:val="single" w:sz="8" w:color="auto"/>
            </w:tcBorders>
            <w:shd w:val="clear" w:color="auto" w:fill="DEDEDE"/>
          </w:tcPr>
          <w:p>
            <w:pPr>
              <w:spacing w:after="0"/>
              <w:rPr>
                <w:sz w:val="14"/>
                <w:szCs w:val="14"/>
                <w:color w:val="auto"/>
              </w:rPr>
            </w:pPr>
          </w:p>
        </w:tc>
        <w:tc>
          <w:tcPr>
            <w:tcW w:w="960" w:type="dxa"/>
            <w:vAlign w:val="bottom"/>
            <w:tcBorders>
              <w:top w:val="single" w:sz="8" w:color="auto"/>
            </w:tcBorders>
            <w:shd w:val="clear" w:color="auto" w:fill="DEDEDE"/>
          </w:tcPr>
          <w:p>
            <w:pPr>
              <w:spacing w:after="0"/>
              <w:rPr>
                <w:sz w:val="14"/>
                <w:szCs w:val="14"/>
                <w:color w:val="auto"/>
              </w:rPr>
            </w:pPr>
          </w:p>
        </w:tc>
        <w:tc>
          <w:tcPr>
            <w:tcW w:w="120" w:type="dxa"/>
            <w:vAlign w:val="bottom"/>
            <w:tcBorders>
              <w:top w:val="single" w:sz="8" w:color="DEDEDE"/>
            </w:tcBorders>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DEDEDE"/>
            </w:tcBorders>
            <w:shd w:val="clear" w:color="auto" w:fill="DEDEDE"/>
          </w:tcPr>
          <w:p>
            <w:pPr>
              <w:spacing w:after="0" w:line="20" w:lineRule="exact"/>
              <w:rPr>
                <w:sz w:val="1"/>
                <w:szCs w:val="1"/>
                <w:color w:val="auto"/>
              </w:rPr>
            </w:pPr>
          </w:p>
        </w:tc>
        <w:tc>
          <w:tcPr>
            <w:tcW w:w="400" w:type="dxa"/>
            <w:vAlign w:val="bottom"/>
            <w:tcBorders>
              <w:top w:val="single" w:sz="8" w:color="auto"/>
            </w:tcBorders>
            <w:shd w:val="clear" w:color="auto" w:fill="DEDEDE"/>
          </w:tcPr>
          <w:p>
            <w:pPr>
              <w:spacing w:after="0" w:line="20" w:lineRule="exact"/>
              <w:rPr>
                <w:sz w:val="1"/>
                <w:szCs w:val="1"/>
                <w:color w:val="auto"/>
              </w:rPr>
            </w:pPr>
          </w:p>
        </w:tc>
        <w:tc>
          <w:tcPr>
            <w:tcW w:w="2580" w:type="dxa"/>
            <w:vAlign w:val="bottom"/>
            <w:tcBorders>
              <w:top w:val="single" w:sz="8" w:color="DEDEDE"/>
            </w:tcBorders>
            <w:shd w:val="clear" w:color="auto" w:fill="DEDEDE"/>
          </w:tcPr>
          <w:p>
            <w:pPr>
              <w:spacing w:after="0" w:line="20" w:lineRule="exact"/>
              <w:rPr>
                <w:sz w:val="1"/>
                <w:szCs w:val="1"/>
                <w:color w:val="auto"/>
              </w:rPr>
            </w:pPr>
          </w:p>
        </w:tc>
        <w:tc>
          <w:tcPr>
            <w:tcW w:w="120" w:type="dxa"/>
            <w:vAlign w:val="bottom"/>
            <w:tcBorders>
              <w:top w:val="single" w:sz="8" w:color="DEDEDE"/>
            </w:tcBorders>
            <w:shd w:val="clear" w:color="auto" w:fill="DEDEDE"/>
          </w:tcPr>
          <w:p>
            <w:pPr>
              <w:spacing w:after="0" w:line="20" w:lineRule="exact"/>
              <w:rPr>
                <w:sz w:val="1"/>
                <w:szCs w:val="1"/>
                <w:color w:val="auto"/>
              </w:rPr>
            </w:pPr>
          </w:p>
        </w:tc>
        <w:tc>
          <w:tcPr>
            <w:tcW w:w="200" w:type="dxa"/>
            <w:vAlign w:val="bottom"/>
            <w:tcBorders>
              <w:top w:val="single" w:sz="8" w:color="DEDEDE"/>
            </w:tcBorders>
            <w:shd w:val="clear" w:color="auto" w:fill="DEDEDE"/>
          </w:tcPr>
          <w:p>
            <w:pPr>
              <w:spacing w:after="0" w:line="20" w:lineRule="exact"/>
              <w:rPr>
                <w:sz w:val="1"/>
                <w:szCs w:val="1"/>
                <w:color w:val="auto"/>
              </w:rPr>
            </w:pPr>
          </w:p>
        </w:tc>
        <w:tc>
          <w:tcPr>
            <w:tcW w:w="980" w:type="dxa"/>
            <w:vAlign w:val="bottom"/>
            <w:tcBorders>
              <w:top w:val="single" w:sz="8" w:color="DEDEDE"/>
            </w:tcBorders>
            <w:shd w:val="clear" w:color="auto" w:fill="DEDEDE"/>
          </w:tcPr>
          <w:p>
            <w:pPr>
              <w:spacing w:after="0" w:line="20" w:lineRule="exact"/>
              <w:rPr>
                <w:sz w:val="1"/>
                <w:szCs w:val="1"/>
                <w:color w:val="auto"/>
              </w:rPr>
            </w:pPr>
          </w:p>
        </w:tc>
        <w:tc>
          <w:tcPr>
            <w:tcW w:w="200" w:type="dxa"/>
            <w:vAlign w:val="bottom"/>
            <w:tcBorders>
              <w:top w:val="single" w:sz="8" w:color="DEDEDE"/>
            </w:tcBorders>
            <w:shd w:val="clear" w:color="auto" w:fill="DEDEDE"/>
          </w:tcPr>
          <w:p>
            <w:pPr>
              <w:spacing w:after="0" w:line="20" w:lineRule="exact"/>
              <w:rPr>
                <w:sz w:val="1"/>
                <w:szCs w:val="1"/>
                <w:color w:val="auto"/>
              </w:rPr>
            </w:pPr>
          </w:p>
        </w:tc>
        <w:tc>
          <w:tcPr>
            <w:tcW w:w="160" w:type="dxa"/>
            <w:vAlign w:val="bottom"/>
            <w:tcBorders>
              <w:top w:val="single" w:sz="8" w:color="DEDEDE"/>
            </w:tcBorders>
            <w:shd w:val="clear" w:color="auto" w:fill="DEDEDE"/>
          </w:tcPr>
          <w:p>
            <w:pPr>
              <w:spacing w:after="0" w:line="20" w:lineRule="exact"/>
              <w:rPr>
                <w:sz w:val="1"/>
                <w:szCs w:val="1"/>
                <w:color w:val="auto"/>
              </w:rPr>
            </w:pPr>
          </w:p>
        </w:tc>
        <w:tc>
          <w:tcPr>
            <w:tcW w:w="120" w:type="dxa"/>
            <w:vAlign w:val="bottom"/>
            <w:tcBorders>
              <w:top w:val="single" w:sz="8" w:color="DEDEDE"/>
            </w:tcBorders>
            <w:shd w:val="clear" w:color="auto" w:fill="DEDEDE"/>
          </w:tcPr>
          <w:p>
            <w:pPr>
              <w:spacing w:after="0" w:line="20" w:lineRule="exact"/>
              <w:rPr>
                <w:sz w:val="1"/>
                <w:szCs w:val="1"/>
                <w:color w:val="auto"/>
              </w:rPr>
            </w:pPr>
          </w:p>
        </w:tc>
        <w:tc>
          <w:tcPr>
            <w:tcW w:w="1000" w:type="dxa"/>
            <w:vAlign w:val="bottom"/>
            <w:tcBorders>
              <w:top w:val="single" w:sz="8" w:color="DEDEDE"/>
            </w:tcBorders>
            <w:shd w:val="clear" w:color="auto" w:fill="DEDEDE"/>
          </w:tcPr>
          <w:p>
            <w:pPr>
              <w:spacing w:after="0" w:line="20" w:lineRule="exact"/>
              <w:rPr>
                <w:sz w:val="1"/>
                <w:szCs w:val="1"/>
                <w:color w:val="auto"/>
              </w:rPr>
            </w:pPr>
          </w:p>
        </w:tc>
        <w:tc>
          <w:tcPr>
            <w:tcW w:w="160" w:type="dxa"/>
            <w:vAlign w:val="bottom"/>
            <w:tcBorders>
              <w:top w:val="single" w:sz="8" w:color="DEDEDE"/>
            </w:tcBorders>
            <w:shd w:val="clear" w:color="auto" w:fill="DEDEDE"/>
          </w:tcPr>
          <w:p>
            <w:pPr>
              <w:spacing w:after="0" w:line="20" w:lineRule="exact"/>
              <w:rPr>
                <w:sz w:val="1"/>
                <w:szCs w:val="1"/>
                <w:color w:val="auto"/>
              </w:rPr>
            </w:pPr>
          </w:p>
        </w:tc>
        <w:tc>
          <w:tcPr>
            <w:tcW w:w="180" w:type="dxa"/>
            <w:vAlign w:val="bottom"/>
            <w:tcBorders>
              <w:top w:val="single" w:sz="8" w:color="DEDEDE"/>
            </w:tcBorders>
            <w:shd w:val="clear" w:color="auto" w:fill="DEDEDE"/>
          </w:tcPr>
          <w:p>
            <w:pPr>
              <w:spacing w:after="0" w:line="20" w:lineRule="exact"/>
              <w:rPr>
                <w:sz w:val="1"/>
                <w:szCs w:val="1"/>
                <w:color w:val="auto"/>
              </w:rPr>
            </w:pPr>
          </w:p>
        </w:tc>
        <w:tc>
          <w:tcPr>
            <w:tcW w:w="120" w:type="dxa"/>
            <w:vAlign w:val="bottom"/>
            <w:tcBorders>
              <w:top w:val="single" w:sz="8" w:color="DEDEDE"/>
            </w:tcBorders>
            <w:shd w:val="clear" w:color="auto" w:fill="DEDEDE"/>
          </w:tcPr>
          <w:p>
            <w:pPr>
              <w:spacing w:after="0" w:line="20" w:lineRule="exact"/>
              <w:rPr>
                <w:sz w:val="1"/>
                <w:szCs w:val="1"/>
                <w:color w:val="auto"/>
              </w:rPr>
            </w:pPr>
          </w:p>
        </w:tc>
        <w:tc>
          <w:tcPr>
            <w:tcW w:w="980" w:type="dxa"/>
            <w:vAlign w:val="bottom"/>
            <w:tcBorders>
              <w:top w:val="single" w:sz="8" w:color="DEDEDE"/>
            </w:tcBorders>
            <w:shd w:val="clear" w:color="auto" w:fill="DEDEDE"/>
          </w:tcPr>
          <w:p>
            <w:pPr>
              <w:spacing w:after="0" w:line="20" w:lineRule="exact"/>
              <w:rPr>
                <w:sz w:val="1"/>
                <w:szCs w:val="1"/>
                <w:color w:val="auto"/>
              </w:rPr>
            </w:pPr>
          </w:p>
        </w:tc>
        <w:tc>
          <w:tcPr>
            <w:tcW w:w="200" w:type="dxa"/>
            <w:vAlign w:val="bottom"/>
            <w:tcBorders>
              <w:top w:val="single" w:sz="8" w:color="DEDEDE"/>
            </w:tcBorders>
            <w:shd w:val="clear" w:color="auto" w:fill="DEDEDE"/>
          </w:tcPr>
          <w:p>
            <w:pPr>
              <w:spacing w:after="0" w:line="20" w:lineRule="exact"/>
              <w:rPr>
                <w:sz w:val="1"/>
                <w:szCs w:val="1"/>
                <w:color w:val="auto"/>
              </w:rPr>
            </w:pPr>
          </w:p>
        </w:tc>
        <w:tc>
          <w:tcPr>
            <w:tcW w:w="120" w:type="dxa"/>
            <w:vAlign w:val="bottom"/>
            <w:tcBorders>
              <w:top w:val="single" w:sz="8" w:color="DEDEDE"/>
            </w:tcBorders>
            <w:shd w:val="clear" w:color="auto" w:fill="DEDEDE"/>
          </w:tcPr>
          <w:p>
            <w:pPr>
              <w:spacing w:after="0" w:line="20" w:lineRule="exact"/>
              <w:rPr>
                <w:sz w:val="1"/>
                <w:szCs w:val="1"/>
                <w:color w:val="auto"/>
              </w:rPr>
            </w:pPr>
          </w:p>
        </w:tc>
        <w:tc>
          <w:tcPr>
            <w:tcW w:w="140" w:type="dxa"/>
            <w:vAlign w:val="bottom"/>
            <w:tcBorders>
              <w:top w:val="single" w:sz="8" w:color="DEDEDE"/>
            </w:tcBorders>
            <w:shd w:val="clear" w:color="auto" w:fill="DEDEDE"/>
          </w:tcPr>
          <w:p>
            <w:pPr>
              <w:spacing w:after="0" w:line="20" w:lineRule="exact"/>
              <w:rPr>
                <w:sz w:val="1"/>
                <w:szCs w:val="1"/>
                <w:color w:val="auto"/>
              </w:rPr>
            </w:pPr>
          </w:p>
        </w:tc>
        <w:tc>
          <w:tcPr>
            <w:tcW w:w="980" w:type="dxa"/>
            <w:vAlign w:val="bottom"/>
            <w:tcBorders>
              <w:top w:val="single" w:sz="8" w:color="DEDEDE"/>
            </w:tcBorders>
            <w:shd w:val="clear" w:color="auto" w:fill="DEDEDE"/>
          </w:tcPr>
          <w:p>
            <w:pPr>
              <w:spacing w:after="0" w:line="20" w:lineRule="exact"/>
              <w:rPr>
                <w:sz w:val="1"/>
                <w:szCs w:val="1"/>
                <w:color w:val="auto"/>
              </w:rPr>
            </w:pPr>
          </w:p>
        </w:tc>
        <w:tc>
          <w:tcPr>
            <w:tcW w:w="180" w:type="dxa"/>
            <w:vAlign w:val="bottom"/>
            <w:tcBorders>
              <w:top w:val="single" w:sz="8" w:color="DEDEDE"/>
            </w:tcBorders>
            <w:shd w:val="clear" w:color="auto" w:fill="DEDEDE"/>
          </w:tcPr>
          <w:p>
            <w:pPr>
              <w:spacing w:after="0" w:line="20" w:lineRule="exact"/>
              <w:rPr>
                <w:sz w:val="1"/>
                <w:szCs w:val="1"/>
                <w:color w:val="auto"/>
              </w:rPr>
            </w:pPr>
          </w:p>
        </w:tc>
        <w:tc>
          <w:tcPr>
            <w:tcW w:w="140" w:type="dxa"/>
            <w:vAlign w:val="bottom"/>
            <w:tcBorders>
              <w:top w:val="single" w:sz="8" w:color="DEDEDE"/>
            </w:tcBorders>
            <w:shd w:val="clear" w:color="auto" w:fill="DEDEDE"/>
          </w:tcPr>
          <w:p>
            <w:pPr>
              <w:spacing w:after="0" w:line="20" w:lineRule="exact"/>
              <w:rPr>
                <w:sz w:val="1"/>
                <w:szCs w:val="1"/>
                <w:color w:val="auto"/>
              </w:rPr>
            </w:pPr>
          </w:p>
        </w:tc>
        <w:tc>
          <w:tcPr>
            <w:tcW w:w="140" w:type="dxa"/>
            <w:vAlign w:val="bottom"/>
            <w:tcBorders>
              <w:top w:val="single" w:sz="8" w:color="DEDEDE"/>
            </w:tcBorders>
            <w:shd w:val="clear" w:color="auto" w:fill="DEDEDE"/>
          </w:tcPr>
          <w:p>
            <w:pPr>
              <w:spacing w:after="0" w:line="20" w:lineRule="exact"/>
              <w:rPr>
                <w:sz w:val="1"/>
                <w:szCs w:val="1"/>
                <w:color w:val="auto"/>
              </w:rPr>
            </w:pPr>
          </w:p>
        </w:tc>
        <w:tc>
          <w:tcPr>
            <w:tcW w:w="960" w:type="dxa"/>
            <w:vAlign w:val="bottom"/>
            <w:tcBorders>
              <w:top w:val="single" w:sz="8" w:color="DEDEDE"/>
            </w:tcBorders>
            <w:shd w:val="clear" w:color="auto" w:fill="DEDEDE"/>
          </w:tcPr>
          <w:p>
            <w:pPr>
              <w:spacing w:after="0" w:line="20" w:lineRule="exact"/>
              <w:rPr>
                <w:sz w:val="1"/>
                <w:szCs w:val="1"/>
                <w:color w:val="auto"/>
              </w:rPr>
            </w:pPr>
          </w:p>
        </w:tc>
        <w:tc>
          <w:tcPr>
            <w:tcW w:w="120" w:type="dxa"/>
            <w:vAlign w:val="bottom"/>
            <w:tcBorders>
              <w:top w:val="single" w:sz="8" w:color="DEDEDE"/>
            </w:tcBorders>
            <w:shd w:val="clear" w:color="auto" w:fill="DED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gridSpan w:val="3"/>
            <w:shd w:val="clear" w:color="auto" w:fill="DEDEDE"/>
          </w:tcPr>
          <w:p>
            <w:pPr>
              <w:ind w:left="160"/>
              <w:spacing w:after="0" w:line="196"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2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98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0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98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9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9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2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Government agencies</w:t>
            </w:r>
          </w:p>
        </w:tc>
        <w:tc>
          <w:tcPr>
            <w:tcW w:w="320" w:type="dxa"/>
            <w:vAlign w:val="bottom"/>
            <w:gridSpan w:val="2"/>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75,713,307</w:t>
            </w:r>
          </w:p>
        </w:tc>
        <w:tc>
          <w:tcPr>
            <w:tcW w:w="200" w:type="dxa"/>
            <w:vAlign w:val="bottom"/>
            <w:shd w:val="clear" w:color="auto" w:fill="DEDEDE"/>
          </w:tcPr>
          <w:p>
            <w:pPr>
              <w:spacing w:after="0"/>
              <w:rPr>
                <w:sz w:val="20"/>
                <w:szCs w:val="20"/>
                <w:color w:val="auto"/>
              </w:rPr>
            </w:pPr>
          </w:p>
        </w:tc>
        <w:tc>
          <w:tcPr>
            <w:tcW w:w="28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982,769</w:t>
            </w:r>
          </w:p>
        </w:tc>
        <w:tc>
          <w:tcPr>
            <w:tcW w:w="160" w:type="dxa"/>
            <w:vAlign w:val="bottom"/>
            <w:shd w:val="clear" w:color="auto" w:fill="DEDEDE"/>
          </w:tcPr>
          <w:p>
            <w:pPr>
              <w:spacing w:after="0"/>
              <w:rPr>
                <w:sz w:val="20"/>
                <w:szCs w:val="20"/>
                <w:color w:val="auto"/>
              </w:rPr>
            </w:pPr>
          </w:p>
        </w:tc>
        <w:tc>
          <w:tcPr>
            <w:tcW w:w="30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(89,550)</w:t>
            </w:r>
          </w:p>
        </w:tc>
        <w:tc>
          <w:tcPr>
            <w:tcW w:w="26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20"/>
                <w:szCs w:val="20"/>
                <w:color w:val="auto"/>
              </w:rPr>
            </w:pPr>
          </w:p>
        </w:tc>
        <w:tc>
          <w:tcPr>
            <w:tcW w:w="280" w:type="dxa"/>
            <w:vAlign w:val="bottom"/>
            <w:gridSpan w:val="2"/>
            <w:shd w:val="clear" w:color="auto" w:fill="DEDED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76,606,526</w:t>
            </w:r>
          </w:p>
        </w:tc>
        <w:tc>
          <w:tcPr>
            <w:tcW w:w="1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3,396,999</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18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(172,184)</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3,236,477</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277,708,638</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7,029,453</w:t>
            </w: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18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(3,387,651)</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16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(425,401)</w:t>
            </w: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280,925,039</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24,832,349</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161,348</w:t>
            </w: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18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(3,553,214)</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16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(154,049)</w:t>
            </w: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21,286,434</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2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2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10,942</w:t>
            </w:r>
          </w:p>
        </w:tc>
        <w:tc>
          <w:tcPr>
            <w:tcW w:w="16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18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(37,500)</w:t>
            </w:r>
          </w:p>
        </w:tc>
        <w:tc>
          <w:tcPr>
            <w:tcW w:w="1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723,442</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gridSpan w:val="3"/>
            <w:shd w:val="clear" w:color="auto" w:fill="DEDEDE"/>
          </w:tcPr>
          <w:p>
            <w:pPr>
              <w:ind w:left="340"/>
              <w:spacing w:after="0" w:line="161" w:lineRule="exact"/>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320" w:type="dxa"/>
            <w:vAlign w:val="bottom"/>
            <w:gridSpan w:val="2"/>
            <w:vMerge w:val="restart"/>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382,401,293</w:t>
            </w:r>
          </w:p>
        </w:tc>
        <w:tc>
          <w:tcPr>
            <w:tcW w:w="200" w:type="dxa"/>
            <w:vAlign w:val="bottom"/>
            <w:shd w:val="clear" w:color="auto" w:fill="DEDEDE"/>
          </w:tcPr>
          <w:p>
            <w:pPr>
              <w:spacing w:after="0"/>
              <w:rPr>
                <w:sz w:val="14"/>
                <w:szCs w:val="14"/>
                <w:color w:val="auto"/>
              </w:rPr>
            </w:pPr>
          </w:p>
        </w:tc>
        <w:tc>
          <w:tcPr>
            <w:tcW w:w="280" w:type="dxa"/>
            <w:vAlign w:val="bottom"/>
            <w:gridSpan w:val="2"/>
            <w:vMerge w:val="restart"/>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8,196,174</w:t>
            </w:r>
          </w:p>
        </w:tc>
        <w:tc>
          <w:tcPr>
            <w:tcW w:w="160" w:type="dxa"/>
            <w:vAlign w:val="bottom"/>
            <w:shd w:val="clear" w:color="auto" w:fill="DEDEDE"/>
          </w:tcPr>
          <w:p>
            <w:pPr>
              <w:spacing w:after="0"/>
              <w:rPr>
                <w:sz w:val="14"/>
                <w:szCs w:val="14"/>
                <w:color w:val="auto"/>
              </w:rPr>
            </w:pPr>
          </w:p>
        </w:tc>
        <w:tc>
          <w:tcPr>
            <w:tcW w:w="300" w:type="dxa"/>
            <w:vAlign w:val="bottom"/>
            <w:gridSpan w:val="2"/>
            <w:vMerge w:val="restart"/>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(7,240,099</w:t>
            </w:r>
          </w:p>
        </w:tc>
        <w:tc>
          <w:tcPr>
            <w:tcW w:w="200" w:type="dxa"/>
            <w:vAlign w:val="bottom"/>
            <w:shd w:val="clear" w:color="auto" w:fill="DEDEDE"/>
          </w:tcPr>
          <w:p>
            <w:pPr>
              <w:jc w:val="right"/>
              <w:ind w:right="61"/>
              <w:spacing w:after="0" w:line="161" w:lineRule="exact"/>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vMerge w:val="restart"/>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DEDEDE"/>
          </w:tcPr>
          <w:p>
            <w:pPr>
              <w:jc w:val="right"/>
              <w:ind w:right="140"/>
              <w:spacing w:after="0" w:line="16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DEDED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382,777,918</w:t>
            </w:r>
          </w:p>
        </w:tc>
        <w:tc>
          <w:tcPr>
            <w:tcW w:w="120" w:type="dxa"/>
            <w:vAlign w:val="bottom"/>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40" w:type="dxa"/>
            <w:vAlign w:val="bottom"/>
            <w:shd w:val="clear" w:color="auto" w:fill="DEDEDE"/>
          </w:tcPr>
          <w:p>
            <w:pPr>
              <w:spacing w:after="0"/>
              <w:rPr>
                <w:sz w:val="7"/>
                <w:szCs w:val="7"/>
                <w:color w:val="auto"/>
              </w:rPr>
            </w:pPr>
          </w:p>
        </w:tc>
        <w:tc>
          <w:tcPr>
            <w:tcW w:w="400" w:type="dxa"/>
            <w:vAlign w:val="bottom"/>
            <w:shd w:val="clear" w:color="auto" w:fill="DEDEDE"/>
          </w:tcPr>
          <w:p>
            <w:pPr>
              <w:spacing w:after="0"/>
              <w:rPr>
                <w:sz w:val="7"/>
                <w:szCs w:val="7"/>
                <w:color w:val="auto"/>
              </w:rPr>
            </w:pPr>
          </w:p>
        </w:tc>
        <w:tc>
          <w:tcPr>
            <w:tcW w:w="2580" w:type="dxa"/>
            <w:vAlign w:val="bottom"/>
            <w:shd w:val="clear" w:color="auto" w:fill="DEDEDE"/>
          </w:tcPr>
          <w:p>
            <w:pPr>
              <w:spacing w:after="0"/>
              <w:rPr>
                <w:sz w:val="7"/>
                <w:szCs w:val="7"/>
                <w:color w:val="auto"/>
              </w:rPr>
            </w:pPr>
          </w:p>
        </w:tc>
        <w:tc>
          <w:tcPr>
            <w:tcW w:w="320" w:type="dxa"/>
            <w:vAlign w:val="bottom"/>
            <w:gridSpan w:val="2"/>
            <w:vMerge w:val="continue"/>
            <w:shd w:val="clear" w:color="auto" w:fill="DEDEDE"/>
          </w:tcPr>
          <w:p>
            <w:pPr>
              <w:spacing w:after="0"/>
              <w:rPr>
                <w:sz w:val="7"/>
                <w:szCs w:val="7"/>
                <w:color w:val="auto"/>
              </w:rPr>
            </w:pPr>
          </w:p>
        </w:tc>
        <w:tc>
          <w:tcPr>
            <w:tcW w:w="980" w:type="dxa"/>
            <w:vAlign w:val="bottom"/>
            <w:vMerge w:val="continue"/>
            <w:shd w:val="clear" w:color="auto" w:fill="DEDEDE"/>
          </w:tcPr>
          <w:p>
            <w:pPr>
              <w:spacing w:after="0"/>
              <w:rPr>
                <w:sz w:val="7"/>
                <w:szCs w:val="7"/>
                <w:color w:val="auto"/>
              </w:rPr>
            </w:pPr>
          </w:p>
        </w:tc>
        <w:tc>
          <w:tcPr>
            <w:tcW w:w="200" w:type="dxa"/>
            <w:vAlign w:val="bottom"/>
            <w:shd w:val="clear" w:color="auto" w:fill="DEDEDE"/>
          </w:tcPr>
          <w:p>
            <w:pPr>
              <w:spacing w:after="0"/>
              <w:rPr>
                <w:sz w:val="7"/>
                <w:szCs w:val="7"/>
                <w:color w:val="auto"/>
              </w:rPr>
            </w:pPr>
          </w:p>
        </w:tc>
        <w:tc>
          <w:tcPr>
            <w:tcW w:w="280" w:type="dxa"/>
            <w:vAlign w:val="bottom"/>
            <w:gridSpan w:val="2"/>
            <w:vMerge w:val="continue"/>
            <w:shd w:val="clear" w:color="auto" w:fill="DEDEDE"/>
          </w:tcPr>
          <w:p>
            <w:pPr>
              <w:spacing w:after="0"/>
              <w:rPr>
                <w:sz w:val="7"/>
                <w:szCs w:val="7"/>
                <w:color w:val="auto"/>
              </w:rPr>
            </w:pPr>
          </w:p>
        </w:tc>
        <w:tc>
          <w:tcPr>
            <w:tcW w:w="1000" w:type="dxa"/>
            <w:vAlign w:val="bottom"/>
            <w:vMerge w:val="continue"/>
            <w:shd w:val="clear" w:color="auto" w:fill="DEDEDE"/>
          </w:tcPr>
          <w:p>
            <w:pPr>
              <w:spacing w:after="0"/>
              <w:rPr>
                <w:sz w:val="7"/>
                <w:szCs w:val="7"/>
                <w:color w:val="auto"/>
              </w:rPr>
            </w:pPr>
          </w:p>
        </w:tc>
        <w:tc>
          <w:tcPr>
            <w:tcW w:w="160" w:type="dxa"/>
            <w:vAlign w:val="bottom"/>
            <w:shd w:val="clear" w:color="auto" w:fill="DEDEDE"/>
          </w:tcPr>
          <w:p>
            <w:pPr>
              <w:spacing w:after="0"/>
              <w:rPr>
                <w:sz w:val="7"/>
                <w:szCs w:val="7"/>
                <w:color w:val="auto"/>
              </w:rPr>
            </w:pPr>
          </w:p>
        </w:tc>
        <w:tc>
          <w:tcPr>
            <w:tcW w:w="300" w:type="dxa"/>
            <w:vAlign w:val="bottom"/>
            <w:gridSpan w:val="2"/>
            <w:vMerge w:val="continue"/>
            <w:shd w:val="clear" w:color="auto" w:fill="DEDEDE"/>
          </w:tcPr>
          <w:p>
            <w:pPr>
              <w:spacing w:after="0"/>
              <w:rPr>
                <w:sz w:val="7"/>
                <w:szCs w:val="7"/>
                <w:color w:val="auto"/>
              </w:rPr>
            </w:pPr>
          </w:p>
        </w:tc>
        <w:tc>
          <w:tcPr>
            <w:tcW w:w="980" w:type="dxa"/>
            <w:vAlign w:val="bottom"/>
            <w:vMerge w:val="continue"/>
            <w:shd w:val="clear" w:color="auto" w:fill="DEDEDE"/>
          </w:tcPr>
          <w:p>
            <w:pPr>
              <w:spacing w:after="0"/>
              <w:rPr>
                <w:sz w:val="7"/>
                <w:szCs w:val="7"/>
                <w:color w:val="auto"/>
              </w:rPr>
            </w:pPr>
          </w:p>
        </w:tc>
        <w:tc>
          <w:tcPr>
            <w:tcW w:w="200" w:type="dxa"/>
            <w:vAlign w:val="bottom"/>
            <w:shd w:val="clear" w:color="auto" w:fill="DEDEDE"/>
          </w:tcPr>
          <w:p>
            <w:pPr>
              <w:spacing w:after="0"/>
              <w:rPr>
                <w:sz w:val="7"/>
                <w:szCs w:val="7"/>
                <w:color w:val="auto"/>
              </w:rPr>
            </w:pPr>
          </w:p>
        </w:tc>
        <w:tc>
          <w:tcPr>
            <w:tcW w:w="260" w:type="dxa"/>
            <w:vAlign w:val="bottom"/>
            <w:gridSpan w:val="2"/>
            <w:vMerge w:val="continue"/>
            <w:shd w:val="clear" w:color="auto" w:fill="DEDEDE"/>
          </w:tcPr>
          <w:p>
            <w:pPr>
              <w:spacing w:after="0"/>
              <w:rPr>
                <w:sz w:val="7"/>
                <w:szCs w:val="7"/>
                <w:color w:val="auto"/>
              </w:rPr>
            </w:pPr>
          </w:p>
        </w:tc>
        <w:tc>
          <w:tcPr>
            <w:tcW w:w="980" w:type="dxa"/>
            <w:vAlign w:val="bottom"/>
            <w:shd w:val="clear" w:color="auto" w:fill="DEDEDE"/>
          </w:tcPr>
          <w:p>
            <w:pPr>
              <w:jc w:val="right"/>
              <w:spacing w:after="0" w:line="82" w:lineRule="exact"/>
              <w:rPr>
                <w:sz w:val="20"/>
                <w:szCs w:val="20"/>
                <w:color w:val="auto"/>
              </w:rPr>
            </w:pPr>
            <w:r>
              <w:rPr>
                <w:rFonts w:ascii="Times New Roman" w:cs="Times New Roman" w:eastAsia="Times New Roman" w:hAnsi="Times New Roman"/>
                <w:sz w:val="9"/>
                <w:szCs w:val="9"/>
                <w:color w:val="auto"/>
              </w:rPr>
              <w:t>(579,450</w:t>
            </w:r>
          </w:p>
        </w:tc>
        <w:tc>
          <w:tcPr>
            <w:tcW w:w="180" w:type="dxa"/>
            <w:vAlign w:val="bottom"/>
            <w:shd w:val="clear" w:color="auto" w:fill="DEDEDE"/>
          </w:tcPr>
          <w:p>
            <w:pPr>
              <w:spacing w:after="0"/>
              <w:rPr>
                <w:sz w:val="7"/>
                <w:szCs w:val="7"/>
                <w:color w:val="auto"/>
              </w:rPr>
            </w:pPr>
          </w:p>
        </w:tc>
        <w:tc>
          <w:tcPr>
            <w:tcW w:w="280" w:type="dxa"/>
            <w:vAlign w:val="bottom"/>
            <w:gridSpan w:val="2"/>
            <w:vMerge w:val="continue"/>
            <w:shd w:val="clear" w:color="auto" w:fill="DEDEDE"/>
          </w:tcPr>
          <w:p>
            <w:pPr>
              <w:spacing w:after="0"/>
              <w:rPr>
                <w:sz w:val="7"/>
                <w:szCs w:val="7"/>
                <w:color w:val="auto"/>
              </w:rPr>
            </w:pPr>
          </w:p>
        </w:tc>
        <w:tc>
          <w:tcPr>
            <w:tcW w:w="960" w:type="dxa"/>
            <w:vAlign w:val="bottom"/>
            <w:vMerge w:val="continue"/>
            <w:shd w:val="clear" w:color="auto" w:fill="DEDEDE"/>
          </w:tcPr>
          <w:p>
            <w:pPr>
              <w:spacing w:after="0"/>
              <w:rPr>
                <w:sz w:val="7"/>
                <w:szCs w:val="7"/>
                <w:color w:val="auto"/>
              </w:rPr>
            </w:pPr>
          </w:p>
        </w:tc>
        <w:tc>
          <w:tcPr>
            <w:tcW w:w="120" w:type="dxa"/>
            <w:vAlign w:val="bottom"/>
            <w:shd w:val="clear" w:color="auto" w:fill="DEDED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tcBorders>
          </w:tcPr>
          <w:p>
            <w:pPr>
              <w:spacing w:after="0" w:line="20" w:lineRule="exact"/>
              <w:rPr>
                <w:sz w:val="1"/>
                <w:szCs w:val="1"/>
                <w:color w:val="auto"/>
              </w:rPr>
            </w:pPr>
          </w:p>
        </w:tc>
        <w:tc>
          <w:tcPr>
            <w:tcW w:w="25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320" w:type="dxa"/>
            <w:vAlign w:val="bottom"/>
            <w:gridSpan w:val="2"/>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12,206,559</w:t>
            </w:r>
          </w:p>
        </w:tc>
        <w:tc>
          <w:tcPr>
            <w:tcW w:w="200" w:type="dxa"/>
            <w:vAlign w:val="bottom"/>
            <w:shd w:val="clear" w:color="auto" w:fill="DEDEDE"/>
          </w:tcPr>
          <w:p>
            <w:pPr>
              <w:spacing w:after="0"/>
              <w:rPr>
                <w:sz w:val="19"/>
                <w:szCs w:val="19"/>
                <w:color w:val="auto"/>
              </w:rPr>
            </w:pPr>
          </w:p>
        </w:tc>
        <w:tc>
          <w:tcPr>
            <w:tcW w:w="28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8"/>
                <w:szCs w:val="18"/>
                <w:color w:val="auto"/>
              </w:rPr>
              <w:t>6,176,440</w:t>
            </w:r>
          </w:p>
        </w:tc>
        <w:tc>
          <w:tcPr>
            <w:tcW w:w="30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(332,937)</w:t>
            </w:r>
          </w:p>
        </w:tc>
        <w:tc>
          <w:tcPr>
            <w:tcW w:w="1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280" w:type="dxa"/>
            <w:vAlign w:val="bottom"/>
            <w:gridSpan w:val="2"/>
            <w:shd w:val="clear" w:color="auto" w:fill="DEDED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18,050,062</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shd w:val="clear" w:color="auto" w:fill="DEDEDE"/>
          </w:tcPr>
          <w:p>
            <w:pPr>
              <w:ind w:left="160"/>
              <w:spacing w:after="0" w:line="162" w:lineRule="exact"/>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320" w:type="dxa"/>
            <w:vAlign w:val="bottom"/>
            <w:gridSpan w:val="2"/>
            <w:vMerge w:val="restart"/>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12,206,559</w:t>
            </w:r>
          </w:p>
        </w:tc>
        <w:tc>
          <w:tcPr>
            <w:tcW w:w="200" w:type="dxa"/>
            <w:vAlign w:val="bottom"/>
            <w:shd w:val="clear" w:color="auto" w:fill="DEDEDE"/>
          </w:tcPr>
          <w:p>
            <w:pPr>
              <w:spacing w:after="0"/>
              <w:rPr>
                <w:sz w:val="14"/>
                <w:szCs w:val="14"/>
                <w:color w:val="auto"/>
              </w:rPr>
            </w:pPr>
          </w:p>
        </w:tc>
        <w:tc>
          <w:tcPr>
            <w:tcW w:w="280" w:type="dxa"/>
            <w:vAlign w:val="bottom"/>
            <w:gridSpan w:val="2"/>
            <w:vMerge w:val="restart"/>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6,176,440</w:t>
            </w:r>
          </w:p>
        </w:tc>
        <w:tc>
          <w:tcPr>
            <w:tcW w:w="160" w:type="dxa"/>
            <w:vAlign w:val="bottom"/>
            <w:shd w:val="clear" w:color="auto" w:fill="DEDEDE"/>
          </w:tcPr>
          <w:p>
            <w:pPr>
              <w:spacing w:after="0"/>
              <w:rPr>
                <w:sz w:val="14"/>
                <w:szCs w:val="14"/>
                <w:color w:val="auto"/>
              </w:rPr>
            </w:pPr>
          </w:p>
        </w:tc>
        <w:tc>
          <w:tcPr>
            <w:tcW w:w="300" w:type="dxa"/>
            <w:vAlign w:val="bottom"/>
            <w:gridSpan w:val="2"/>
            <w:vMerge w:val="restart"/>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EDEDE"/>
          </w:tcPr>
          <w:p>
            <w:pPr>
              <w:spacing w:after="0"/>
              <w:rPr>
                <w:sz w:val="14"/>
                <w:szCs w:val="14"/>
                <w:color w:val="auto"/>
              </w:rPr>
            </w:pPr>
          </w:p>
        </w:tc>
        <w:tc>
          <w:tcPr>
            <w:tcW w:w="200" w:type="dxa"/>
            <w:vAlign w:val="bottom"/>
            <w:shd w:val="clear" w:color="auto" w:fill="DEDEDE"/>
          </w:tcPr>
          <w:p>
            <w:pPr>
              <w:jc w:val="right"/>
              <w:ind w:right="6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DEDEDE"/>
          </w:tcPr>
          <w:p>
            <w:pPr>
              <w:spacing w:after="0"/>
              <w:rPr>
                <w:sz w:val="14"/>
                <w:szCs w:val="14"/>
                <w:color w:val="auto"/>
              </w:rPr>
            </w:pPr>
          </w:p>
        </w:tc>
        <w:tc>
          <w:tcPr>
            <w:tcW w:w="140" w:type="dxa"/>
            <w:vAlign w:val="bottom"/>
            <w:shd w:val="clear" w:color="auto" w:fill="DEDEDE"/>
          </w:tcPr>
          <w:p>
            <w:pPr>
              <w:spacing w:after="0"/>
              <w:rPr>
                <w:sz w:val="14"/>
                <w:szCs w:val="14"/>
                <w:color w:val="auto"/>
              </w:rPr>
            </w:pPr>
          </w:p>
        </w:tc>
        <w:tc>
          <w:tcPr>
            <w:tcW w:w="980" w:type="dxa"/>
            <w:vAlign w:val="bottom"/>
            <w:shd w:val="clear" w:color="auto" w:fill="DEDEDE"/>
          </w:tcPr>
          <w:p>
            <w:pPr>
              <w:spacing w:after="0"/>
              <w:rPr>
                <w:sz w:val="14"/>
                <w:szCs w:val="14"/>
                <w:color w:val="auto"/>
              </w:rPr>
            </w:pPr>
          </w:p>
        </w:tc>
        <w:tc>
          <w:tcPr>
            <w:tcW w:w="180" w:type="dxa"/>
            <w:vAlign w:val="bottom"/>
            <w:shd w:val="clear" w:color="auto" w:fill="DEDEDE"/>
          </w:tcPr>
          <w:p>
            <w:pPr>
              <w:spacing w:after="0"/>
              <w:rPr>
                <w:sz w:val="14"/>
                <w:szCs w:val="14"/>
                <w:color w:val="auto"/>
              </w:rPr>
            </w:pPr>
          </w:p>
        </w:tc>
        <w:tc>
          <w:tcPr>
            <w:tcW w:w="280" w:type="dxa"/>
            <w:vAlign w:val="bottom"/>
            <w:gridSpan w:val="2"/>
            <w:vMerge w:val="restart"/>
            <w:shd w:val="clear" w:color="auto" w:fill="DEDED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18,050,062</w:t>
            </w:r>
          </w:p>
        </w:tc>
        <w:tc>
          <w:tcPr>
            <w:tcW w:w="120" w:type="dxa"/>
            <w:vAlign w:val="bottom"/>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40" w:type="dxa"/>
            <w:vAlign w:val="bottom"/>
            <w:shd w:val="clear" w:color="auto" w:fill="DEDEDE"/>
          </w:tcPr>
          <w:p>
            <w:pPr>
              <w:spacing w:after="0"/>
              <w:rPr>
                <w:sz w:val="7"/>
                <w:szCs w:val="7"/>
                <w:color w:val="auto"/>
              </w:rPr>
            </w:pPr>
          </w:p>
        </w:tc>
        <w:tc>
          <w:tcPr>
            <w:tcW w:w="400" w:type="dxa"/>
            <w:vAlign w:val="bottom"/>
            <w:shd w:val="clear" w:color="auto" w:fill="DEDEDE"/>
          </w:tcPr>
          <w:p>
            <w:pPr>
              <w:spacing w:after="0"/>
              <w:rPr>
                <w:sz w:val="7"/>
                <w:szCs w:val="7"/>
                <w:color w:val="auto"/>
              </w:rPr>
            </w:pPr>
          </w:p>
        </w:tc>
        <w:tc>
          <w:tcPr>
            <w:tcW w:w="2580" w:type="dxa"/>
            <w:vAlign w:val="bottom"/>
            <w:shd w:val="clear" w:color="auto" w:fill="DEDEDE"/>
          </w:tcPr>
          <w:p>
            <w:pPr>
              <w:spacing w:after="0"/>
              <w:rPr>
                <w:sz w:val="7"/>
                <w:szCs w:val="7"/>
                <w:color w:val="auto"/>
              </w:rPr>
            </w:pPr>
          </w:p>
        </w:tc>
        <w:tc>
          <w:tcPr>
            <w:tcW w:w="320" w:type="dxa"/>
            <w:vAlign w:val="bottom"/>
            <w:gridSpan w:val="2"/>
            <w:vMerge w:val="continue"/>
            <w:shd w:val="clear" w:color="auto" w:fill="DEDEDE"/>
          </w:tcPr>
          <w:p>
            <w:pPr>
              <w:spacing w:after="0"/>
              <w:rPr>
                <w:sz w:val="7"/>
                <w:szCs w:val="7"/>
                <w:color w:val="auto"/>
              </w:rPr>
            </w:pPr>
          </w:p>
        </w:tc>
        <w:tc>
          <w:tcPr>
            <w:tcW w:w="980" w:type="dxa"/>
            <w:vAlign w:val="bottom"/>
            <w:vMerge w:val="continue"/>
            <w:shd w:val="clear" w:color="auto" w:fill="DEDEDE"/>
          </w:tcPr>
          <w:p>
            <w:pPr>
              <w:spacing w:after="0"/>
              <w:rPr>
                <w:sz w:val="7"/>
                <w:szCs w:val="7"/>
                <w:color w:val="auto"/>
              </w:rPr>
            </w:pPr>
          </w:p>
        </w:tc>
        <w:tc>
          <w:tcPr>
            <w:tcW w:w="200" w:type="dxa"/>
            <w:vAlign w:val="bottom"/>
            <w:shd w:val="clear" w:color="auto" w:fill="DEDEDE"/>
          </w:tcPr>
          <w:p>
            <w:pPr>
              <w:spacing w:after="0"/>
              <w:rPr>
                <w:sz w:val="7"/>
                <w:szCs w:val="7"/>
                <w:color w:val="auto"/>
              </w:rPr>
            </w:pPr>
          </w:p>
        </w:tc>
        <w:tc>
          <w:tcPr>
            <w:tcW w:w="280" w:type="dxa"/>
            <w:vAlign w:val="bottom"/>
            <w:gridSpan w:val="2"/>
            <w:vMerge w:val="continue"/>
            <w:shd w:val="clear" w:color="auto" w:fill="DEDEDE"/>
          </w:tcPr>
          <w:p>
            <w:pPr>
              <w:spacing w:after="0"/>
              <w:rPr>
                <w:sz w:val="7"/>
                <w:szCs w:val="7"/>
                <w:color w:val="auto"/>
              </w:rPr>
            </w:pPr>
          </w:p>
        </w:tc>
        <w:tc>
          <w:tcPr>
            <w:tcW w:w="1000" w:type="dxa"/>
            <w:vAlign w:val="bottom"/>
            <w:vMerge w:val="continue"/>
            <w:shd w:val="clear" w:color="auto" w:fill="DEDEDE"/>
          </w:tcPr>
          <w:p>
            <w:pPr>
              <w:spacing w:after="0"/>
              <w:rPr>
                <w:sz w:val="7"/>
                <w:szCs w:val="7"/>
                <w:color w:val="auto"/>
              </w:rPr>
            </w:pPr>
          </w:p>
        </w:tc>
        <w:tc>
          <w:tcPr>
            <w:tcW w:w="160" w:type="dxa"/>
            <w:vAlign w:val="bottom"/>
            <w:shd w:val="clear" w:color="auto" w:fill="DEDEDE"/>
          </w:tcPr>
          <w:p>
            <w:pPr>
              <w:spacing w:after="0"/>
              <w:rPr>
                <w:sz w:val="7"/>
                <w:szCs w:val="7"/>
                <w:color w:val="auto"/>
              </w:rPr>
            </w:pPr>
          </w:p>
        </w:tc>
        <w:tc>
          <w:tcPr>
            <w:tcW w:w="300" w:type="dxa"/>
            <w:vAlign w:val="bottom"/>
            <w:gridSpan w:val="2"/>
            <w:vMerge w:val="continue"/>
            <w:shd w:val="clear" w:color="auto" w:fill="DEDEDE"/>
          </w:tcPr>
          <w:p>
            <w:pPr>
              <w:spacing w:after="0"/>
              <w:rPr>
                <w:sz w:val="7"/>
                <w:szCs w:val="7"/>
                <w:color w:val="auto"/>
              </w:rPr>
            </w:pPr>
          </w:p>
        </w:tc>
        <w:tc>
          <w:tcPr>
            <w:tcW w:w="980" w:type="dxa"/>
            <w:vAlign w:val="bottom"/>
            <w:shd w:val="clear" w:color="auto" w:fill="DEDEDE"/>
          </w:tcPr>
          <w:p>
            <w:pPr>
              <w:jc w:val="right"/>
              <w:spacing w:after="0" w:line="82" w:lineRule="exact"/>
              <w:rPr>
                <w:sz w:val="20"/>
                <w:szCs w:val="20"/>
                <w:color w:val="auto"/>
              </w:rPr>
            </w:pPr>
            <w:r>
              <w:rPr>
                <w:rFonts w:ascii="Times New Roman" w:cs="Times New Roman" w:eastAsia="Times New Roman" w:hAnsi="Times New Roman"/>
                <w:sz w:val="9"/>
                <w:szCs w:val="9"/>
                <w:color w:val="auto"/>
              </w:rPr>
              <w:t>(332,937</w:t>
            </w:r>
          </w:p>
        </w:tc>
        <w:tc>
          <w:tcPr>
            <w:tcW w:w="200" w:type="dxa"/>
            <w:vAlign w:val="bottom"/>
            <w:shd w:val="clear" w:color="auto" w:fill="DEDEDE"/>
          </w:tcPr>
          <w:p>
            <w:pPr>
              <w:spacing w:after="0"/>
              <w:rPr>
                <w:sz w:val="7"/>
                <w:szCs w:val="7"/>
                <w:color w:val="auto"/>
              </w:rPr>
            </w:pPr>
          </w:p>
        </w:tc>
        <w:tc>
          <w:tcPr>
            <w:tcW w:w="120" w:type="dxa"/>
            <w:vAlign w:val="bottom"/>
            <w:shd w:val="clear" w:color="auto" w:fill="DEDEDE"/>
          </w:tcPr>
          <w:p>
            <w:pPr>
              <w:spacing w:after="0"/>
              <w:rPr>
                <w:sz w:val="7"/>
                <w:szCs w:val="7"/>
                <w:color w:val="auto"/>
              </w:rPr>
            </w:pPr>
          </w:p>
        </w:tc>
        <w:tc>
          <w:tcPr>
            <w:tcW w:w="140" w:type="dxa"/>
            <w:vAlign w:val="bottom"/>
            <w:shd w:val="clear" w:color="auto" w:fill="DEDEDE"/>
          </w:tcPr>
          <w:p>
            <w:pPr>
              <w:spacing w:after="0"/>
              <w:rPr>
                <w:sz w:val="7"/>
                <w:szCs w:val="7"/>
                <w:color w:val="auto"/>
              </w:rPr>
            </w:pPr>
          </w:p>
        </w:tc>
        <w:tc>
          <w:tcPr>
            <w:tcW w:w="980" w:type="dxa"/>
            <w:vAlign w:val="bottom"/>
            <w:shd w:val="clear" w:color="auto" w:fill="DEDEDE"/>
          </w:tcPr>
          <w:p>
            <w:pPr>
              <w:spacing w:after="0"/>
              <w:rPr>
                <w:sz w:val="7"/>
                <w:szCs w:val="7"/>
                <w:color w:val="auto"/>
              </w:rPr>
            </w:pPr>
          </w:p>
        </w:tc>
        <w:tc>
          <w:tcPr>
            <w:tcW w:w="180" w:type="dxa"/>
            <w:vAlign w:val="bottom"/>
            <w:shd w:val="clear" w:color="auto" w:fill="DEDEDE"/>
          </w:tcPr>
          <w:p>
            <w:pPr>
              <w:spacing w:after="0"/>
              <w:rPr>
                <w:sz w:val="7"/>
                <w:szCs w:val="7"/>
                <w:color w:val="auto"/>
              </w:rPr>
            </w:pPr>
          </w:p>
        </w:tc>
        <w:tc>
          <w:tcPr>
            <w:tcW w:w="280" w:type="dxa"/>
            <w:vAlign w:val="bottom"/>
            <w:gridSpan w:val="2"/>
            <w:vMerge w:val="continue"/>
            <w:shd w:val="clear" w:color="auto" w:fill="DEDEDE"/>
          </w:tcPr>
          <w:p>
            <w:pPr>
              <w:spacing w:after="0"/>
              <w:rPr>
                <w:sz w:val="7"/>
                <w:szCs w:val="7"/>
                <w:color w:val="auto"/>
              </w:rPr>
            </w:pPr>
          </w:p>
        </w:tc>
        <w:tc>
          <w:tcPr>
            <w:tcW w:w="960" w:type="dxa"/>
            <w:vAlign w:val="bottom"/>
            <w:vMerge w:val="continue"/>
            <w:shd w:val="clear" w:color="auto" w:fill="DEDEDE"/>
          </w:tcPr>
          <w:p>
            <w:pPr>
              <w:spacing w:after="0"/>
              <w:rPr>
                <w:sz w:val="7"/>
                <w:szCs w:val="7"/>
                <w:color w:val="auto"/>
              </w:rPr>
            </w:pPr>
          </w:p>
        </w:tc>
        <w:tc>
          <w:tcPr>
            <w:tcW w:w="120" w:type="dxa"/>
            <w:vAlign w:val="bottom"/>
            <w:shd w:val="clear" w:color="auto" w:fill="DEDED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tcBorders>
          </w:tcPr>
          <w:p>
            <w:pPr>
              <w:spacing w:after="0" w:line="20" w:lineRule="exact"/>
              <w:rPr>
                <w:sz w:val="1"/>
                <w:szCs w:val="1"/>
                <w:color w:val="auto"/>
              </w:rPr>
            </w:pPr>
          </w:p>
        </w:tc>
        <w:tc>
          <w:tcPr>
            <w:tcW w:w="25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90,644,590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157,398,705</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79,231,786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18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(1,995,795)</w:t>
            </w: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(2,588,918)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3"/>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Less: Net discounts</w:t>
            </w:r>
          </w:p>
        </w:tc>
        <w:tc>
          <w:tcPr>
            <w:tcW w:w="12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18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(254,983)</w:t>
            </w:r>
          </w:p>
        </w:tc>
        <w:tc>
          <w:tcPr>
            <w:tcW w:w="16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0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98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6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320" w:type="dxa"/>
            <w:vAlign w:val="bottom"/>
            <w:gridSpan w:val="2"/>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322,435,385</w:t>
            </w:r>
          </w:p>
        </w:tc>
        <w:tc>
          <w:tcPr>
            <w:tcW w:w="200" w:type="dxa"/>
            <w:vAlign w:val="bottom"/>
            <w:shd w:val="clear" w:color="auto" w:fill="DEDEDE"/>
          </w:tcPr>
          <w:p>
            <w:pPr>
              <w:spacing w:after="0"/>
              <w:rPr>
                <w:sz w:val="21"/>
                <w:szCs w:val="21"/>
                <w:color w:val="auto"/>
              </w:rPr>
            </w:pPr>
          </w:p>
        </w:tc>
        <w:tc>
          <w:tcPr>
            <w:tcW w:w="16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000" w:type="dxa"/>
            <w:vAlign w:val="bottom"/>
            <w:shd w:val="clear" w:color="auto" w:fill="DEDEDE"/>
          </w:tcPr>
          <w:p>
            <w:pPr>
              <w:spacing w:after="0"/>
              <w:rPr>
                <w:sz w:val="21"/>
                <w:szCs w:val="21"/>
                <w:color w:val="auto"/>
              </w:rPr>
            </w:pPr>
          </w:p>
        </w:tc>
        <w:tc>
          <w:tcPr>
            <w:tcW w:w="16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98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98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96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tcBorders>
          </w:tcPr>
          <w:p>
            <w:pPr>
              <w:spacing w:after="0" w:line="20" w:lineRule="exact"/>
              <w:rPr>
                <w:sz w:val="1"/>
                <w:szCs w:val="1"/>
                <w:color w:val="auto"/>
              </w:rPr>
            </w:pPr>
          </w:p>
        </w:tc>
        <w:tc>
          <w:tcPr>
            <w:tcW w:w="25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0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9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gridSpan w:val="3"/>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2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98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0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98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9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9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96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93,638,938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3"/>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DEDEDE"/>
          </w:tcPr>
          <w:p>
            <w:pPr>
              <w:spacing w:after="0"/>
              <w:rPr>
                <w:sz w:val="19"/>
                <w:szCs w:val="19"/>
                <w:color w:val="auto"/>
              </w:rPr>
            </w:pPr>
          </w:p>
        </w:tc>
        <w:tc>
          <w:tcPr>
            <w:tcW w:w="200" w:type="dxa"/>
            <w:vAlign w:val="bottom"/>
            <w:tcBorders>
              <w:bottom w:val="single" w:sz="8" w:color="auto"/>
            </w:tcBorders>
            <w:shd w:val="clear" w:color="auto" w:fill="DEDEDE"/>
          </w:tcPr>
          <w:p>
            <w:pPr>
              <w:spacing w:after="0"/>
              <w:rPr>
                <w:sz w:val="19"/>
                <w:szCs w:val="19"/>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121,258,192</w:t>
            </w:r>
          </w:p>
        </w:tc>
        <w:tc>
          <w:tcPr>
            <w:tcW w:w="2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0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98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6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320" w:type="dxa"/>
            <w:vAlign w:val="bottom"/>
            <w:gridSpan w:val="2"/>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214,897,130</w:t>
            </w:r>
          </w:p>
        </w:tc>
        <w:tc>
          <w:tcPr>
            <w:tcW w:w="200" w:type="dxa"/>
            <w:vAlign w:val="bottom"/>
            <w:shd w:val="clear" w:color="auto" w:fill="DEDEDE"/>
          </w:tcPr>
          <w:p>
            <w:pPr>
              <w:spacing w:after="0"/>
              <w:rPr>
                <w:sz w:val="21"/>
                <w:szCs w:val="21"/>
                <w:color w:val="auto"/>
              </w:rPr>
            </w:pPr>
          </w:p>
        </w:tc>
        <w:tc>
          <w:tcPr>
            <w:tcW w:w="16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000" w:type="dxa"/>
            <w:vAlign w:val="bottom"/>
            <w:shd w:val="clear" w:color="auto" w:fill="DEDEDE"/>
          </w:tcPr>
          <w:p>
            <w:pPr>
              <w:spacing w:after="0"/>
              <w:rPr>
                <w:sz w:val="21"/>
                <w:szCs w:val="21"/>
                <w:color w:val="auto"/>
              </w:rPr>
            </w:pPr>
          </w:p>
        </w:tc>
        <w:tc>
          <w:tcPr>
            <w:tcW w:w="16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98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98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96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tcBorders>
          </w:tcPr>
          <w:p>
            <w:pPr>
              <w:spacing w:after="0" w:line="20" w:lineRule="exact"/>
              <w:rPr>
                <w:sz w:val="1"/>
                <w:szCs w:val="1"/>
                <w:color w:val="auto"/>
              </w:rPr>
            </w:pPr>
          </w:p>
        </w:tc>
        <w:tc>
          <w:tcPr>
            <w:tcW w:w="25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0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9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6,272,474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3"/>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DEDEDE"/>
          </w:tcPr>
          <w:p>
            <w:pPr>
              <w:spacing w:after="0"/>
              <w:rPr>
                <w:sz w:val="19"/>
                <w:szCs w:val="19"/>
                <w:color w:val="auto"/>
              </w:rPr>
            </w:pPr>
          </w:p>
        </w:tc>
        <w:tc>
          <w:tcPr>
            <w:tcW w:w="200" w:type="dxa"/>
            <w:vAlign w:val="bottom"/>
            <w:tcBorders>
              <w:bottom w:val="single" w:sz="8" w:color="auto"/>
            </w:tcBorders>
            <w:shd w:val="clear" w:color="auto" w:fill="DEDEDE"/>
          </w:tcPr>
          <w:p>
            <w:pPr>
              <w:spacing w:after="0"/>
              <w:rPr>
                <w:sz w:val="19"/>
                <w:szCs w:val="19"/>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2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0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98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6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320" w:type="dxa"/>
            <w:vAlign w:val="bottom"/>
            <w:gridSpan w:val="2"/>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6,424,027</w:t>
            </w:r>
          </w:p>
        </w:tc>
        <w:tc>
          <w:tcPr>
            <w:tcW w:w="200" w:type="dxa"/>
            <w:vAlign w:val="bottom"/>
            <w:shd w:val="clear" w:color="auto" w:fill="DEDEDE"/>
          </w:tcPr>
          <w:p>
            <w:pPr>
              <w:spacing w:after="0"/>
              <w:rPr>
                <w:sz w:val="21"/>
                <w:szCs w:val="21"/>
                <w:color w:val="auto"/>
              </w:rPr>
            </w:pPr>
          </w:p>
        </w:tc>
        <w:tc>
          <w:tcPr>
            <w:tcW w:w="16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000" w:type="dxa"/>
            <w:vAlign w:val="bottom"/>
            <w:shd w:val="clear" w:color="auto" w:fill="DEDEDE"/>
          </w:tcPr>
          <w:p>
            <w:pPr>
              <w:spacing w:after="0"/>
              <w:rPr>
                <w:sz w:val="21"/>
                <w:szCs w:val="21"/>
                <w:color w:val="auto"/>
              </w:rPr>
            </w:pPr>
          </w:p>
        </w:tc>
        <w:tc>
          <w:tcPr>
            <w:tcW w:w="16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98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98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96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tcBorders>
          </w:tcPr>
          <w:p>
            <w:pPr>
              <w:spacing w:after="0" w:line="20" w:lineRule="exact"/>
              <w:rPr>
                <w:sz w:val="1"/>
                <w:szCs w:val="1"/>
                <w:color w:val="auto"/>
              </w:rPr>
            </w:pPr>
          </w:p>
        </w:tc>
        <w:tc>
          <w:tcPr>
            <w:tcW w:w="25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0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9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27</w:t>
      </w:r>
    </w:p>
    <w:p>
      <w:pPr>
        <w:sectPr>
          <w:pgSz w:w="12240" w:h="15840" w:orient="portrait"/>
          <w:cols w:equalWidth="0" w:num="1">
            <w:col w:w="11242"/>
          </w:cols>
          <w:pgMar w:left="498" w:top="687" w:right="500" w:bottom="0" w:gutter="0" w:footer="0" w:header="0"/>
        </w:sectPr>
      </w:pPr>
    </w:p>
    <w:bookmarkStart w:id="55" w:name="page56"/>
    <w:bookmarkEnd w:id="55"/>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84"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0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4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1060" w:type="dxa"/>
            <w:vAlign w:val="bottom"/>
            <w:shd w:val="clear" w:color="auto" w:fill="DEDEDE"/>
          </w:tcPr>
          <w:p>
            <w:pPr>
              <w:spacing w:after="0"/>
              <w:rPr>
                <w:sz w:val="20"/>
                <w:szCs w:val="20"/>
                <w:color w:val="auto"/>
              </w:rPr>
            </w:pPr>
          </w:p>
        </w:tc>
        <w:tc>
          <w:tcPr>
            <w:tcW w:w="590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Policy loans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14,467,357</w:t>
            </w:r>
          </w:p>
        </w:tc>
        <w:tc>
          <w:tcPr>
            <w:tcW w:w="5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Insurance assignments</w:t>
            </w:r>
          </w:p>
        </w:tc>
        <w:tc>
          <w:tcPr>
            <w:tcW w:w="1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46,183,999</w:t>
            </w:r>
          </w:p>
        </w:tc>
        <w:tc>
          <w:tcPr>
            <w:tcW w:w="590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646,500</w:t>
            </w:r>
          </w:p>
        </w:tc>
        <w:tc>
          <w:tcPr>
            <w:tcW w:w="5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25,601,905</w:t>
            </w:r>
          </w:p>
        </w:tc>
        <w:tc>
          <w:tcPr>
            <w:tcW w:w="590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assignments</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960" w:type="dxa"/>
            <w:vAlign w:val="bottom"/>
            <w:gridSpan w:val="2"/>
          </w:tcPr>
          <w:p>
            <w:pPr>
              <w:jc w:val="right"/>
              <w:ind w:right="5840"/>
              <w:spacing w:after="0"/>
              <w:rPr>
                <w:sz w:val="20"/>
                <w:szCs w:val="20"/>
                <w:color w:val="auto"/>
              </w:rPr>
            </w:pPr>
            <w:r>
              <w:rPr>
                <w:rFonts w:ascii="Times New Roman" w:cs="Times New Roman" w:eastAsia="Times New Roman" w:hAnsi="Times New Roman"/>
                <w:sz w:val="18"/>
                <w:szCs w:val="18"/>
                <w:color w:val="auto"/>
              </w:rPr>
              <w:t>(1,676,468)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auto"/>
            </w:tcBorders>
            <w:shd w:val="clear" w:color="auto" w:fill="DEDEDE"/>
          </w:tcPr>
          <w:p>
            <w:pPr>
              <w:spacing w:after="0"/>
              <w:rPr>
                <w:sz w:val="18"/>
                <w:szCs w:val="18"/>
                <w:color w:val="auto"/>
              </w:rPr>
            </w:pPr>
          </w:p>
        </w:tc>
        <w:tc>
          <w:tcPr>
            <w:tcW w:w="1060" w:type="dxa"/>
            <w:vAlign w:val="bottom"/>
            <w:tcBorders>
              <w:top w:val="single" w:sz="8" w:color="auto"/>
            </w:tcBorders>
            <w:shd w:val="clear" w:color="auto" w:fill="DEDEDE"/>
          </w:tcPr>
          <w:p>
            <w:pPr>
              <w:spacing w:after="0"/>
              <w:rPr>
                <w:sz w:val="18"/>
                <w:szCs w:val="18"/>
                <w:color w:val="auto"/>
              </w:rPr>
            </w:pPr>
          </w:p>
        </w:tc>
        <w:tc>
          <w:tcPr>
            <w:tcW w:w="590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85,223,293</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auto"/>
            </w:tcBorders>
            <w:shd w:val="clear" w:color="auto" w:fill="DEDEDE"/>
          </w:tcPr>
          <w:p>
            <w:pPr>
              <w:spacing w:after="0"/>
              <w:rPr>
                <w:sz w:val="17"/>
                <w:szCs w:val="17"/>
                <w:color w:val="auto"/>
              </w:rPr>
            </w:pPr>
          </w:p>
        </w:tc>
        <w:tc>
          <w:tcPr>
            <w:tcW w:w="1060" w:type="dxa"/>
            <w:vAlign w:val="bottom"/>
            <w:tcBorders>
              <w:top w:val="single" w:sz="8" w:color="auto"/>
            </w:tcBorders>
            <w:shd w:val="clear" w:color="auto" w:fill="DEDEDE"/>
          </w:tcPr>
          <w:p>
            <w:pPr>
              <w:spacing w:after="0"/>
              <w:rPr>
                <w:sz w:val="17"/>
                <w:szCs w:val="17"/>
                <w:color w:val="auto"/>
              </w:rPr>
            </w:pPr>
          </w:p>
        </w:tc>
        <w:tc>
          <w:tcPr>
            <w:tcW w:w="590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9,054,645</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auto"/>
            </w:tcBorders>
            <w:shd w:val="clear" w:color="auto" w:fill="DEDEDE"/>
          </w:tcPr>
          <w:p>
            <w:pPr>
              <w:spacing w:after="0"/>
              <w:rPr>
                <w:sz w:val="17"/>
                <w:szCs w:val="17"/>
                <w:color w:val="auto"/>
              </w:rPr>
            </w:pPr>
          </w:p>
        </w:tc>
        <w:tc>
          <w:tcPr>
            <w:tcW w:w="1060" w:type="dxa"/>
            <w:vAlign w:val="bottom"/>
            <w:tcBorders>
              <w:top w:val="single" w:sz="8" w:color="auto"/>
            </w:tcBorders>
            <w:shd w:val="clear" w:color="auto" w:fill="DEDEDE"/>
          </w:tcPr>
          <w:p>
            <w:pPr>
              <w:spacing w:after="0"/>
              <w:rPr>
                <w:sz w:val="17"/>
                <w:szCs w:val="17"/>
                <w:color w:val="auto"/>
              </w:rPr>
            </w:pPr>
          </w:p>
        </w:tc>
        <w:tc>
          <w:tcPr>
            <w:tcW w:w="590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1,038,862,460</w:t>
            </w:r>
          </w:p>
        </w:tc>
        <w:tc>
          <w:tcPr>
            <w:tcW w:w="5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322" w:hanging="322"/>
        <w:spacing w:after="0"/>
        <w:tabs>
          <w:tab w:leader="none" w:pos="32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unrealized losses are net of allowance for credit losses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$581,600 of Membership stock and $64,900 of Activity stock due to short-term advances and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28</w:t>
      </w:r>
    </w:p>
    <w:p>
      <w:pPr>
        <w:sectPr>
          <w:pgSz w:w="12240" w:h="15840" w:orient="portrait"/>
          <w:cols w:equalWidth="0" w:num="1">
            <w:col w:w="11242"/>
          </w:cols>
          <w:pgMar w:left="498" w:top="687" w:right="500" w:bottom="0" w:gutter="0" w:footer="0" w:header="0"/>
        </w:sectPr>
      </w:pPr>
    </w:p>
    <w:bookmarkStart w:id="56" w:name="page57"/>
    <w:bookmarkEnd w:id="56"/>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Company’s investments as of December 31, 2024, are summarized as follows:</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Gross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Allowance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Unrealized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Unrealized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for Credit</w:t>
            </w:r>
          </w:p>
        </w:tc>
        <w:tc>
          <w:tcPr>
            <w:tcW w:w="14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Gains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Losses (1)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Losses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tcBorders>
              <w:top w:val="single" w:sz="8" w:color="DEDEDE"/>
            </w:tcBorders>
            <w:gridSpan w:val="3"/>
            <w:shd w:val="clear" w:color="auto" w:fill="DEDEDE"/>
          </w:tcPr>
          <w:p>
            <w:pPr>
              <w:spacing w:after="0" w:line="170" w:lineRule="exact"/>
              <w:rPr>
                <w:sz w:val="20"/>
                <w:szCs w:val="20"/>
                <w:color w:val="auto"/>
              </w:rPr>
            </w:pPr>
            <w:r>
              <w:rPr>
                <w:rFonts w:ascii="Times New Roman" w:cs="Times New Roman" w:eastAsia="Times New Roman" w:hAnsi="Times New Roman"/>
                <w:sz w:val="18"/>
                <w:szCs w:val="18"/>
                <w:u w:val="single" w:color="auto"/>
                <w:color w:val="auto"/>
              </w:rPr>
              <w:t>December 31,</w:t>
            </w:r>
            <w:r>
              <w:rPr>
                <w:rFonts w:ascii="Times New Roman" w:cs="Times New Roman" w:eastAsia="Times New Roman" w:hAnsi="Times New Roman"/>
                <w:sz w:val="18"/>
                <w:szCs w:val="18"/>
                <w:color w:val="auto"/>
              </w:rPr>
              <w:t xml:space="preserve"> 2024:</w:t>
            </w:r>
          </w:p>
        </w:tc>
        <w:tc>
          <w:tcPr>
            <w:tcW w:w="120" w:type="dxa"/>
            <w:vAlign w:val="bottom"/>
            <w:tcBorders>
              <w:top w:val="single" w:sz="8" w:color="DEDEDE"/>
            </w:tcBorders>
            <w:shd w:val="clear" w:color="auto" w:fill="DEDEDE"/>
          </w:tcPr>
          <w:p>
            <w:pPr>
              <w:spacing w:after="0"/>
              <w:rPr>
                <w:sz w:val="14"/>
                <w:szCs w:val="14"/>
                <w:color w:val="auto"/>
              </w:rPr>
            </w:pPr>
          </w:p>
        </w:tc>
        <w:tc>
          <w:tcPr>
            <w:tcW w:w="140" w:type="dxa"/>
            <w:vAlign w:val="bottom"/>
            <w:tcBorders>
              <w:top w:val="single" w:sz="8" w:color="auto"/>
            </w:tcBorders>
            <w:shd w:val="clear" w:color="auto" w:fill="DEDEDE"/>
          </w:tcPr>
          <w:p>
            <w:pPr>
              <w:spacing w:after="0"/>
              <w:rPr>
                <w:sz w:val="14"/>
                <w:szCs w:val="14"/>
                <w:color w:val="auto"/>
              </w:rPr>
            </w:pPr>
          </w:p>
        </w:tc>
        <w:tc>
          <w:tcPr>
            <w:tcW w:w="1000" w:type="dxa"/>
            <w:vAlign w:val="bottom"/>
            <w:tcBorders>
              <w:top w:val="single" w:sz="8" w:color="auto"/>
            </w:tcBorders>
            <w:shd w:val="clear" w:color="auto" w:fill="DEDEDE"/>
          </w:tcPr>
          <w:p>
            <w:pPr>
              <w:spacing w:after="0"/>
              <w:rPr>
                <w:sz w:val="14"/>
                <w:szCs w:val="14"/>
                <w:color w:val="auto"/>
              </w:rPr>
            </w:pPr>
          </w:p>
        </w:tc>
        <w:tc>
          <w:tcPr>
            <w:tcW w:w="200" w:type="dxa"/>
            <w:vAlign w:val="bottom"/>
            <w:tcBorders>
              <w:top w:val="single" w:sz="8" w:color="DEDEDE"/>
            </w:tcBorders>
            <w:shd w:val="clear" w:color="auto" w:fill="DEDEDE"/>
          </w:tcPr>
          <w:p>
            <w:pPr>
              <w:spacing w:after="0"/>
              <w:rPr>
                <w:sz w:val="14"/>
                <w:szCs w:val="14"/>
                <w:color w:val="auto"/>
              </w:rPr>
            </w:pPr>
          </w:p>
        </w:tc>
        <w:tc>
          <w:tcPr>
            <w:tcW w:w="160" w:type="dxa"/>
            <w:vAlign w:val="bottom"/>
            <w:tcBorders>
              <w:top w:val="single" w:sz="8" w:color="DEDEDE"/>
            </w:tcBorders>
            <w:shd w:val="clear" w:color="auto" w:fill="DEDEDE"/>
          </w:tcPr>
          <w:p>
            <w:pPr>
              <w:spacing w:after="0"/>
              <w:rPr>
                <w:sz w:val="14"/>
                <w:szCs w:val="14"/>
                <w:color w:val="auto"/>
              </w:rPr>
            </w:pPr>
          </w:p>
        </w:tc>
        <w:tc>
          <w:tcPr>
            <w:tcW w:w="120" w:type="dxa"/>
            <w:vAlign w:val="bottom"/>
            <w:tcBorders>
              <w:top w:val="single" w:sz="8" w:color="auto"/>
            </w:tcBorders>
            <w:shd w:val="clear" w:color="auto" w:fill="DEDEDE"/>
          </w:tcPr>
          <w:p>
            <w:pPr>
              <w:spacing w:after="0"/>
              <w:rPr>
                <w:sz w:val="14"/>
                <w:szCs w:val="14"/>
                <w:color w:val="auto"/>
              </w:rPr>
            </w:pPr>
          </w:p>
        </w:tc>
        <w:tc>
          <w:tcPr>
            <w:tcW w:w="1000" w:type="dxa"/>
            <w:vAlign w:val="bottom"/>
            <w:tcBorders>
              <w:top w:val="single" w:sz="8" w:color="auto"/>
            </w:tcBorders>
            <w:shd w:val="clear" w:color="auto" w:fill="DEDEDE"/>
          </w:tcPr>
          <w:p>
            <w:pPr>
              <w:spacing w:after="0"/>
              <w:rPr>
                <w:sz w:val="14"/>
                <w:szCs w:val="14"/>
                <w:color w:val="auto"/>
              </w:rPr>
            </w:pPr>
          </w:p>
        </w:tc>
        <w:tc>
          <w:tcPr>
            <w:tcW w:w="180" w:type="dxa"/>
            <w:vAlign w:val="bottom"/>
            <w:tcBorders>
              <w:top w:val="single" w:sz="8" w:color="DEDEDE"/>
            </w:tcBorders>
            <w:shd w:val="clear" w:color="auto" w:fill="DEDEDE"/>
          </w:tcPr>
          <w:p>
            <w:pPr>
              <w:spacing w:after="0"/>
              <w:rPr>
                <w:sz w:val="14"/>
                <w:szCs w:val="14"/>
                <w:color w:val="auto"/>
              </w:rPr>
            </w:pPr>
          </w:p>
        </w:tc>
        <w:tc>
          <w:tcPr>
            <w:tcW w:w="180" w:type="dxa"/>
            <w:vAlign w:val="bottom"/>
            <w:tcBorders>
              <w:top w:val="single" w:sz="8" w:color="DEDEDE"/>
            </w:tcBorders>
            <w:shd w:val="clear" w:color="auto" w:fill="DEDEDE"/>
          </w:tcPr>
          <w:p>
            <w:pPr>
              <w:spacing w:after="0"/>
              <w:rPr>
                <w:sz w:val="14"/>
                <w:szCs w:val="14"/>
                <w:color w:val="auto"/>
              </w:rPr>
            </w:pPr>
          </w:p>
        </w:tc>
        <w:tc>
          <w:tcPr>
            <w:tcW w:w="120" w:type="dxa"/>
            <w:vAlign w:val="bottom"/>
            <w:tcBorders>
              <w:top w:val="single" w:sz="8" w:color="auto"/>
            </w:tcBorders>
            <w:shd w:val="clear" w:color="auto" w:fill="DEDEDE"/>
          </w:tcPr>
          <w:p>
            <w:pPr>
              <w:spacing w:after="0"/>
              <w:rPr>
                <w:sz w:val="14"/>
                <w:szCs w:val="14"/>
                <w:color w:val="auto"/>
              </w:rPr>
            </w:pPr>
          </w:p>
        </w:tc>
        <w:tc>
          <w:tcPr>
            <w:tcW w:w="1000" w:type="dxa"/>
            <w:vAlign w:val="bottom"/>
            <w:tcBorders>
              <w:top w:val="single" w:sz="8" w:color="auto"/>
            </w:tcBorders>
            <w:shd w:val="clear" w:color="auto" w:fill="DEDEDE"/>
          </w:tcPr>
          <w:p>
            <w:pPr>
              <w:spacing w:after="0"/>
              <w:rPr>
                <w:sz w:val="14"/>
                <w:szCs w:val="14"/>
                <w:color w:val="auto"/>
              </w:rPr>
            </w:pPr>
          </w:p>
        </w:tc>
        <w:tc>
          <w:tcPr>
            <w:tcW w:w="200" w:type="dxa"/>
            <w:vAlign w:val="bottom"/>
            <w:tcBorders>
              <w:top w:val="single" w:sz="8" w:color="DEDEDE"/>
            </w:tcBorders>
            <w:shd w:val="clear" w:color="auto" w:fill="DEDEDE"/>
          </w:tcPr>
          <w:p>
            <w:pPr>
              <w:spacing w:after="0"/>
              <w:rPr>
                <w:sz w:val="14"/>
                <w:szCs w:val="14"/>
                <w:color w:val="auto"/>
              </w:rPr>
            </w:pPr>
          </w:p>
        </w:tc>
        <w:tc>
          <w:tcPr>
            <w:tcW w:w="120" w:type="dxa"/>
            <w:vAlign w:val="bottom"/>
            <w:tcBorders>
              <w:top w:val="single" w:sz="8" w:color="DEDEDE"/>
            </w:tcBorders>
            <w:shd w:val="clear" w:color="auto" w:fill="DEDEDE"/>
          </w:tcPr>
          <w:p>
            <w:pPr>
              <w:spacing w:after="0"/>
              <w:rPr>
                <w:sz w:val="14"/>
                <w:szCs w:val="14"/>
                <w:color w:val="auto"/>
              </w:rPr>
            </w:pPr>
          </w:p>
        </w:tc>
        <w:tc>
          <w:tcPr>
            <w:tcW w:w="140" w:type="dxa"/>
            <w:vAlign w:val="bottom"/>
            <w:tcBorders>
              <w:top w:val="single" w:sz="8" w:color="auto"/>
            </w:tcBorders>
            <w:shd w:val="clear" w:color="auto" w:fill="DEDEDE"/>
          </w:tcPr>
          <w:p>
            <w:pPr>
              <w:spacing w:after="0"/>
              <w:rPr>
                <w:sz w:val="14"/>
                <w:szCs w:val="14"/>
                <w:color w:val="auto"/>
              </w:rPr>
            </w:pPr>
          </w:p>
        </w:tc>
        <w:tc>
          <w:tcPr>
            <w:tcW w:w="980" w:type="dxa"/>
            <w:vAlign w:val="bottom"/>
            <w:tcBorders>
              <w:top w:val="single" w:sz="8" w:color="auto"/>
            </w:tcBorders>
            <w:shd w:val="clear" w:color="auto" w:fill="DEDEDE"/>
          </w:tcPr>
          <w:p>
            <w:pPr>
              <w:spacing w:after="0"/>
              <w:rPr>
                <w:sz w:val="14"/>
                <w:szCs w:val="14"/>
                <w:color w:val="auto"/>
              </w:rPr>
            </w:pPr>
          </w:p>
        </w:tc>
        <w:tc>
          <w:tcPr>
            <w:tcW w:w="180" w:type="dxa"/>
            <w:vAlign w:val="bottom"/>
            <w:tcBorders>
              <w:top w:val="single" w:sz="8" w:color="DEDEDE"/>
            </w:tcBorders>
            <w:shd w:val="clear" w:color="auto" w:fill="DEDEDE"/>
          </w:tcPr>
          <w:p>
            <w:pPr>
              <w:spacing w:after="0"/>
              <w:rPr>
                <w:sz w:val="14"/>
                <w:szCs w:val="14"/>
                <w:color w:val="auto"/>
              </w:rPr>
            </w:pPr>
          </w:p>
        </w:tc>
        <w:tc>
          <w:tcPr>
            <w:tcW w:w="140" w:type="dxa"/>
            <w:vAlign w:val="bottom"/>
            <w:tcBorders>
              <w:top w:val="single" w:sz="8" w:color="DEDEDE"/>
            </w:tcBorders>
            <w:shd w:val="clear" w:color="auto" w:fill="DEDEDE"/>
          </w:tcPr>
          <w:p>
            <w:pPr>
              <w:spacing w:after="0"/>
              <w:rPr>
                <w:sz w:val="14"/>
                <w:szCs w:val="14"/>
                <w:color w:val="auto"/>
              </w:rPr>
            </w:pPr>
          </w:p>
        </w:tc>
        <w:tc>
          <w:tcPr>
            <w:tcW w:w="140" w:type="dxa"/>
            <w:vAlign w:val="bottom"/>
            <w:tcBorders>
              <w:top w:val="single" w:sz="8" w:color="auto"/>
            </w:tcBorders>
            <w:shd w:val="clear" w:color="auto" w:fill="DEDEDE"/>
          </w:tcPr>
          <w:p>
            <w:pPr>
              <w:spacing w:after="0"/>
              <w:rPr>
                <w:sz w:val="14"/>
                <w:szCs w:val="14"/>
                <w:color w:val="auto"/>
              </w:rPr>
            </w:pPr>
          </w:p>
        </w:tc>
        <w:tc>
          <w:tcPr>
            <w:tcW w:w="960" w:type="dxa"/>
            <w:vAlign w:val="bottom"/>
            <w:tcBorders>
              <w:top w:val="single" w:sz="8" w:color="auto"/>
            </w:tcBorders>
            <w:shd w:val="clear" w:color="auto" w:fill="DEDEDE"/>
          </w:tcPr>
          <w:p>
            <w:pPr>
              <w:spacing w:after="0"/>
              <w:rPr>
                <w:sz w:val="14"/>
                <w:szCs w:val="14"/>
                <w:color w:val="auto"/>
              </w:rPr>
            </w:pPr>
          </w:p>
        </w:tc>
        <w:tc>
          <w:tcPr>
            <w:tcW w:w="120" w:type="dxa"/>
            <w:vAlign w:val="bottom"/>
            <w:tcBorders>
              <w:top w:val="single" w:sz="8" w:color="DEDEDE"/>
            </w:tcBorders>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DEDEDE"/>
            </w:tcBorders>
            <w:shd w:val="clear" w:color="auto" w:fill="DEDEDE"/>
          </w:tcPr>
          <w:p>
            <w:pPr>
              <w:spacing w:after="0" w:line="20" w:lineRule="exact"/>
              <w:rPr>
                <w:sz w:val="1"/>
                <w:szCs w:val="1"/>
                <w:color w:val="auto"/>
              </w:rPr>
            </w:pPr>
          </w:p>
        </w:tc>
        <w:tc>
          <w:tcPr>
            <w:tcW w:w="400" w:type="dxa"/>
            <w:vAlign w:val="bottom"/>
            <w:tcBorders>
              <w:top w:val="single" w:sz="8" w:color="auto"/>
            </w:tcBorders>
            <w:shd w:val="clear" w:color="auto" w:fill="DEDEDE"/>
          </w:tcPr>
          <w:p>
            <w:pPr>
              <w:spacing w:after="0" w:line="20" w:lineRule="exact"/>
              <w:rPr>
                <w:sz w:val="1"/>
                <w:szCs w:val="1"/>
                <w:color w:val="auto"/>
              </w:rPr>
            </w:pPr>
          </w:p>
        </w:tc>
        <w:tc>
          <w:tcPr>
            <w:tcW w:w="2580" w:type="dxa"/>
            <w:vAlign w:val="bottom"/>
            <w:tcBorders>
              <w:top w:val="single" w:sz="8" w:color="DEDEDE"/>
            </w:tcBorders>
            <w:shd w:val="clear" w:color="auto" w:fill="DEDEDE"/>
          </w:tcPr>
          <w:p>
            <w:pPr>
              <w:spacing w:after="0" w:line="20" w:lineRule="exact"/>
              <w:rPr>
                <w:sz w:val="1"/>
                <w:szCs w:val="1"/>
                <w:color w:val="auto"/>
              </w:rPr>
            </w:pPr>
          </w:p>
        </w:tc>
        <w:tc>
          <w:tcPr>
            <w:tcW w:w="120" w:type="dxa"/>
            <w:vAlign w:val="bottom"/>
            <w:tcBorders>
              <w:top w:val="single" w:sz="8" w:color="DEDEDE"/>
            </w:tcBorders>
            <w:shd w:val="clear" w:color="auto" w:fill="DEDEDE"/>
          </w:tcPr>
          <w:p>
            <w:pPr>
              <w:spacing w:after="0" w:line="20" w:lineRule="exact"/>
              <w:rPr>
                <w:sz w:val="1"/>
                <w:szCs w:val="1"/>
                <w:color w:val="auto"/>
              </w:rPr>
            </w:pPr>
          </w:p>
        </w:tc>
        <w:tc>
          <w:tcPr>
            <w:tcW w:w="140" w:type="dxa"/>
            <w:vAlign w:val="bottom"/>
            <w:tcBorders>
              <w:top w:val="single" w:sz="8" w:color="DEDEDE"/>
            </w:tcBorders>
            <w:shd w:val="clear" w:color="auto" w:fill="DEDEDE"/>
          </w:tcPr>
          <w:p>
            <w:pPr>
              <w:spacing w:after="0" w:line="20" w:lineRule="exact"/>
              <w:rPr>
                <w:sz w:val="1"/>
                <w:szCs w:val="1"/>
                <w:color w:val="auto"/>
              </w:rPr>
            </w:pPr>
          </w:p>
        </w:tc>
        <w:tc>
          <w:tcPr>
            <w:tcW w:w="1000" w:type="dxa"/>
            <w:vAlign w:val="bottom"/>
            <w:tcBorders>
              <w:top w:val="single" w:sz="8" w:color="DEDEDE"/>
            </w:tcBorders>
            <w:shd w:val="clear" w:color="auto" w:fill="DEDEDE"/>
          </w:tcPr>
          <w:p>
            <w:pPr>
              <w:spacing w:after="0" w:line="20" w:lineRule="exact"/>
              <w:rPr>
                <w:sz w:val="1"/>
                <w:szCs w:val="1"/>
                <w:color w:val="auto"/>
              </w:rPr>
            </w:pPr>
          </w:p>
        </w:tc>
        <w:tc>
          <w:tcPr>
            <w:tcW w:w="200" w:type="dxa"/>
            <w:vAlign w:val="bottom"/>
            <w:tcBorders>
              <w:top w:val="single" w:sz="8" w:color="DEDEDE"/>
            </w:tcBorders>
            <w:shd w:val="clear" w:color="auto" w:fill="DEDEDE"/>
          </w:tcPr>
          <w:p>
            <w:pPr>
              <w:spacing w:after="0" w:line="20" w:lineRule="exact"/>
              <w:rPr>
                <w:sz w:val="1"/>
                <w:szCs w:val="1"/>
                <w:color w:val="auto"/>
              </w:rPr>
            </w:pPr>
          </w:p>
        </w:tc>
        <w:tc>
          <w:tcPr>
            <w:tcW w:w="160" w:type="dxa"/>
            <w:vAlign w:val="bottom"/>
            <w:tcBorders>
              <w:top w:val="single" w:sz="8" w:color="DEDEDE"/>
            </w:tcBorders>
            <w:shd w:val="clear" w:color="auto" w:fill="DEDEDE"/>
          </w:tcPr>
          <w:p>
            <w:pPr>
              <w:spacing w:after="0" w:line="20" w:lineRule="exact"/>
              <w:rPr>
                <w:sz w:val="1"/>
                <w:szCs w:val="1"/>
                <w:color w:val="auto"/>
              </w:rPr>
            </w:pPr>
          </w:p>
        </w:tc>
        <w:tc>
          <w:tcPr>
            <w:tcW w:w="120" w:type="dxa"/>
            <w:vAlign w:val="bottom"/>
            <w:tcBorders>
              <w:top w:val="single" w:sz="8" w:color="DEDEDE"/>
            </w:tcBorders>
            <w:shd w:val="clear" w:color="auto" w:fill="DEDEDE"/>
          </w:tcPr>
          <w:p>
            <w:pPr>
              <w:spacing w:after="0" w:line="20" w:lineRule="exact"/>
              <w:rPr>
                <w:sz w:val="1"/>
                <w:szCs w:val="1"/>
                <w:color w:val="auto"/>
              </w:rPr>
            </w:pPr>
          </w:p>
        </w:tc>
        <w:tc>
          <w:tcPr>
            <w:tcW w:w="1000" w:type="dxa"/>
            <w:vAlign w:val="bottom"/>
            <w:tcBorders>
              <w:top w:val="single" w:sz="8" w:color="DEDEDE"/>
            </w:tcBorders>
            <w:shd w:val="clear" w:color="auto" w:fill="DEDEDE"/>
          </w:tcPr>
          <w:p>
            <w:pPr>
              <w:spacing w:after="0" w:line="20" w:lineRule="exact"/>
              <w:rPr>
                <w:sz w:val="1"/>
                <w:szCs w:val="1"/>
                <w:color w:val="auto"/>
              </w:rPr>
            </w:pPr>
          </w:p>
        </w:tc>
        <w:tc>
          <w:tcPr>
            <w:tcW w:w="180" w:type="dxa"/>
            <w:vAlign w:val="bottom"/>
            <w:tcBorders>
              <w:top w:val="single" w:sz="8" w:color="DEDEDE"/>
            </w:tcBorders>
            <w:shd w:val="clear" w:color="auto" w:fill="DEDEDE"/>
          </w:tcPr>
          <w:p>
            <w:pPr>
              <w:spacing w:after="0" w:line="20" w:lineRule="exact"/>
              <w:rPr>
                <w:sz w:val="1"/>
                <w:szCs w:val="1"/>
                <w:color w:val="auto"/>
              </w:rPr>
            </w:pPr>
          </w:p>
        </w:tc>
        <w:tc>
          <w:tcPr>
            <w:tcW w:w="180" w:type="dxa"/>
            <w:vAlign w:val="bottom"/>
            <w:tcBorders>
              <w:top w:val="single" w:sz="8" w:color="DEDEDE"/>
            </w:tcBorders>
            <w:shd w:val="clear" w:color="auto" w:fill="DEDEDE"/>
          </w:tcPr>
          <w:p>
            <w:pPr>
              <w:spacing w:after="0" w:line="20" w:lineRule="exact"/>
              <w:rPr>
                <w:sz w:val="1"/>
                <w:szCs w:val="1"/>
                <w:color w:val="auto"/>
              </w:rPr>
            </w:pPr>
          </w:p>
        </w:tc>
        <w:tc>
          <w:tcPr>
            <w:tcW w:w="120" w:type="dxa"/>
            <w:vAlign w:val="bottom"/>
            <w:tcBorders>
              <w:top w:val="single" w:sz="8" w:color="DEDEDE"/>
            </w:tcBorders>
            <w:shd w:val="clear" w:color="auto" w:fill="DEDEDE"/>
          </w:tcPr>
          <w:p>
            <w:pPr>
              <w:spacing w:after="0" w:line="20" w:lineRule="exact"/>
              <w:rPr>
                <w:sz w:val="1"/>
                <w:szCs w:val="1"/>
                <w:color w:val="auto"/>
              </w:rPr>
            </w:pPr>
          </w:p>
        </w:tc>
        <w:tc>
          <w:tcPr>
            <w:tcW w:w="1000" w:type="dxa"/>
            <w:vAlign w:val="bottom"/>
            <w:tcBorders>
              <w:top w:val="single" w:sz="8" w:color="DEDEDE"/>
            </w:tcBorders>
            <w:shd w:val="clear" w:color="auto" w:fill="DEDEDE"/>
          </w:tcPr>
          <w:p>
            <w:pPr>
              <w:spacing w:after="0" w:line="20" w:lineRule="exact"/>
              <w:rPr>
                <w:sz w:val="1"/>
                <w:szCs w:val="1"/>
                <w:color w:val="auto"/>
              </w:rPr>
            </w:pPr>
          </w:p>
        </w:tc>
        <w:tc>
          <w:tcPr>
            <w:tcW w:w="200" w:type="dxa"/>
            <w:vAlign w:val="bottom"/>
            <w:tcBorders>
              <w:top w:val="single" w:sz="8" w:color="DEDEDE"/>
            </w:tcBorders>
            <w:shd w:val="clear" w:color="auto" w:fill="DEDEDE"/>
          </w:tcPr>
          <w:p>
            <w:pPr>
              <w:spacing w:after="0" w:line="20" w:lineRule="exact"/>
              <w:rPr>
                <w:sz w:val="1"/>
                <w:szCs w:val="1"/>
                <w:color w:val="auto"/>
              </w:rPr>
            </w:pPr>
          </w:p>
        </w:tc>
        <w:tc>
          <w:tcPr>
            <w:tcW w:w="120" w:type="dxa"/>
            <w:vAlign w:val="bottom"/>
            <w:tcBorders>
              <w:top w:val="single" w:sz="8" w:color="DEDEDE"/>
            </w:tcBorders>
            <w:shd w:val="clear" w:color="auto" w:fill="DEDEDE"/>
          </w:tcPr>
          <w:p>
            <w:pPr>
              <w:spacing w:after="0" w:line="20" w:lineRule="exact"/>
              <w:rPr>
                <w:sz w:val="1"/>
                <w:szCs w:val="1"/>
                <w:color w:val="auto"/>
              </w:rPr>
            </w:pPr>
          </w:p>
        </w:tc>
        <w:tc>
          <w:tcPr>
            <w:tcW w:w="140" w:type="dxa"/>
            <w:vAlign w:val="bottom"/>
            <w:tcBorders>
              <w:top w:val="single" w:sz="8" w:color="DEDEDE"/>
            </w:tcBorders>
            <w:shd w:val="clear" w:color="auto" w:fill="DEDEDE"/>
          </w:tcPr>
          <w:p>
            <w:pPr>
              <w:spacing w:after="0" w:line="20" w:lineRule="exact"/>
              <w:rPr>
                <w:sz w:val="1"/>
                <w:szCs w:val="1"/>
                <w:color w:val="auto"/>
              </w:rPr>
            </w:pPr>
          </w:p>
        </w:tc>
        <w:tc>
          <w:tcPr>
            <w:tcW w:w="980" w:type="dxa"/>
            <w:vAlign w:val="bottom"/>
            <w:tcBorders>
              <w:top w:val="single" w:sz="8" w:color="DEDEDE"/>
            </w:tcBorders>
            <w:shd w:val="clear" w:color="auto" w:fill="DEDEDE"/>
          </w:tcPr>
          <w:p>
            <w:pPr>
              <w:spacing w:after="0" w:line="20" w:lineRule="exact"/>
              <w:rPr>
                <w:sz w:val="1"/>
                <w:szCs w:val="1"/>
                <w:color w:val="auto"/>
              </w:rPr>
            </w:pPr>
          </w:p>
        </w:tc>
        <w:tc>
          <w:tcPr>
            <w:tcW w:w="180" w:type="dxa"/>
            <w:vAlign w:val="bottom"/>
            <w:tcBorders>
              <w:top w:val="single" w:sz="8" w:color="DEDEDE"/>
            </w:tcBorders>
            <w:shd w:val="clear" w:color="auto" w:fill="DEDEDE"/>
          </w:tcPr>
          <w:p>
            <w:pPr>
              <w:spacing w:after="0" w:line="20" w:lineRule="exact"/>
              <w:rPr>
                <w:sz w:val="1"/>
                <w:szCs w:val="1"/>
                <w:color w:val="auto"/>
              </w:rPr>
            </w:pPr>
          </w:p>
        </w:tc>
        <w:tc>
          <w:tcPr>
            <w:tcW w:w="140" w:type="dxa"/>
            <w:vAlign w:val="bottom"/>
            <w:tcBorders>
              <w:top w:val="single" w:sz="8" w:color="DEDEDE"/>
            </w:tcBorders>
            <w:shd w:val="clear" w:color="auto" w:fill="DEDEDE"/>
          </w:tcPr>
          <w:p>
            <w:pPr>
              <w:spacing w:after="0" w:line="20" w:lineRule="exact"/>
              <w:rPr>
                <w:sz w:val="1"/>
                <w:szCs w:val="1"/>
                <w:color w:val="auto"/>
              </w:rPr>
            </w:pPr>
          </w:p>
        </w:tc>
        <w:tc>
          <w:tcPr>
            <w:tcW w:w="140" w:type="dxa"/>
            <w:vAlign w:val="bottom"/>
            <w:tcBorders>
              <w:top w:val="single" w:sz="8" w:color="DEDEDE"/>
            </w:tcBorders>
            <w:shd w:val="clear" w:color="auto" w:fill="DEDEDE"/>
          </w:tcPr>
          <w:p>
            <w:pPr>
              <w:spacing w:after="0" w:line="20" w:lineRule="exact"/>
              <w:rPr>
                <w:sz w:val="1"/>
                <w:szCs w:val="1"/>
                <w:color w:val="auto"/>
              </w:rPr>
            </w:pPr>
          </w:p>
        </w:tc>
        <w:tc>
          <w:tcPr>
            <w:tcW w:w="960" w:type="dxa"/>
            <w:vAlign w:val="bottom"/>
            <w:tcBorders>
              <w:top w:val="single" w:sz="8" w:color="DEDEDE"/>
            </w:tcBorders>
            <w:shd w:val="clear" w:color="auto" w:fill="DEDEDE"/>
          </w:tcPr>
          <w:p>
            <w:pPr>
              <w:spacing w:after="0" w:line="20" w:lineRule="exact"/>
              <w:rPr>
                <w:sz w:val="1"/>
                <w:szCs w:val="1"/>
                <w:color w:val="auto"/>
              </w:rPr>
            </w:pPr>
          </w:p>
        </w:tc>
        <w:tc>
          <w:tcPr>
            <w:tcW w:w="120" w:type="dxa"/>
            <w:vAlign w:val="bottom"/>
            <w:tcBorders>
              <w:top w:val="single" w:sz="8" w:color="DEDEDE"/>
            </w:tcBorders>
            <w:shd w:val="clear" w:color="auto" w:fill="DED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gridSpan w:val="3"/>
          </w:tcPr>
          <w:p>
            <w:pPr>
              <w:spacing w:after="0" w:line="197" w:lineRule="exact"/>
              <w:rPr>
                <w:sz w:val="20"/>
                <w:szCs w:val="20"/>
                <w:color w:val="auto"/>
              </w:rPr>
            </w:pPr>
            <w:r>
              <w:rPr>
                <w:rFonts w:ascii="Times New Roman" w:cs="Times New Roman" w:eastAsia="Times New Roman" w:hAnsi="Times New Roman"/>
                <w:sz w:val="18"/>
                <w:szCs w:val="18"/>
                <w:color w:val="auto"/>
              </w:rPr>
              <w:t>Fixed maturity securities, available for sale, at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20" w:type="dxa"/>
            <w:vAlign w:val="bottom"/>
            <w:gridSpan w:val="3"/>
            <w:shd w:val="clear" w:color="auto" w:fill="DEDEDE"/>
          </w:tcPr>
          <w:p>
            <w:pPr>
              <w:ind w:left="160"/>
              <w:spacing w:after="0" w:line="196"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00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00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00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9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9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2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Government agencies</w:t>
            </w:r>
          </w:p>
        </w:tc>
        <w:tc>
          <w:tcPr>
            <w:tcW w:w="26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74,680,606</w:t>
            </w:r>
          </w:p>
        </w:tc>
        <w:tc>
          <w:tcPr>
            <w:tcW w:w="200" w:type="dxa"/>
            <w:vAlign w:val="bottom"/>
            <w:shd w:val="clear" w:color="auto" w:fill="DEDEDE"/>
          </w:tcPr>
          <w:p>
            <w:pPr>
              <w:spacing w:after="0"/>
              <w:rPr>
                <w:sz w:val="20"/>
                <w:szCs w:val="20"/>
                <w:color w:val="auto"/>
              </w:rPr>
            </w:pPr>
          </w:p>
        </w:tc>
        <w:tc>
          <w:tcPr>
            <w:tcW w:w="28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327,618</w:t>
            </w:r>
          </w:p>
        </w:tc>
        <w:tc>
          <w:tcPr>
            <w:tcW w:w="180" w:type="dxa"/>
            <w:vAlign w:val="bottom"/>
            <w:shd w:val="clear" w:color="auto" w:fill="DEDEDE"/>
          </w:tcPr>
          <w:p>
            <w:pPr>
              <w:spacing w:after="0"/>
              <w:rPr>
                <w:sz w:val="20"/>
                <w:szCs w:val="20"/>
                <w:color w:val="auto"/>
              </w:rPr>
            </w:pPr>
          </w:p>
        </w:tc>
        <w:tc>
          <w:tcPr>
            <w:tcW w:w="30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(486,976)</w:t>
            </w:r>
          </w:p>
        </w:tc>
        <w:tc>
          <w:tcPr>
            <w:tcW w:w="26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20"/>
                <w:szCs w:val="20"/>
                <w:color w:val="auto"/>
              </w:rPr>
            </w:pPr>
          </w:p>
        </w:tc>
        <w:tc>
          <w:tcPr>
            <w:tcW w:w="280" w:type="dxa"/>
            <w:vAlign w:val="bottom"/>
            <w:gridSpan w:val="2"/>
            <w:shd w:val="clear" w:color="auto" w:fill="DEDED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74,521,248</w:t>
            </w:r>
          </w:p>
        </w:tc>
        <w:tc>
          <w:tcPr>
            <w:tcW w:w="1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6,416,751</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20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(290,448)</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6,128,065</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262,954,278</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2,444,842</w:t>
            </w: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20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(6,922,871)</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16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(408,944)</w:t>
            </w: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258,067,305</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31,710,436</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125,764</w:t>
            </w: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20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(4,244,640)</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16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(12,049)</w:t>
            </w: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27,579,511</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2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20" w:type="dxa"/>
            <w:vAlign w:val="bottom"/>
            <w:shd w:val="clear" w:color="auto" w:fill="DEDEDE"/>
          </w:tcPr>
          <w:p>
            <w:pPr>
              <w:spacing w:after="0"/>
              <w:rPr>
                <w:sz w:val="19"/>
                <w:szCs w:val="19"/>
                <w:color w:val="auto"/>
              </w:rPr>
            </w:pPr>
          </w:p>
        </w:tc>
        <w:tc>
          <w:tcPr>
            <w:tcW w:w="140" w:type="dxa"/>
            <w:vAlign w:val="bottom"/>
            <w:tcBorders>
              <w:bottom w:val="single" w:sz="8" w:color="auto"/>
            </w:tcBorders>
            <w:shd w:val="clear" w:color="auto" w:fill="DEDEDE"/>
          </w:tcPr>
          <w:p>
            <w:pPr>
              <w:spacing w:after="0"/>
              <w:rPr>
                <w:sz w:val="19"/>
                <w:szCs w:val="19"/>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20" w:type="dxa"/>
            <w:vAlign w:val="bottom"/>
            <w:tcBorders>
              <w:bottom w:val="single" w:sz="8" w:color="auto"/>
            </w:tcBorders>
            <w:shd w:val="clear" w:color="auto" w:fill="DEDEDE"/>
          </w:tcPr>
          <w:p>
            <w:pPr>
              <w:spacing w:after="0"/>
              <w:rPr>
                <w:sz w:val="19"/>
                <w:szCs w:val="19"/>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20" w:type="dxa"/>
            <w:vAlign w:val="bottom"/>
            <w:tcBorders>
              <w:bottom w:val="single" w:sz="8" w:color="auto"/>
            </w:tcBorders>
            <w:shd w:val="clear" w:color="auto" w:fill="DEDEDE"/>
          </w:tcPr>
          <w:p>
            <w:pPr>
              <w:spacing w:after="0"/>
              <w:rPr>
                <w:sz w:val="19"/>
                <w:szCs w:val="19"/>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40" w:type="dxa"/>
            <w:vAlign w:val="bottom"/>
            <w:tcBorders>
              <w:bottom w:val="single" w:sz="8" w:color="auto"/>
            </w:tcBorders>
            <w:shd w:val="clear" w:color="auto" w:fill="DEDEDE"/>
          </w:tcPr>
          <w:p>
            <w:pPr>
              <w:spacing w:after="0"/>
              <w:rPr>
                <w:sz w:val="19"/>
                <w:szCs w:val="19"/>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40" w:type="dxa"/>
            <w:vAlign w:val="bottom"/>
            <w:tcBorders>
              <w:bottom w:val="single" w:sz="8" w:color="auto"/>
            </w:tcBorders>
            <w:shd w:val="clear" w:color="auto" w:fill="DEDEDE"/>
          </w:tcPr>
          <w:p>
            <w:pPr>
              <w:spacing w:after="0"/>
              <w:rPr>
                <w:sz w:val="19"/>
                <w:szCs w:val="19"/>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20" w:type="dxa"/>
            <w:vAlign w:val="bottom"/>
            <w:gridSpan w:val="3"/>
            <w:shd w:val="clear" w:color="auto" w:fill="DEDEDE"/>
          </w:tcPr>
          <w:p>
            <w:pPr>
              <w:ind w:left="340"/>
              <w:spacing w:after="0" w:line="161" w:lineRule="exact"/>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260" w:type="dxa"/>
            <w:vAlign w:val="bottom"/>
            <w:gridSpan w:val="2"/>
            <w:vMerge w:val="restart"/>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376,012,071</w:t>
            </w:r>
          </w:p>
        </w:tc>
        <w:tc>
          <w:tcPr>
            <w:tcW w:w="200" w:type="dxa"/>
            <w:vAlign w:val="bottom"/>
            <w:shd w:val="clear" w:color="auto" w:fill="DEDEDE"/>
          </w:tcPr>
          <w:p>
            <w:pPr>
              <w:spacing w:after="0"/>
              <w:rPr>
                <w:sz w:val="14"/>
                <w:szCs w:val="14"/>
                <w:color w:val="auto"/>
              </w:rPr>
            </w:pPr>
          </w:p>
        </w:tc>
        <w:tc>
          <w:tcPr>
            <w:tcW w:w="280" w:type="dxa"/>
            <w:vAlign w:val="bottom"/>
            <w:gridSpan w:val="2"/>
            <w:vMerge w:val="restart"/>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2,899,986</w:t>
            </w:r>
          </w:p>
        </w:tc>
        <w:tc>
          <w:tcPr>
            <w:tcW w:w="180" w:type="dxa"/>
            <w:vAlign w:val="bottom"/>
            <w:shd w:val="clear" w:color="auto" w:fill="DEDEDE"/>
          </w:tcPr>
          <w:p>
            <w:pPr>
              <w:spacing w:after="0"/>
              <w:rPr>
                <w:sz w:val="14"/>
                <w:szCs w:val="14"/>
                <w:color w:val="auto"/>
              </w:rPr>
            </w:pPr>
          </w:p>
        </w:tc>
        <w:tc>
          <w:tcPr>
            <w:tcW w:w="300" w:type="dxa"/>
            <w:vAlign w:val="bottom"/>
            <w:gridSpan w:val="2"/>
            <w:vMerge w:val="restart"/>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DEDEDE"/>
          </w:tcPr>
          <w:p>
            <w:pPr>
              <w:jc w:val="right"/>
              <w:ind w:right="140"/>
              <w:spacing w:after="0" w:line="16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DEDEDE"/>
          </w:tcPr>
          <w:p>
            <w:pPr>
              <w:jc w:val="right"/>
              <w:ind w:right="140"/>
              <w:spacing w:after="0" w:line="161"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vMerge w:val="restart"/>
            <w:shd w:val="clear" w:color="auto" w:fill="DEDED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366,546,129</w:t>
            </w:r>
          </w:p>
        </w:tc>
        <w:tc>
          <w:tcPr>
            <w:tcW w:w="120" w:type="dxa"/>
            <w:vAlign w:val="bottom"/>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40" w:type="dxa"/>
            <w:vAlign w:val="bottom"/>
            <w:shd w:val="clear" w:color="auto" w:fill="DEDEDE"/>
          </w:tcPr>
          <w:p>
            <w:pPr>
              <w:spacing w:after="0"/>
              <w:rPr>
                <w:sz w:val="7"/>
                <w:szCs w:val="7"/>
                <w:color w:val="auto"/>
              </w:rPr>
            </w:pPr>
          </w:p>
        </w:tc>
        <w:tc>
          <w:tcPr>
            <w:tcW w:w="400" w:type="dxa"/>
            <w:vAlign w:val="bottom"/>
            <w:shd w:val="clear" w:color="auto" w:fill="DEDEDE"/>
          </w:tcPr>
          <w:p>
            <w:pPr>
              <w:spacing w:after="0"/>
              <w:rPr>
                <w:sz w:val="7"/>
                <w:szCs w:val="7"/>
                <w:color w:val="auto"/>
              </w:rPr>
            </w:pPr>
          </w:p>
        </w:tc>
        <w:tc>
          <w:tcPr>
            <w:tcW w:w="2580" w:type="dxa"/>
            <w:vAlign w:val="bottom"/>
            <w:shd w:val="clear" w:color="auto" w:fill="DEDEDE"/>
          </w:tcPr>
          <w:p>
            <w:pPr>
              <w:spacing w:after="0"/>
              <w:rPr>
                <w:sz w:val="7"/>
                <w:szCs w:val="7"/>
                <w:color w:val="auto"/>
              </w:rPr>
            </w:pPr>
          </w:p>
        </w:tc>
        <w:tc>
          <w:tcPr>
            <w:tcW w:w="260" w:type="dxa"/>
            <w:vAlign w:val="bottom"/>
            <w:gridSpan w:val="2"/>
            <w:vMerge w:val="continue"/>
            <w:shd w:val="clear" w:color="auto" w:fill="DEDEDE"/>
          </w:tcPr>
          <w:p>
            <w:pPr>
              <w:spacing w:after="0"/>
              <w:rPr>
                <w:sz w:val="7"/>
                <w:szCs w:val="7"/>
                <w:color w:val="auto"/>
              </w:rPr>
            </w:pPr>
          </w:p>
        </w:tc>
        <w:tc>
          <w:tcPr>
            <w:tcW w:w="1000" w:type="dxa"/>
            <w:vAlign w:val="bottom"/>
            <w:vMerge w:val="continue"/>
            <w:shd w:val="clear" w:color="auto" w:fill="DEDEDE"/>
          </w:tcPr>
          <w:p>
            <w:pPr>
              <w:spacing w:after="0"/>
              <w:rPr>
                <w:sz w:val="7"/>
                <w:szCs w:val="7"/>
                <w:color w:val="auto"/>
              </w:rPr>
            </w:pPr>
          </w:p>
        </w:tc>
        <w:tc>
          <w:tcPr>
            <w:tcW w:w="200" w:type="dxa"/>
            <w:vAlign w:val="bottom"/>
            <w:shd w:val="clear" w:color="auto" w:fill="DEDEDE"/>
          </w:tcPr>
          <w:p>
            <w:pPr>
              <w:spacing w:after="0"/>
              <w:rPr>
                <w:sz w:val="7"/>
                <w:szCs w:val="7"/>
                <w:color w:val="auto"/>
              </w:rPr>
            </w:pPr>
          </w:p>
        </w:tc>
        <w:tc>
          <w:tcPr>
            <w:tcW w:w="280" w:type="dxa"/>
            <w:vAlign w:val="bottom"/>
            <w:gridSpan w:val="2"/>
            <w:vMerge w:val="continue"/>
            <w:shd w:val="clear" w:color="auto" w:fill="DEDEDE"/>
          </w:tcPr>
          <w:p>
            <w:pPr>
              <w:spacing w:after="0"/>
              <w:rPr>
                <w:sz w:val="7"/>
                <w:szCs w:val="7"/>
                <w:color w:val="auto"/>
              </w:rPr>
            </w:pPr>
          </w:p>
        </w:tc>
        <w:tc>
          <w:tcPr>
            <w:tcW w:w="1000" w:type="dxa"/>
            <w:vAlign w:val="bottom"/>
            <w:vMerge w:val="continue"/>
            <w:shd w:val="clear" w:color="auto" w:fill="DEDEDE"/>
          </w:tcPr>
          <w:p>
            <w:pPr>
              <w:spacing w:after="0"/>
              <w:rPr>
                <w:sz w:val="7"/>
                <w:szCs w:val="7"/>
                <w:color w:val="auto"/>
              </w:rPr>
            </w:pPr>
          </w:p>
        </w:tc>
        <w:tc>
          <w:tcPr>
            <w:tcW w:w="180" w:type="dxa"/>
            <w:vAlign w:val="bottom"/>
            <w:shd w:val="clear" w:color="auto" w:fill="DEDEDE"/>
          </w:tcPr>
          <w:p>
            <w:pPr>
              <w:spacing w:after="0"/>
              <w:rPr>
                <w:sz w:val="7"/>
                <w:szCs w:val="7"/>
                <w:color w:val="auto"/>
              </w:rPr>
            </w:pPr>
          </w:p>
        </w:tc>
        <w:tc>
          <w:tcPr>
            <w:tcW w:w="300" w:type="dxa"/>
            <w:vAlign w:val="bottom"/>
            <w:gridSpan w:val="2"/>
            <w:vMerge w:val="continue"/>
            <w:shd w:val="clear" w:color="auto" w:fill="DEDEDE"/>
          </w:tcPr>
          <w:p>
            <w:pPr>
              <w:spacing w:after="0"/>
              <w:rPr>
                <w:sz w:val="7"/>
                <w:szCs w:val="7"/>
                <w:color w:val="auto"/>
              </w:rPr>
            </w:pPr>
          </w:p>
        </w:tc>
        <w:tc>
          <w:tcPr>
            <w:tcW w:w="1000" w:type="dxa"/>
            <w:vAlign w:val="bottom"/>
            <w:shd w:val="clear" w:color="auto" w:fill="DEDEDE"/>
          </w:tcPr>
          <w:p>
            <w:pPr>
              <w:jc w:val="right"/>
              <w:spacing w:after="0" w:line="82" w:lineRule="exact"/>
              <w:rPr>
                <w:sz w:val="20"/>
                <w:szCs w:val="20"/>
                <w:color w:val="auto"/>
              </w:rPr>
            </w:pPr>
            <w:r>
              <w:rPr>
                <w:rFonts w:ascii="Times New Roman" w:cs="Times New Roman" w:eastAsia="Times New Roman" w:hAnsi="Times New Roman"/>
                <w:sz w:val="9"/>
                <w:szCs w:val="9"/>
                <w:color w:val="auto"/>
              </w:rPr>
              <w:t>(11,944,935</w:t>
            </w:r>
          </w:p>
        </w:tc>
        <w:tc>
          <w:tcPr>
            <w:tcW w:w="200" w:type="dxa"/>
            <w:vAlign w:val="bottom"/>
            <w:shd w:val="clear" w:color="auto" w:fill="DEDEDE"/>
          </w:tcPr>
          <w:p>
            <w:pPr>
              <w:spacing w:after="0"/>
              <w:rPr>
                <w:sz w:val="7"/>
                <w:szCs w:val="7"/>
                <w:color w:val="auto"/>
              </w:rPr>
            </w:pPr>
          </w:p>
        </w:tc>
        <w:tc>
          <w:tcPr>
            <w:tcW w:w="260" w:type="dxa"/>
            <w:vAlign w:val="bottom"/>
            <w:gridSpan w:val="2"/>
            <w:vMerge w:val="continue"/>
            <w:shd w:val="clear" w:color="auto" w:fill="DEDEDE"/>
          </w:tcPr>
          <w:p>
            <w:pPr>
              <w:spacing w:after="0"/>
              <w:rPr>
                <w:sz w:val="7"/>
                <w:szCs w:val="7"/>
                <w:color w:val="auto"/>
              </w:rPr>
            </w:pPr>
          </w:p>
        </w:tc>
        <w:tc>
          <w:tcPr>
            <w:tcW w:w="980" w:type="dxa"/>
            <w:vAlign w:val="bottom"/>
            <w:shd w:val="clear" w:color="auto" w:fill="DEDEDE"/>
          </w:tcPr>
          <w:p>
            <w:pPr>
              <w:jc w:val="right"/>
              <w:spacing w:after="0" w:line="82" w:lineRule="exact"/>
              <w:rPr>
                <w:sz w:val="20"/>
                <w:szCs w:val="20"/>
                <w:color w:val="auto"/>
              </w:rPr>
            </w:pPr>
            <w:r>
              <w:rPr>
                <w:rFonts w:ascii="Times New Roman" w:cs="Times New Roman" w:eastAsia="Times New Roman" w:hAnsi="Times New Roman"/>
                <w:sz w:val="9"/>
                <w:szCs w:val="9"/>
                <w:color w:val="auto"/>
              </w:rPr>
              <w:t>(420,993</w:t>
            </w:r>
          </w:p>
        </w:tc>
        <w:tc>
          <w:tcPr>
            <w:tcW w:w="180" w:type="dxa"/>
            <w:vAlign w:val="bottom"/>
            <w:shd w:val="clear" w:color="auto" w:fill="DEDEDE"/>
          </w:tcPr>
          <w:p>
            <w:pPr>
              <w:spacing w:after="0"/>
              <w:rPr>
                <w:sz w:val="7"/>
                <w:szCs w:val="7"/>
                <w:color w:val="auto"/>
              </w:rPr>
            </w:pPr>
          </w:p>
        </w:tc>
        <w:tc>
          <w:tcPr>
            <w:tcW w:w="280" w:type="dxa"/>
            <w:vAlign w:val="bottom"/>
            <w:gridSpan w:val="2"/>
            <w:vMerge w:val="continue"/>
            <w:shd w:val="clear" w:color="auto" w:fill="DEDEDE"/>
          </w:tcPr>
          <w:p>
            <w:pPr>
              <w:spacing w:after="0"/>
              <w:rPr>
                <w:sz w:val="7"/>
                <w:szCs w:val="7"/>
                <w:color w:val="auto"/>
              </w:rPr>
            </w:pPr>
          </w:p>
        </w:tc>
        <w:tc>
          <w:tcPr>
            <w:tcW w:w="960" w:type="dxa"/>
            <w:vAlign w:val="bottom"/>
            <w:vMerge w:val="continue"/>
            <w:shd w:val="clear" w:color="auto" w:fill="DEDEDE"/>
          </w:tcPr>
          <w:p>
            <w:pPr>
              <w:spacing w:after="0"/>
              <w:rPr>
                <w:sz w:val="7"/>
                <w:szCs w:val="7"/>
                <w:color w:val="auto"/>
              </w:rPr>
            </w:pPr>
          </w:p>
        </w:tc>
        <w:tc>
          <w:tcPr>
            <w:tcW w:w="120" w:type="dxa"/>
            <w:vAlign w:val="bottom"/>
            <w:shd w:val="clear" w:color="auto" w:fill="DEDED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tcBorders>
          </w:tcPr>
          <w:p>
            <w:pPr>
              <w:spacing w:after="0" w:line="20" w:lineRule="exact"/>
              <w:rPr>
                <w:sz w:val="1"/>
                <w:szCs w:val="1"/>
                <w:color w:val="auto"/>
              </w:rPr>
            </w:pPr>
          </w:p>
        </w:tc>
        <w:tc>
          <w:tcPr>
            <w:tcW w:w="25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26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11,386,454</w:t>
            </w:r>
          </w:p>
        </w:tc>
        <w:tc>
          <w:tcPr>
            <w:tcW w:w="200" w:type="dxa"/>
            <w:vAlign w:val="bottom"/>
            <w:shd w:val="clear" w:color="auto" w:fill="DEDEDE"/>
          </w:tcPr>
          <w:p>
            <w:pPr>
              <w:spacing w:after="0"/>
              <w:rPr>
                <w:sz w:val="19"/>
                <w:szCs w:val="19"/>
                <w:color w:val="auto"/>
              </w:rPr>
            </w:pPr>
          </w:p>
        </w:tc>
        <w:tc>
          <w:tcPr>
            <w:tcW w:w="28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4,976,567</w:t>
            </w:r>
          </w:p>
        </w:tc>
        <w:tc>
          <w:tcPr>
            <w:tcW w:w="30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(591,340)</w:t>
            </w:r>
          </w:p>
        </w:tc>
        <w:tc>
          <w:tcPr>
            <w:tcW w:w="1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280" w:type="dxa"/>
            <w:vAlign w:val="bottom"/>
            <w:gridSpan w:val="2"/>
            <w:shd w:val="clear" w:color="auto" w:fill="DEDED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15,771,681</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gridSpan w:val="3"/>
            <w:shd w:val="clear" w:color="auto" w:fill="DEDEDE"/>
          </w:tcPr>
          <w:p>
            <w:pPr>
              <w:ind w:left="160"/>
              <w:spacing w:after="0" w:line="162" w:lineRule="exact"/>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260" w:type="dxa"/>
            <w:vAlign w:val="bottom"/>
            <w:gridSpan w:val="2"/>
            <w:vMerge w:val="restart"/>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11,386,454</w:t>
            </w:r>
          </w:p>
        </w:tc>
        <w:tc>
          <w:tcPr>
            <w:tcW w:w="200" w:type="dxa"/>
            <w:vAlign w:val="bottom"/>
            <w:shd w:val="clear" w:color="auto" w:fill="DEDEDE"/>
          </w:tcPr>
          <w:p>
            <w:pPr>
              <w:spacing w:after="0"/>
              <w:rPr>
                <w:sz w:val="14"/>
                <w:szCs w:val="14"/>
                <w:color w:val="auto"/>
              </w:rPr>
            </w:pPr>
          </w:p>
        </w:tc>
        <w:tc>
          <w:tcPr>
            <w:tcW w:w="280" w:type="dxa"/>
            <w:vAlign w:val="bottom"/>
            <w:gridSpan w:val="2"/>
            <w:vMerge w:val="restart"/>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4,976,567</w:t>
            </w:r>
          </w:p>
        </w:tc>
        <w:tc>
          <w:tcPr>
            <w:tcW w:w="180" w:type="dxa"/>
            <w:vAlign w:val="bottom"/>
            <w:shd w:val="clear" w:color="auto" w:fill="DEDEDE"/>
          </w:tcPr>
          <w:p>
            <w:pPr>
              <w:spacing w:after="0"/>
              <w:rPr>
                <w:sz w:val="14"/>
                <w:szCs w:val="14"/>
                <w:color w:val="auto"/>
              </w:rPr>
            </w:pPr>
          </w:p>
        </w:tc>
        <w:tc>
          <w:tcPr>
            <w:tcW w:w="300" w:type="dxa"/>
            <w:vAlign w:val="bottom"/>
            <w:gridSpan w:val="2"/>
            <w:vMerge w:val="restart"/>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DEDEDE"/>
          </w:tcPr>
          <w:p>
            <w:pPr>
              <w:jc w:val="right"/>
              <w:ind w:right="1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14"/>
                <w:szCs w:val="14"/>
                <w:color w:val="auto"/>
              </w:rPr>
            </w:pPr>
          </w:p>
        </w:tc>
        <w:tc>
          <w:tcPr>
            <w:tcW w:w="140" w:type="dxa"/>
            <w:vAlign w:val="bottom"/>
            <w:shd w:val="clear" w:color="auto" w:fill="DEDEDE"/>
          </w:tcPr>
          <w:p>
            <w:pPr>
              <w:spacing w:after="0"/>
              <w:rPr>
                <w:sz w:val="14"/>
                <w:szCs w:val="14"/>
                <w:color w:val="auto"/>
              </w:rPr>
            </w:pPr>
          </w:p>
        </w:tc>
        <w:tc>
          <w:tcPr>
            <w:tcW w:w="980" w:type="dxa"/>
            <w:vAlign w:val="bottom"/>
            <w:shd w:val="clear" w:color="auto" w:fill="DEDEDE"/>
          </w:tcPr>
          <w:p>
            <w:pPr>
              <w:spacing w:after="0"/>
              <w:rPr>
                <w:sz w:val="14"/>
                <w:szCs w:val="14"/>
                <w:color w:val="auto"/>
              </w:rPr>
            </w:pPr>
          </w:p>
        </w:tc>
        <w:tc>
          <w:tcPr>
            <w:tcW w:w="180" w:type="dxa"/>
            <w:vAlign w:val="bottom"/>
            <w:shd w:val="clear" w:color="auto" w:fill="DEDEDE"/>
          </w:tcPr>
          <w:p>
            <w:pPr>
              <w:spacing w:after="0"/>
              <w:rPr>
                <w:sz w:val="14"/>
                <w:szCs w:val="14"/>
                <w:color w:val="auto"/>
              </w:rPr>
            </w:pPr>
          </w:p>
        </w:tc>
        <w:tc>
          <w:tcPr>
            <w:tcW w:w="280" w:type="dxa"/>
            <w:vAlign w:val="bottom"/>
            <w:gridSpan w:val="2"/>
            <w:vMerge w:val="restart"/>
            <w:shd w:val="clear" w:color="auto" w:fill="DEDEDE"/>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15,771,681</w:t>
            </w:r>
          </w:p>
        </w:tc>
        <w:tc>
          <w:tcPr>
            <w:tcW w:w="120" w:type="dxa"/>
            <w:vAlign w:val="bottom"/>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40" w:type="dxa"/>
            <w:vAlign w:val="bottom"/>
            <w:shd w:val="clear" w:color="auto" w:fill="DEDEDE"/>
          </w:tcPr>
          <w:p>
            <w:pPr>
              <w:spacing w:after="0"/>
              <w:rPr>
                <w:sz w:val="7"/>
                <w:szCs w:val="7"/>
                <w:color w:val="auto"/>
              </w:rPr>
            </w:pPr>
          </w:p>
        </w:tc>
        <w:tc>
          <w:tcPr>
            <w:tcW w:w="400" w:type="dxa"/>
            <w:vAlign w:val="bottom"/>
            <w:shd w:val="clear" w:color="auto" w:fill="DEDEDE"/>
          </w:tcPr>
          <w:p>
            <w:pPr>
              <w:spacing w:after="0"/>
              <w:rPr>
                <w:sz w:val="7"/>
                <w:szCs w:val="7"/>
                <w:color w:val="auto"/>
              </w:rPr>
            </w:pPr>
          </w:p>
        </w:tc>
        <w:tc>
          <w:tcPr>
            <w:tcW w:w="2580" w:type="dxa"/>
            <w:vAlign w:val="bottom"/>
            <w:shd w:val="clear" w:color="auto" w:fill="DEDEDE"/>
          </w:tcPr>
          <w:p>
            <w:pPr>
              <w:spacing w:after="0"/>
              <w:rPr>
                <w:sz w:val="7"/>
                <w:szCs w:val="7"/>
                <w:color w:val="auto"/>
              </w:rPr>
            </w:pPr>
          </w:p>
        </w:tc>
        <w:tc>
          <w:tcPr>
            <w:tcW w:w="260" w:type="dxa"/>
            <w:vAlign w:val="bottom"/>
            <w:gridSpan w:val="2"/>
            <w:vMerge w:val="continue"/>
            <w:shd w:val="clear" w:color="auto" w:fill="DEDEDE"/>
          </w:tcPr>
          <w:p>
            <w:pPr>
              <w:spacing w:after="0"/>
              <w:rPr>
                <w:sz w:val="7"/>
                <w:szCs w:val="7"/>
                <w:color w:val="auto"/>
              </w:rPr>
            </w:pPr>
          </w:p>
        </w:tc>
        <w:tc>
          <w:tcPr>
            <w:tcW w:w="1000" w:type="dxa"/>
            <w:vAlign w:val="bottom"/>
            <w:vMerge w:val="continue"/>
            <w:shd w:val="clear" w:color="auto" w:fill="DEDEDE"/>
          </w:tcPr>
          <w:p>
            <w:pPr>
              <w:spacing w:after="0"/>
              <w:rPr>
                <w:sz w:val="7"/>
                <w:szCs w:val="7"/>
                <w:color w:val="auto"/>
              </w:rPr>
            </w:pPr>
          </w:p>
        </w:tc>
        <w:tc>
          <w:tcPr>
            <w:tcW w:w="200" w:type="dxa"/>
            <w:vAlign w:val="bottom"/>
            <w:shd w:val="clear" w:color="auto" w:fill="DEDEDE"/>
          </w:tcPr>
          <w:p>
            <w:pPr>
              <w:spacing w:after="0"/>
              <w:rPr>
                <w:sz w:val="7"/>
                <w:szCs w:val="7"/>
                <w:color w:val="auto"/>
              </w:rPr>
            </w:pPr>
          </w:p>
        </w:tc>
        <w:tc>
          <w:tcPr>
            <w:tcW w:w="280" w:type="dxa"/>
            <w:vAlign w:val="bottom"/>
            <w:gridSpan w:val="2"/>
            <w:vMerge w:val="continue"/>
            <w:shd w:val="clear" w:color="auto" w:fill="DEDEDE"/>
          </w:tcPr>
          <w:p>
            <w:pPr>
              <w:spacing w:after="0"/>
              <w:rPr>
                <w:sz w:val="7"/>
                <w:szCs w:val="7"/>
                <w:color w:val="auto"/>
              </w:rPr>
            </w:pPr>
          </w:p>
        </w:tc>
        <w:tc>
          <w:tcPr>
            <w:tcW w:w="1000" w:type="dxa"/>
            <w:vAlign w:val="bottom"/>
            <w:vMerge w:val="continue"/>
            <w:shd w:val="clear" w:color="auto" w:fill="DEDEDE"/>
          </w:tcPr>
          <w:p>
            <w:pPr>
              <w:spacing w:after="0"/>
              <w:rPr>
                <w:sz w:val="7"/>
                <w:szCs w:val="7"/>
                <w:color w:val="auto"/>
              </w:rPr>
            </w:pPr>
          </w:p>
        </w:tc>
        <w:tc>
          <w:tcPr>
            <w:tcW w:w="180" w:type="dxa"/>
            <w:vAlign w:val="bottom"/>
            <w:shd w:val="clear" w:color="auto" w:fill="DEDEDE"/>
          </w:tcPr>
          <w:p>
            <w:pPr>
              <w:spacing w:after="0"/>
              <w:rPr>
                <w:sz w:val="7"/>
                <w:szCs w:val="7"/>
                <w:color w:val="auto"/>
              </w:rPr>
            </w:pPr>
          </w:p>
        </w:tc>
        <w:tc>
          <w:tcPr>
            <w:tcW w:w="300" w:type="dxa"/>
            <w:vAlign w:val="bottom"/>
            <w:gridSpan w:val="2"/>
            <w:vMerge w:val="continue"/>
            <w:shd w:val="clear" w:color="auto" w:fill="DEDEDE"/>
          </w:tcPr>
          <w:p>
            <w:pPr>
              <w:spacing w:after="0"/>
              <w:rPr>
                <w:sz w:val="7"/>
                <w:szCs w:val="7"/>
                <w:color w:val="auto"/>
              </w:rPr>
            </w:pPr>
          </w:p>
        </w:tc>
        <w:tc>
          <w:tcPr>
            <w:tcW w:w="1000" w:type="dxa"/>
            <w:vAlign w:val="bottom"/>
            <w:shd w:val="clear" w:color="auto" w:fill="DEDEDE"/>
          </w:tcPr>
          <w:p>
            <w:pPr>
              <w:jc w:val="right"/>
              <w:spacing w:after="0" w:line="82" w:lineRule="exact"/>
              <w:rPr>
                <w:sz w:val="20"/>
                <w:szCs w:val="20"/>
                <w:color w:val="auto"/>
              </w:rPr>
            </w:pPr>
            <w:r>
              <w:rPr>
                <w:rFonts w:ascii="Times New Roman" w:cs="Times New Roman" w:eastAsia="Times New Roman" w:hAnsi="Times New Roman"/>
                <w:sz w:val="9"/>
                <w:szCs w:val="9"/>
                <w:color w:val="auto"/>
              </w:rPr>
              <w:t>(591,340</w:t>
            </w:r>
          </w:p>
        </w:tc>
        <w:tc>
          <w:tcPr>
            <w:tcW w:w="200" w:type="dxa"/>
            <w:vAlign w:val="bottom"/>
            <w:shd w:val="clear" w:color="auto" w:fill="DEDEDE"/>
          </w:tcPr>
          <w:p>
            <w:pPr>
              <w:spacing w:after="0"/>
              <w:rPr>
                <w:sz w:val="7"/>
                <w:szCs w:val="7"/>
                <w:color w:val="auto"/>
              </w:rPr>
            </w:pPr>
          </w:p>
        </w:tc>
        <w:tc>
          <w:tcPr>
            <w:tcW w:w="120" w:type="dxa"/>
            <w:vAlign w:val="bottom"/>
            <w:shd w:val="clear" w:color="auto" w:fill="DEDEDE"/>
          </w:tcPr>
          <w:p>
            <w:pPr>
              <w:spacing w:after="0"/>
              <w:rPr>
                <w:sz w:val="7"/>
                <w:szCs w:val="7"/>
                <w:color w:val="auto"/>
              </w:rPr>
            </w:pPr>
          </w:p>
        </w:tc>
        <w:tc>
          <w:tcPr>
            <w:tcW w:w="140" w:type="dxa"/>
            <w:vAlign w:val="bottom"/>
            <w:shd w:val="clear" w:color="auto" w:fill="DEDEDE"/>
          </w:tcPr>
          <w:p>
            <w:pPr>
              <w:spacing w:after="0"/>
              <w:rPr>
                <w:sz w:val="7"/>
                <w:szCs w:val="7"/>
                <w:color w:val="auto"/>
              </w:rPr>
            </w:pPr>
          </w:p>
        </w:tc>
        <w:tc>
          <w:tcPr>
            <w:tcW w:w="980" w:type="dxa"/>
            <w:vAlign w:val="bottom"/>
            <w:shd w:val="clear" w:color="auto" w:fill="DEDEDE"/>
          </w:tcPr>
          <w:p>
            <w:pPr>
              <w:spacing w:after="0"/>
              <w:rPr>
                <w:sz w:val="7"/>
                <w:szCs w:val="7"/>
                <w:color w:val="auto"/>
              </w:rPr>
            </w:pPr>
          </w:p>
        </w:tc>
        <w:tc>
          <w:tcPr>
            <w:tcW w:w="180" w:type="dxa"/>
            <w:vAlign w:val="bottom"/>
            <w:shd w:val="clear" w:color="auto" w:fill="DEDEDE"/>
          </w:tcPr>
          <w:p>
            <w:pPr>
              <w:spacing w:after="0"/>
              <w:rPr>
                <w:sz w:val="7"/>
                <w:szCs w:val="7"/>
                <w:color w:val="auto"/>
              </w:rPr>
            </w:pPr>
          </w:p>
        </w:tc>
        <w:tc>
          <w:tcPr>
            <w:tcW w:w="280" w:type="dxa"/>
            <w:vAlign w:val="bottom"/>
            <w:gridSpan w:val="2"/>
            <w:vMerge w:val="continue"/>
            <w:shd w:val="clear" w:color="auto" w:fill="DEDEDE"/>
          </w:tcPr>
          <w:p>
            <w:pPr>
              <w:spacing w:after="0"/>
              <w:rPr>
                <w:sz w:val="7"/>
                <w:szCs w:val="7"/>
                <w:color w:val="auto"/>
              </w:rPr>
            </w:pPr>
          </w:p>
        </w:tc>
        <w:tc>
          <w:tcPr>
            <w:tcW w:w="960" w:type="dxa"/>
            <w:vAlign w:val="bottom"/>
            <w:vMerge w:val="continue"/>
            <w:shd w:val="clear" w:color="auto" w:fill="DEDEDE"/>
          </w:tcPr>
          <w:p>
            <w:pPr>
              <w:spacing w:after="0"/>
              <w:rPr>
                <w:sz w:val="7"/>
                <w:szCs w:val="7"/>
                <w:color w:val="auto"/>
              </w:rPr>
            </w:pPr>
          </w:p>
        </w:tc>
        <w:tc>
          <w:tcPr>
            <w:tcW w:w="120" w:type="dxa"/>
            <w:vAlign w:val="bottom"/>
            <w:shd w:val="clear" w:color="auto" w:fill="DEDED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tcBorders>
          </w:tcPr>
          <w:p>
            <w:pPr>
              <w:spacing w:after="0" w:line="20" w:lineRule="exact"/>
              <w:rPr>
                <w:sz w:val="1"/>
                <w:szCs w:val="1"/>
                <w:color w:val="auto"/>
              </w:rPr>
            </w:pPr>
          </w:p>
        </w:tc>
        <w:tc>
          <w:tcPr>
            <w:tcW w:w="25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92,061,787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151,172,733</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62,753,085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Less: Unamortized deferred loan fees, net</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20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(2,082,241)</w:t>
            </w: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(1,885,390)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3"/>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Less: Net discounts</w:t>
            </w:r>
          </w:p>
        </w:tc>
        <w:tc>
          <w:tcPr>
            <w:tcW w:w="1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20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(272,616)</w:t>
            </w:r>
          </w:p>
        </w:tc>
        <w:tc>
          <w:tcPr>
            <w:tcW w:w="16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00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00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6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26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301,747,358</w:t>
            </w:r>
          </w:p>
        </w:tc>
        <w:tc>
          <w:tcPr>
            <w:tcW w:w="200" w:type="dxa"/>
            <w:vAlign w:val="bottom"/>
            <w:shd w:val="clear" w:color="auto" w:fill="DEDEDE"/>
          </w:tcPr>
          <w:p>
            <w:pPr>
              <w:spacing w:after="0"/>
              <w:rPr>
                <w:sz w:val="21"/>
                <w:szCs w:val="21"/>
                <w:color w:val="auto"/>
              </w:rPr>
            </w:pPr>
          </w:p>
        </w:tc>
        <w:tc>
          <w:tcPr>
            <w:tcW w:w="16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00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00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98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96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tcBorders>
          </w:tcPr>
          <w:p>
            <w:pPr>
              <w:spacing w:after="0" w:line="20" w:lineRule="exact"/>
              <w:rPr>
                <w:sz w:val="1"/>
                <w:szCs w:val="1"/>
                <w:color w:val="auto"/>
              </w:rPr>
            </w:pPr>
          </w:p>
        </w:tc>
        <w:tc>
          <w:tcPr>
            <w:tcW w:w="25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00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00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9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020" w:type="dxa"/>
            <w:vAlign w:val="bottom"/>
            <w:gridSpan w:val="3"/>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Real estate held for investment - net of accumulated</w:t>
            </w:r>
          </w:p>
        </w:tc>
        <w:tc>
          <w:tcPr>
            <w:tcW w:w="1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00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00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00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9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9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1000" w:type="dxa"/>
            <w:vAlign w:val="bottom"/>
            <w:shd w:val="clear" w:color="auto" w:fill="DEDEDE"/>
          </w:tcPr>
          <w:p>
            <w:pPr>
              <w:spacing w:after="0"/>
              <w:rPr>
                <w:sz w:val="20"/>
                <w:szCs w:val="20"/>
                <w:color w:val="auto"/>
              </w:rPr>
            </w:pPr>
          </w:p>
        </w:tc>
        <w:tc>
          <w:tcPr>
            <w:tcW w:w="20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98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96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71,618,410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3"/>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DEDEDE"/>
          </w:tcPr>
          <w:p>
            <w:pPr>
              <w:spacing w:after="0"/>
              <w:rPr>
                <w:sz w:val="19"/>
                <w:szCs w:val="19"/>
                <w:color w:val="auto"/>
              </w:rPr>
            </w:pPr>
          </w:p>
        </w:tc>
        <w:tc>
          <w:tcPr>
            <w:tcW w:w="140" w:type="dxa"/>
            <w:vAlign w:val="bottom"/>
            <w:tcBorders>
              <w:bottom w:val="single" w:sz="8" w:color="auto"/>
            </w:tcBorders>
            <w:shd w:val="clear" w:color="auto" w:fill="DEDEDE"/>
          </w:tcPr>
          <w:p>
            <w:pPr>
              <w:spacing w:after="0"/>
              <w:rPr>
                <w:sz w:val="19"/>
                <w:szCs w:val="19"/>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126,074,928</w:t>
            </w:r>
          </w:p>
        </w:tc>
        <w:tc>
          <w:tcPr>
            <w:tcW w:w="2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00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00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6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real estate held for investment</w:t>
            </w:r>
          </w:p>
        </w:tc>
        <w:tc>
          <w:tcPr>
            <w:tcW w:w="26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197,693,338</w:t>
            </w:r>
          </w:p>
        </w:tc>
        <w:tc>
          <w:tcPr>
            <w:tcW w:w="200" w:type="dxa"/>
            <w:vAlign w:val="bottom"/>
            <w:shd w:val="clear" w:color="auto" w:fill="DEDEDE"/>
          </w:tcPr>
          <w:p>
            <w:pPr>
              <w:spacing w:after="0"/>
              <w:rPr>
                <w:sz w:val="21"/>
                <w:szCs w:val="21"/>
                <w:color w:val="auto"/>
              </w:rPr>
            </w:pPr>
          </w:p>
        </w:tc>
        <w:tc>
          <w:tcPr>
            <w:tcW w:w="16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00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00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98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96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tcBorders>
          </w:tcPr>
          <w:p>
            <w:pPr>
              <w:spacing w:after="0" w:line="20" w:lineRule="exact"/>
              <w:rPr>
                <w:sz w:val="1"/>
                <w:szCs w:val="1"/>
                <w:color w:val="auto"/>
              </w:rPr>
            </w:pPr>
          </w:p>
        </w:tc>
        <w:tc>
          <w:tcPr>
            <w:tcW w:w="25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00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00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9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Real estate held for sale:</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Residential</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1,126,480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3"/>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20" w:type="dxa"/>
            <w:vAlign w:val="bottom"/>
            <w:shd w:val="clear" w:color="auto" w:fill="DEDEDE"/>
          </w:tcPr>
          <w:p>
            <w:pPr>
              <w:spacing w:after="0"/>
              <w:rPr>
                <w:sz w:val="19"/>
                <w:szCs w:val="19"/>
                <w:color w:val="auto"/>
              </w:rPr>
            </w:pPr>
          </w:p>
        </w:tc>
        <w:tc>
          <w:tcPr>
            <w:tcW w:w="140" w:type="dxa"/>
            <w:vAlign w:val="bottom"/>
            <w:tcBorders>
              <w:bottom w:val="single" w:sz="8" w:color="auto"/>
            </w:tcBorders>
            <w:shd w:val="clear" w:color="auto" w:fill="DEDEDE"/>
          </w:tcPr>
          <w:p>
            <w:pPr>
              <w:spacing w:after="0"/>
              <w:rPr>
                <w:sz w:val="19"/>
                <w:szCs w:val="19"/>
                <w:color w:val="auto"/>
              </w:rPr>
            </w:pPr>
          </w:p>
        </w:tc>
        <w:tc>
          <w:tcPr>
            <w:tcW w:w="10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151,553</w:t>
            </w:r>
          </w:p>
        </w:tc>
        <w:tc>
          <w:tcPr>
            <w:tcW w:w="2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00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00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6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real estate held for sale</w:t>
            </w:r>
          </w:p>
        </w:tc>
        <w:tc>
          <w:tcPr>
            <w:tcW w:w="26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1,278,033</w:t>
            </w:r>
          </w:p>
        </w:tc>
        <w:tc>
          <w:tcPr>
            <w:tcW w:w="200" w:type="dxa"/>
            <w:vAlign w:val="bottom"/>
            <w:shd w:val="clear" w:color="auto" w:fill="DEDEDE"/>
          </w:tcPr>
          <w:p>
            <w:pPr>
              <w:spacing w:after="0"/>
              <w:rPr>
                <w:sz w:val="21"/>
                <w:szCs w:val="21"/>
                <w:color w:val="auto"/>
              </w:rPr>
            </w:pPr>
          </w:p>
        </w:tc>
        <w:tc>
          <w:tcPr>
            <w:tcW w:w="16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00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00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98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96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tcBorders>
          </w:tcPr>
          <w:p>
            <w:pPr>
              <w:spacing w:after="0" w:line="20" w:lineRule="exact"/>
              <w:rPr>
                <w:sz w:val="1"/>
                <w:szCs w:val="1"/>
                <w:color w:val="auto"/>
              </w:rPr>
            </w:pPr>
          </w:p>
        </w:tc>
        <w:tc>
          <w:tcPr>
            <w:tcW w:w="25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00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00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9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9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29</w:t>
      </w:r>
    </w:p>
    <w:p>
      <w:pPr>
        <w:sectPr>
          <w:pgSz w:w="12240" w:h="15840" w:orient="portrait"/>
          <w:cols w:equalWidth="0" w:num="1">
            <w:col w:w="11242"/>
          </w:cols>
          <w:pgMar w:left="498" w:top="687" w:right="500" w:bottom="0" w:gutter="0" w:footer="0" w:header="0"/>
        </w:sectPr>
      </w:pPr>
    </w:p>
    <w:bookmarkStart w:id="57" w:name="page58"/>
    <w:bookmarkEnd w:id="57"/>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79"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0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Other investments and policy loans at amortized cost:</w:t>
            </w:r>
          </w:p>
        </w:tc>
        <w:tc>
          <w:tcPr>
            <w:tcW w:w="14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960" w:type="dxa"/>
            <w:vAlign w:val="bottom"/>
            <w:shd w:val="clear" w:color="auto" w:fill="DEDEDE"/>
          </w:tcPr>
          <w:p>
            <w:pPr>
              <w:spacing w:after="0"/>
              <w:rPr>
                <w:sz w:val="20"/>
                <w:szCs w:val="20"/>
                <w:color w:val="auto"/>
              </w:rPr>
            </w:pPr>
          </w:p>
        </w:tc>
        <w:tc>
          <w:tcPr>
            <w:tcW w:w="594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Policy loans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gridSpan w:val="2"/>
          </w:tcPr>
          <w:p>
            <w:pPr>
              <w:jc w:val="right"/>
              <w:ind w:right="5940"/>
              <w:spacing w:after="0"/>
              <w:rPr>
                <w:sz w:val="20"/>
                <w:szCs w:val="20"/>
                <w:color w:val="auto"/>
              </w:rPr>
            </w:pPr>
            <w:r>
              <w:rPr>
                <w:rFonts w:ascii="Times New Roman" w:cs="Times New Roman" w:eastAsia="Times New Roman" w:hAnsi="Times New Roman"/>
                <w:sz w:val="18"/>
                <w:szCs w:val="18"/>
                <w:color w:val="auto"/>
              </w:rPr>
              <w:t>14,019,248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Insurance assignments</w:t>
            </w:r>
          </w:p>
        </w:tc>
        <w:tc>
          <w:tcPr>
            <w:tcW w:w="1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6900" w:type="dxa"/>
            <w:vAlign w:val="bottom"/>
            <w:gridSpan w:val="2"/>
            <w:shd w:val="clear" w:color="auto" w:fill="DEDEDE"/>
          </w:tcPr>
          <w:p>
            <w:pPr>
              <w:jc w:val="right"/>
              <w:ind w:right="5940"/>
              <w:spacing w:after="0"/>
              <w:rPr>
                <w:sz w:val="20"/>
                <w:szCs w:val="20"/>
                <w:color w:val="auto"/>
              </w:rPr>
            </w:pPr>
            <w:r>
              <w:rPr>
                <w:rFonts w:ascii="Times New Roman" w:cs="Times New Roman" w:eastAsia="Times New Roman" w:hAnsi="Times New Roman"/>
                <w:sz w:val="18"/>
                <w:szCs w:val="18"/>
                <w:color w:val="auto"/>
              </w:rPr>
              <w:t>48,493,858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Home Loan Bank stock (2)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2,404,900</w:t>
            </w:r>
          </w:p>
        </w:tc>
        <w:tc>
          <w:tcPr>
            <w:tcW w:w="5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Other investments</w:t>
            </w:r>
          </w:p>
        </w:tc>
        <w:tc>
          <w:tcPr>
            <w:tcW w:w="1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11,473,961</w:t>
            </w:r>
          </w:p>
        </w:tc>
        <w:tc>
          <w:tcPr>
            <w:tcW w:w="594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0" w:type="dxa"/>
            <w:vAlign w:val="bottom"/>
          </w:tcPr>
          <w:p>
            <w:pPr>
              <w:ind w:left="340"/>
              <w:spacing w:after="0" w:line="196" w:lineRule="exact"/>
              <w:rPr>
                <w:sz w:val="20"/>
                <w:szCs w:val="20"/>
                <w:color w:val="auto"/>
              </w:rPr>
            </w:pPr>
            <w:r>
              <w:rPr>
                <w:rFonts w:ascii="Times New Roman" w:cs="Times New Roman" w:eastAsia="Times New Roman" w:hAnsi="Times New Roman"/>
                <w:sz w:val="18"/>
                <w:szCs w:val="18"/>
                <w:color w:val="auto"/>
              </w:rPr>
              <w:t>Less: Allowance for credit losses for insurance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assignments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900" w:type="dxa"/>
            <w:vAlign w:val="bottom"/>
            <w:gridSpan w:val="2"/>
          </w:tcPr>
          <w:p>
            <w:pPr>
              <w:jc w:val="right"/>
              <w:ind w:right="5880"/>
              <w:spacing w:after="0"/>
              <w:rPr>
                <w:sz w:val="20"/>
                <w:szCs w:val="20"/>
                <w:color w:val="auto"/>
              </w:rPr>
            </w:pPr>
            <w:r>
              <w:rPr>
                <w:rFonts w:ascii="Times New Roman" w:cs="Times New Roman" w:eastAsia="Times New Roman" w:hAnsi="Times New Roman"/>
                <w:sz w:val="18"/>
                <w:szCs w:val="18"/>
                <w:color w:val="auto"/>
              </w:rPr>
              <w:t>(1,536,926)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0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spacing w:after="0"/>
              <w:rPr>
                <w:sz w:val="18"/>
                <w:szCs w:val="18"/>
                <w:color w:val="auto"/>
              </w:rPr>
            </w:pPr>
          </w:p>
        </w:tc>
        <w:tc>
          <w:tcPr>
            <w:tcW w:w="960" w:type="dxa"/>
            <w:vAlign w:val="bottom"/>
            <w:tcBorders>
              <w:top w:val="single" w:sz="8" w:color="auto"/>
            </w:tcBorders>
            <w:shd w:val="clear" w:color="auto" w:fill="DEDEDE"/>
          </w:tcPr>
          <w:p>
            <w:pPr>
              <w:spacing w:after="0"/>
              <w:rPr>
                <w:sz w:val="18"/>
                <w:szCs w:val="18"/>
                <w:color w:val="auto"/>
              </w:rPr>
            </w:pPr>
          </w:p>
        </w:tc>
        <w:tc>
          <w:tcPr>
            <w:tcW w:w="594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policy loans and other investments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74,855,041</w:t>
            </w:r>
          </w:p>
        </w:tc>
        <w:tc>
          <w:tcPr>
            <w:tcW w:w="5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0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960" w:type="dxa"/>
            <w:vAlign w:val="bottom"/>
            <w:tcBorders>
              <w:top w:val="single" w:sz="8" w:color="auto"/>
            </w:tcBorders>
            <w:shd w:val="clear" w:color="auto" w:fill="DEDEDE"/>
          </w:tcPr>
          <w:p>
            <w:pPr>
              <w:spacing w:after="0"/>
              <w:rPr>
                <w:sz w:val="17"/>
                <w:szCs w:val="17"/>
                <w:color w:val="auto"/>
              </w:rPr>
            </w:pPr>
          </w:p>
        </w:tc>
        <w:tc>
          <w:tcPr>
            <w:tcW w:w="594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8,499,168</w:t>
            </w:r>
          </w:p>
        </w:tc>
        <w:tc>
          <w:tcPr>
            <w:tcW w:w="5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960" w:type="dxa"/>
            <w:vAlign w:val="bottom"/>
            <w:tcBorders>
              <w:top w:val="single" w:sz="8" w:color="auto"/>
            </w:tcBorders>
            <w:shd w:val="clear" w:color="auto" w:fill="DEDEDE"/>
          </w:tcPr>
          <w:p>
            <w:pPr>
              <w:spacing w:after="0"/>
              <w:rPr>
                <w:sz w:val="17"/>
                <w:szCs w:val="17"/>
                <w:color w:val="auto"/>
              </w:rPr>
            </w:pPr>
          </w:p>
        </w:tc>
        <w:tc>
          <w:tcPr>
            <w:tcW w:w="594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966,390,748</w:t>
            </w:r>
          </w:p>
        </w:tc>
        <w:tc>
          <w:tcPr>
            <w:tcW w:w="5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322" w:hanging="322"/>
        <w:spacing w:after="0"/>
        <w:tabs>
          <w:tab w:leader="none" w:pos="3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unrealized losses are net of allowance for credit losses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$553,900 of Membership stock and $1,851,000 of Activity stock due to short-term advances and letters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30</w:t>
      </w:r>
    </w:p>
    <w:p>
      <w:pPr>
        <w:sectPr>
          <w:pgSz w:w="12240" w:h="15840" w:orient="portrait"/>
          <w:cols w:equalWidth="0" w:num="1">
            <w:col w:w="11242"/>
          </w:cols>
          <w:pgMar w:left="498" w:top="687" w:right="500" w:bottom="0" w:gutter="0" w:footer="0" w:header="0"/>
        </w:sectPr>
      </w:pPr>
    </w:p>
    <w:bookmarkStart w:id="58" w:name="page59"/>
    <w:bookmarkEnd w:id="58"/>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There were no investments in fixed maturity or equity securities, aggregated by issuer, of more than 10% of shareholders’ equity (before net unrealized gains and losses on equity securities and fixed maturity securities) as of December 31, 2025, other than investments issued or guaranteed by the United States Government.</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Fixed Maturity Securities</w:t>
      </w:r>
    </w:p>
    <w:p>
      <w:pPr>
        <w:spacing w:after="0" w:line="228"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maturities securities available for sale that were carried at estimated fair value as of December 31, 2025, and 2024. The fair values of fixed maturity securities that are actively traded are based on quoted market prices.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 The tables set forth unrealized losses by duration with the fair value of the related fixed maturity securities.</w:t>
      </w:r>
    </w:p>
    <w:p>
      <w:pPr>
        <w:spacing w:after="0" w:line="183"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Unrealized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Unrealized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Losses for</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Losses for</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w w:val="94"/>
              </w:rPr>
              <w:t>Total</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Less than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More than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6"/>
              </w:rPr>
              <w:t>Twelve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Twelve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Unrealized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Months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Fair Value</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Months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Fair Value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Loss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372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u w:val="single" w:color="auto"/>
                <w:color w:val="auto"/>
              </w:rPr>
              <w:t>At December 31, 2025</w:t>
            </w:r>
          </w:p>
        </w:tc>
        <w:tc>
          <w:tcPr>
            <w:tcW w:w="28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auto"/>
            </w:tcBorders>
            <w:shd w:val="clear" w:color="auto" w:fill="DEDEDE"/>
          </w:tcPr>
          <w:p>
            <w:pPr>
              <w:spacing w:after="0"/>
              <w:rPr>
                <w:sz w:val="18"/>
                <w:szCs w:val="18"/>
                <w:color w:val="auto"/>
              </w:rPr>
            </w:pPr>
          </w:p>
        </w:tc>
        <w:tc>
          <w:tcPr>
            <w:tcW w:w="720" w:type="dxa"/>
            <w:vAlign w:val="bottom"/>
            <w:tcBorders>
              <w:top w:val="single" w:sz="8" w:color="auto"/>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820" w:type="dxa"/>
            <w:vAlign w:val="bottom"/>
            <w:tcBorders>
              <w:top w:val="single" w:sz="8" w:color="auto"/>
            </w:tcBorders>
            <w:shd w:val="clear" w:color="auto" w:fill="DEDEDE"/>
          </w:tcPr>
          <w:p>
            <w:pPr>
              <w:spacing w:after="0"/>
              <w:rPr>
                <w:sz w:val="18"/>
                <w:szCs w:val="18"/>
                <w:color w:val="auto"/>
              </w:rPr>
            </w:pPr>
          </w:p>
        </w:tc>
        <w:tc>
          <w:tcPr>
            <w:tcW w:w="300" w:type="dxa"/>
            <w:vAlign w:val="bottom"/>
            <w:tcBorders>
              <w:top w:val="single" w:sz="8" w:color="DEDEDE"/>
            </w:tcBorders>
            <w:shd w:val="clear" w:color="auto" w:fill="DEDEDE"/>
          </w:tcPr>
          <w:p>
            <w:pPr>
              <w:spacing w:after="0"/>
              <w:rPr>
                <w:sz w:val="18"/>
                <w:szCs w:val="18"/>
                <w:color w:val="auto"/>
              </w:rPr>
            </w:pPr>
          </w:p>
        </w:tc>
        <w:tc>
          <w:tcPr>
            <w:tcW w:w="80" w:type="dxa"/>
            <w:vAlign w:val="bottom"/>
            <w:tcBorders>
              <w:top w:val="single" w:sz="8" w:color="auto"/>
            </w:tcBorders>
            <w:shd w:val="clear" w:color="auto" w:fill="DEDEDE"/>
          </w:tcPr>
          <w:p>
            <w:pPr>
              <w:spacing w:after="0"/>
              <w:rPr>
                <w:sz w:val="18"/>
                <w:szCs w:val="18"/>
                <w:color w:val="auto"/>
              </w:rPr>
            </w:pPr>
          </w:p>
        </w:tc>
        <w:tc>
          <w:tcPr>
            <w:tcW w:w="840" w:type="dxa"/>
            <w:vAlign w:val="bottom"/>
            <w:tcBorders>
              <w:top w:val="single" w:sz="8" w:color="auto"/>
            </w:tcBorders>
            <w:shd w:val="clear" w:color="auto" w:fill="DEDEDE"/>
          </w:tcPr>
          <w:p>
            <w:pPr>
              <w:spacing w:after="0"/>
              <w:rPr>
                <w:sz w:val="18"/>
                <w:szCs w:val="18"/>
                <w:color w:val="auto"/>
              </w:rPr>
            </w:pPr>
          </w:p>
        </w:tc>
        <w:tc>
          <w:tcPr>
            <w:tcW w:w="30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900" w:type="dxa"/>
            <w:vAlign w:val="bottom"/>
            <w:tcBorders>
              <w:top w:val="single" w:sz="8" w:color="auto"/>
            </w:tcBorders>
            <w:shd w:val="clear" w:color="auto" w:fill="DEDEDE"/>
          </w:tcPr>
          <w:p>
            <w:pPr>
              <w:spacing w:after="0"/>
              <w:rPr>
                <w:sz w:val="18"/>
                <w:szCs w:val="18"/>
                <w:color w:val="auto"/>
              </w:rPr>
            </w:pPr>
          </w:p>
        </w:tc>
        <w:tc>
          <w:tcPr>
            <w:tcW w:w="30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820" w:type="dxa"/>
            <w:vAlign w:val="bottom"/>
            <w:tcBorders>
              <w:top w:val="single" w:sz="8" w:color="auto"/>
            </w:tcBorders>
            <w:shd w:val="clear" w:color="auto" w:fill="DEDEDE"/>
          </w:tcPr>
          <w:p>
            <w:pPr>
              <w:spacing w:after="0"/>
              <w:rPr>
                <w:sz w:val="18"/>
                <w:szCs w:val="18"/>
                <w:color w:val="auto"/>
              </w:rPr>
            </w:pPr>
          </w:p>
        </w:tc>
        <w:tc>
          <w:tcPr>
            <w:tcW w:w="30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92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7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2,047,280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86,959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11,033,603</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89,550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13,080,883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195,116</w:t>
            </w:r>
          </w:p>
        </w:tc>
        <w:tc>
          <w:tcPr>
            <w:tcW w:w="3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8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167,300</w:t>
            </w: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2,095,220</w:t>
            </w: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172,184</w:t>
            </w: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2,290,336</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638,436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30,085,561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2,749,214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42,688,720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3,387,650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72,774,281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192,242</w:t>
            </w:r>
          </w:p>
        </w:tc>
        <w:tc>
          <w:tcPr>
            <w:tcW w:w="3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8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3,548,862</w:t>
            </w: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17,504,265</w:t>
            </w: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3,553,215</w:t>
            </w: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17,696,507</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280" w:type="dxa"/>
            <w:vAlign w:val="bottom"/>
            <w:tcBorders>
              <w:bottom w:val="single" w:sz="8" w:color="DEDED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60" w:type="dxa"/>
            <w:vAlign w:val="bottom"/>
            <w:tcBorders>
              <w:bottom w:val="single" w:sz="8" w:color="DEDEDE"/>
            </w:tcBorders>
          </w:tcPr>
          <w:p>
            <w:pPr>
              <w:spacing w:after="0"/>
              <w:rPr>
                <w:sz w:val="19"/>
                <w:szCs w:val="19"/>
                <w:color w:val="auto"/>
              </w:rPr>
            </w:pPr>
          </w:p>
        </w:tc>
        <w:tc>
          <w:tcPr>
            <w:tcW w:w="140" w:type="dxa"/>
            <w:vAlign w:val="bottom"/>
            <w:tcBorders>
              <w:bottom w:val="single" w:sz="8" w:color="DEDED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300" w:type="dxa"/>
            <w:vAlign w:val="bottom"/>
            <w:tcBorders>
              <w:bottom w:val="single" w:sz="8" w:color="DEDEDE"/>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EDED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DEDED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300" w:type="dxa"/>
            <w:vAlign w:val="bottom"/>
            <w:tcBorders>
              <w:bottom w:val="single" w:sz="8" w:color="DEDED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212,500</w:t>
            </w:r>
          </w:p>
        </w:tc>
        <w:tc>
          <w:tcPr>
            <w:tcW w:w="12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Totals</w:t>
            </w:r>
          </w:p>
        </w:tc>
        <w:tc>
          <w:tcPr>
            <w:tcW w:w="280" w:type="dxa"/>
            <w:vAlign w:val="bottom"/>
            <w:tcBorders>
              <w:bottom w:val="single" w:sz="8" w:color="DEDEDE"/>
            </w:tcBorders>
            <w:shd w:val="clear" w:color="auto" w:fill="DEDEDE"/>
          </w:tcPr>
          <w:p>
            <w:pPr>
              <w:spacing w:after="0"/>
              <w:rPr>
                <w:sz w:val="19"/>
                <w:szCs w:val="19"/>
                <w:color w:val="auto"/>
              </w:rPr>
            </w:pPr>
          </w:p>
        </w:tc>
        <w:tc>
          <w:tcPr>
            <w:tcW w:w="1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687,764</w:t>
            </w:r>
          </w:p>
        </w:tc>
        <w:tc>
          <w:tcPr>
            <w:tcW w:w="160" w:type="dxa"/>
            <w:vAlign w:val="bottom"/>
            <w:tcBorders>
              <w:bottom w:val="single" w:sz="8" w:color="DEDEDE"/>
            </w:tcBorders>
            <w:shd w:val="clear" w:color="auto" w:fill="DEDEDE"/>
          </w:tcPr>
          <w:p>
            <w:pPr>
              <w:spacing w:after="0"/>
              <w:rPr>
                <w:sz w:val="19"/>
                <w:szCs w:val="19"/>
                <w:color w:val="auto"/>
              </w:rPr>
            </w:pPr>
          </w:p>
        </w:tc>
        <w:tc>
          <w:tcPr>
            <w:tcW w:w="140" w:type="dxa"/>
            <w:vAlign w:val="bottom"/>
            <w:tcBorders>
              <w:bottom w:val="single" w:sz="8" w:color="DEDEDE"/>
            </w:tcBorders>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32,732,699</w:t>
            </w:r>
          </w:p>
        </w:tc>
        <w:tc>
          <w:tcPr>
            <w:tcW w:w="300" w:type="dxa"/>
            <w:vAlign w:val="bottom"/>
            <w:tcBorders>
              <w:bottom w:val="single" w:sz="8" w:color="DEDEDE"/>
            </w:tcBorders>
            <w:shd w:val="clear" w:color="auto" w:fill="DEDEDE"/>
          </w:tcPr>
          <w:p>
            <w:pPr>
              <w:spacing w:after="0"/>
              <w:rPr>
                <w:sz w:val="19"/>
                <w:szCs w:val="19"/>
                <w:color w:val="auto"/>
              </w:rPr>
            </w:pPr>
          </w:p>
        </w:tc>
        <w:tc>
          <w:tcPr>
            <w:tcW w:w="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6,552,335</w:t>
            </w:r>
          </w:p>
        </w:tc>
        <w:tc>
          <w:tcPr>
            <w:tcW w:w="300" w:type="dxa"/>
            <w:vAlign w:val="bottom"/>
            <w:tcBorders>
              <w:bottom w:val="single" w:sz="8" w:color="DEDEDE"/>
            </w:tcBorders>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73,321,808</w:t>
            </w:r>
          </w:p>
        </w:tc>
        <w:tc>
          <w:tcPr>
            <w:tcW w:w="300" w:type="dxa"/>
            <w:vAlign w:val="bottom"/>
            <w:tcBorders>
              <w:bottom w:val="single" w:sz="8" w:color="DEDEDE"/>
            </w:tcBorders>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7,240,099</w:t>
            </w:r>
          </w:p>
        </w:tc>
        <w:tc>
          <w:tcPr>
            <w:tcW w:w="300" w:type="dxa"/>
            <w:vAlign w:val="bottom"/>
            <w:tcBorders>
              <w:bottom w:val="single" w:sz="8" w:color="DEDEDE"/>
            </w:tcBorders>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9"/>
              </w:rPr>
              <w:t>106,054,507</w:t>
            </w:r>
          </w:p>
        </w:tc>
        <w:tc>
          <w:tcPr>
            <w:tcW w:w="120" w:type="dxa"/>
            <w:vAlign w:val="bottom"/>
            <w:tcBorders>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u w:val="single" w:color="auto"/>
                <w:color w:val="auto"/>
              </w:rPr>
              <w:t>At December 31, 2024</w:t>
            </w:r>
          </w:p>
        </w:tc>
        <w:tc>
          <w:tcPr>
            <w:tcW w:w="2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7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spacing w:after="0"/>
              <w:rPr>
                <w:sz w:val="18"/>
                <w:szCs w:val="18"/>
                <w:color w:val="auto"/>
              </w:rPr>
            </w:pPr>
          </w:p>
        </w:tc>
        <w:tc>
          <w:tcPr>
            <w:tcW w:w="3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spacing w:after="0"/>
              <w:rPr>
                <w:sz w:val="18"/>
                <w:szCs w:val="18"/>
                <w:color w:val="auto"/>
              </w:rPr>
            </w:pP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spacing w:after="0"/>
              <w:rPr>
                <w:sz w:val="18"/>
                <w:szCs w:val="18"/>
                <w:color w:val="auto"/>
              </w:rPr>
            </w:pP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7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Government agencies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8,737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986,365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478,239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22,110,495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486,976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23,096,860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1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2,167,918</w:t>
            </w:r>
          </w:p>
        </w:tc>
        <w:tc>
          <w:tcPr>
            <w:tcW w:w="3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8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275,445</w:t>
            </w: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3,008,385</w:t>
            </w: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290,448</w:t>
            </w: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5,176,303</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1,888,022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93,562,219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5,034,849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77,975,776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6,922,871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171,537,995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280" w:type="dxa"/>
            <w:vAlign w:val="bottom"/>
            <w:shd w:val="clear" w:color="auto" w:fill="DEDEDE"/>
          </w:tcPr>
          <w:p>
            <w:pPr>
              <w:spacing w:after="0"/>
              <w:rPr>
                <w:sz w:val="19"/>
                <w:szCs w:val="19"/>
                <w:color w:val="auto"/>
              </w:rPr>
            </w:pPr>
          </w:p>
        </w:tc>
        <w:tc>
          <w:tcPr>
            <w:tcW w:w="120" w:type="dxa"/>
            <w:vAlign w:val="bottom"/>
            <w:tcBorders>
              <w:bottom w:val="single" w:sz="8" w:color="auto"/>
            </w:tcBorders>
            <w:shd w:val="clear" w:color="auto" w:fill="DEDEDE"/>
          </w:tcPr>
          <w:p>
            <w:pPr>
              <w:spacing w:after="0"/>
              <w:rPr>
                <w:sz w:val="19"/>
                <w:szCs w:val="19"/>
                <w:color w:val="auto"/>
              </w:rPr>
            </w:pPr>
          </w:p>
        </w:tc>
        <w:tc>
          <w:tcPr>
            <w:tcW w:w="7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32,150</w:t>
            </w:r>
          </w:p>
        </w:tc>
        <w:tc>
          <w:tcPr>
            <w:tcW w:w="16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spacing w:after="0"/>
              <w:rPr>
                <w:sz w:val="19"/>
                <w:szCs w:val="19"/>
                <w:color w:val="auto"/>
              </w:rPr>
            </w:pPr>
          </w:p>
        </w:tc>
        <w:tc>
          <w:tcPr>
            <w:tcW w:w="8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2,915,192</w:t>
            </w:r>
          </w:p>
        </w:tc>
        <w:tc>
          <w:tcPr>
            <w:tcW w:w="300" w:type="dxa"/>
            <w:vAlign w:val="bottom"/>
            <w:shd w:val="clear" w:color="auto" w:fill="DEDEDE"/>
          </w:tcPr>
          <w:p>
            <w:pPr>
              <w:spacing w:after="0"/>
              <w:rPr>
                <w:sz w:val="19"/>
                <w:szCs w:val="19"/>
                <w:color w:val="auto"/>
              </w:rPr>
            </w:pPr>
          </w:p>
        </w:tc>
        <w:tc>
          <w:tcPr>
            <w:tcW w:w="80" w:type="dxa"/>
            <w:vAlign w:val="bottom"/>
            <w:tcBorders>
              <w:bottom w:val="single" w:sz="8" w:color="auto"/>
            </w:tcBorders>
            <w:shd w:val="clear" w:color="auto" w:fill="DEDEDE"/>
          </w:tcPr>
          <w:p>
            <w:pPr>
              <w:spacing w:after="0"/>
              <w:rPr>
                <w:sz w:val="19"/>
                <w:szCs w:val="19"/>
                <w:color w:val="auto"/>
              </w:rPr>
            </w:pPr>
          </w:p>
        </w:tc>
        <w:tc>
          <w:tcPr>
            <w:tcW w:w="8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4,212,490</w:t>
            </w:r>
          </w:p>
        </w:tc>
        <w:tc>
          <w:tcPr>
            <w:tcW w:w="300" w:type="dxa"/>
            <w:vAlign w:val="bottom"/>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spacing w:after="0"/>
              <w:rPr>
                <w:sz w:val="19"/>
                <w:szCs w:val="19"/>
                <w:color w:val="auto"/>
              </w:rPr>
            </w:pP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19,041,442</w:t>
            </w:r>
          </w:p>
        </w:tc>
        <w:tc>
          <w:tcPr>
            <w:tcW w:w="300" w:type="dxa"/>
            <w:vAlign w:val="bottom"/>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spacing w:after="0"/>
              <w:rPr>
                <w:sz w:val="19"/>
                <w:szCs w:val="19"/>
                <w:color w:val="auto"/>
              </w:rPr>
            </w:pPr>
          </w:p>
        </w:tc>
        <w:tc>
          <w:tcPr>
            <w:tcW w:w="8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4,244,640</w:t>
            </w:r>
          </w:p>
        </w:tc>
        <w:tc>
          <w:tcPr>
            <w:tcW w:w="300" w:type="dxa"/>
            <w:vAlign w:val="bottom"/>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spacing w:after="0"/>
              <w:rPr>
                <w:sz w:val="19"/>
                <w:szCs w:val="19"/>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21,956,634</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Totals</w:t>
            </w:r>
          </w:p>
        </w:tc>
        <w:tc>
          <w:tcPr>
            <w:tcW w:w="2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1,943,912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99,631,694</w:t>
            </w:r>
          </w:p>
        </w:tc>
        <w:tc>
          <w:tcPr>
            <w:tcW w:w="3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10,001,023</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122,136,098</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11,944,935</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221,767,792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Relevant holdings were comprised of 338 securities with fair values aggregating 93.6% of the aggregated amortized cost as of December 31, 2025 compared to 706 securities with fair values aggregating 94.9% of the aggregated amortized cost as of December 31, 2024. A credit loss provision of $342,957 and $106,444 have been recognized for 2025, and 2024, respectively. Credit losses are included in gains (losses) on investments and other assets on the consolidated statements of earnings. Other unrealized losses for which no credit loss was recognized are primarily the result of increases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31</w:t>
      </w:r>
    </w:p>
    <w:p>
      <w:pPr>
        <w:sectPr>
          <w:pgSz w:w="12240" w:h="15840" w:orient="portrait"/>
          <w:cols w:equalWidth="0" w:num="1">
            <w:col w:w="11242"/>
          </w:cols>
          <w:pgMar w:left="498" w:top="687" w:right="500" w:bottom="0" w:gutter="0" w:footer="0" w:header="0"/>
        </w:sectPr>
      </w:pPr>
    </w:p>
    <w:bookmarkStart w:id="59" w:name="page60"/>
    <w:bookmarkEnd w:id="59"/>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8" w:lineRule="exact"/>
        <w:rPr>
          <w:sz w:val="20"/>
          <w:szCs w:val="20"/>
          <w:color w:val="auto"/>
        </w:rPr>
      </w:pPr>
    </w:p>
    <w:p>
      <w:pPr>
        <w:jc w:val="both"/>
        <w:ind w:left="2" w:right="20"/>
        <w:spacing w:after="0" w:line="255" w:lineRule="auto"/>
        <w:rPr>
          <w:sz w:val="20"/>
          <w:szCs w:val="20"/>
          <w:color w:val="auto"/>
        </w:rPr>
      </w:pPr>
      <w:r>
        <w:rPr>
          <w:rFonts w:ascii="Times New Roman" w:cs="Times New Roman" w:eastAsia="Times New Roman" w:hAnsi="Times New Roman"/>
          <w:sz w:val="18"/>
          <w:szCs w:val="18"/>
          <w:color w:val="auto"/>
        </w:rPr>
        <w:t>The Company evaluates its fixed maturity securities classified as available for sale on a quarterly basis to identify any potential credit losses. This evaluation includes a review of current ratings by the National Association of Insurance Commissions (“NAIC”) and other industry rating agencies. Securities with a NAIC rating of 1 or 2 are considered investment grade and are only reviewed for credit loss if current market data or recent company news could lead to a credit downgrade. Securities with NAIC ratings of 3 to 5 are considered non-investment grade and are evaluated for credit loss. The evaluation involves assessing all facts and circumstances surrounding each security including, but not limited to, historical values, interest payment history, projected earnings, and revenue growth rates as well as a review of the reason for a downgrade in the NAIC rating. Based on the analysis of a security that is rated 3 to 5, a determination is made whether the security will likely make payments in accordance with the terms of the financial instrument. Securities with a rating of 6 are automatically determined to be impaired, and a credit loss is recognized in earnings.</w:t>
      </w:r>
    </w:p>
    <w:p>
      <w:pPr>
        <w:spacing w:after="0" w:line="184"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Where the decline in fair value of fixed maturity securities is attributable to changes in market interest rates or to factors such as market volatility, liquidity and spread widening, and the Company anticipates recovery of all contractual or expected cash flows, the Company does not consider these securities to have credit loss because the Company does not intend to sell these securities and it is not more likely than not the Company will be required to sell these securities before a recovery of amortized cost, which may be at maturity.</w:t>
      </w:r>
    </w:p>
    <w:p>
      <w:pPr>
        <w:spacing w:after="0" w:line="179"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If the Company intends to sell a fixed maturity security or if it is more likely than not that the Company will be required to sell a security before recovery of its amortized cost basis, a credit loss has occurred and the difference between the amortized cost and the fair value that relates to the expected credit loss is recognized as a loss in earnings, included in gains (losses) on investments and other assets on the consolidated statements of earnings.</w:t>
      </w:r>
    </w:p>
    <w:p>
      <w:pPr>
        <w:spacing w:after="0" w:line="176"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If the Company does not intend to sell a fixed maturity security and it is less likely than not that the Company will be required to sell the security but the Company also does not expect to recover the entire amortized cost basis of the security, a credit loss is recognized in earnings for the amount of the expected credit loss with a corresponding allowance for credit losses as a contra-asset account. The credit loss is included in gains (losses) on investments and other assets on the consolidated statements of earnings. The recognized credit loss is limited to the total unrealized loss on the security due to a change in credit.</w:t>
      </w:r>
    </w:p>
    <w:p>
      <w:pPr>
        <w:spacing w:after="0" w:line="183"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Amounts due on available for sale fixed maturities that are deemed to be uncollectible are written off and removed from the allowance for credit loss. A write-off may also occur if the Company intends to sell a security or when it is more likely than not that the Company will be required to sell the security before the recovery of its amortized cost.</w:t>
      </w:r>
    </w:p>
    <w:p>
      <w:pPr>
        <w:spacing w:after="0" w:line="176"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Company does not calculate a credit loss allowance on accrued interest income, included in accrued investment income on the consolidated balance sheets, as the Company writes off any accrued interest income to net investment income if the accrued but unpaid amount exceeds 90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32</w:t>
      </w:r>
    </w:p>
    <w:p>
      <w:pPr>
        <w:sectPr>
          <w:pgSz w:w="12240" w:h="15840" w:orient="portrait"/>
          <w:cols w:equalWidth="0" w:num="1">
            <w:col w:w="11242"/>
          </w:cols>
          <w:pgMar w:left="498" w:top="687" w:right="500" w:bottom="0" w:gutter="0" w:footer="0" w:header="0"/>
        </w:sectPr>
      </w:pPr>
    </w:p>
    <w:bookmarkStart w:id="60" w:name="page61"/>
    <w:bookmarkEnd w:id="60"/>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Credit Quality Indicators</w:t>
      </w:r>
    </w:p>
    <w:p>
      <w:pPr>
        <w:spacing w:after="0" w:line="22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Based on the NAIC securities designations, the Company had 98.5% and 97.7% of its fixed maturity securities rated investment grade as of December 31, 2025, and 2024, respectively. The following table summarizes the credit quality, by NAIC designation, of the Company’s fixed maturity securities available for sale, excluding redeemable preferred stock.</w:t>
      </w:r>
    </w:p>
    <w:p>
      <w:pPr>
        <w:spacing w:after="0" w:line="189"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3600" w:type="dxa"/>
            <w:vAlign w:val="bottom"/>
            <w:vMerge w:val="restart"/>
          </w:tcPr>
          <w:p>
            <w:pPr>
              <w:ind w:left="1560"/>
              <w:spacing w:after="0"/>
              <w:rPr>
                <w:sz w:val="20"/>
                <w:szCs w:val="20"/>
                <w:color w:val="auto"/>
              </w:rPr>
            </w:pPr>
            <w:r>
              <w:rPr>
                <w:rFonts w:ascii="Times New Roman" w:cs="Times New Roman" w:eastAsia="Times New Roman" w:hAnsi="Times New Roman"/>
                <w:sz w:val="18"/>
                <w:szCs w:val="18"/>
                <w:color w:val="auto"/>
              </w:rPr>
              <w:t>NAIC</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6"/>
          </w:tcPr>
          <w:p>
            <w:pPr>
              <w:ind w:left="400"/>
              <w:spacing w:after="0"/>
              <w:rPr>
                <w:sz w:val="20"/>
                <w:szCs w:val="20"/>
                <w:color w:val="auto"/>
              </w:rPr>
            </w:pPr>
            <w:r>
              <w:rPr>
                <w:rFonts w:ascii="Times New Roman" w:cs="Times New Roman" w:eastAsia="Times New Roman" w:hAnsi="Times New Roman"/>
                <w:sz w:val="18"/>
                <w:szCs w:val="18"/>
                <w:color w:val="auto"/>
              </w:rPr>
              <w:t>December 31, 2025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190"/>
        </w:trPr>
        <w:tc>
          <w:tcPr>
            <w:tcW w:w="36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280"/>
              <w:spacing w:after="0" w:line="190" w:lineRule="exact"/>
              <w:rPr>
                <w:sz w:val="20"/>
                <w:szCs w:val="20"/>
                <w:color w:val="auto"/>
              </w:rPr>
            </w:pPr>
            <w:r>
              <w:rPr>
                <w:rFonts w:ascii="Times New Roman" w:cs="Times New Roman" w:eastAsia="Times New Roman" w:hAnsi="Times New Roman"/>
                <w:sz w:val="18"/>
                <w:szCs w:val="18"/>
                <w:color w:val="auto"/>
                <w:w w:val="98"/>
              </w:rPr>
              <w:t>Amortized</w:t>
            </w: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20"/>
              <w:spacing w:after="0" w:line="190" w:lineRule="exact"/>
              <w:rPr>
                <w:sz w:val="20"/>
                <w:szCs w:val="20"/>
                <w:color w:val="auto"/>
              </w:rPr>
            </w:pPr>
            <w:r>
              <w:rPr>
                <w:rFonts w:ascii="Times New Roman" w:cs="Times New Roman" w:eastAsia="Times New Roman" w:hAnsi="Times New Roman"/>
                <w:sz w:val="18"/>
                <w:szCs w:val="18"/>
                <w:color w:val="auto"/>
                <w:w w:val="98"/>
              </w:rPr>
              <w:t>Estimated Fair</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90"/>
              <w:spacing w:after="0" w:line="190" w:lineRule="exact"/>
              <w:rPr>
                <w:sz w:val="20"/>
                <w:szCs w:val="20"/>
                <w:color w:val="auto"/>
              </w:rPr>
            </w:pPr>
            <w:r>
              <w:rPr>
                <w:rFonts w:ascii="Times New Roman" w:cs="Times New Roman" w:eastAsia="Times New Roman" w:hAnsi="Times New Roman"/>
                <w:sz w:val="18"/>
                <w:szCs w:val="18"/>
                <w:color w:val="auto"/>
              </w:rPr>
              <w:t>Amortized</w:t>
            </w: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spacing w:after="0" w:line="190" w:lineRule="exact"/>
              <w:rPr>
                <w:sz w:val="20"/>
                <w:szCs w:val="20"/>
                <w:color w:val="auto"/>
              </w:rPr>
            </w:pPr>
            <w:r>
              <w:rPr>
                <w:rFonts w:ascii="Times New Roman" w:cs="Times New Roman" w:eastAsia="Times New Roman" w:hAnsi="Times New Roman"/>
                <w:sz w:val="18"/>
                <w:szCs w:val="18"/>
                <w:color w:val="auto"/>
              </w:rPr>
              <w:t>Estimated Fair</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Designation</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Cost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10"/>
        </w:trPr>
        <w:tc>
          <w:tcPr>
            <w:tcW w:w="3600" w:type="dxa"/>
            <w:vAlign w:val="bottom"/>
            <w:tcBorders>
              <w:top w:val="single" w:sz="8" w:color="auto"/>
            </w:tcBorders>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198,055,737</w:t>
            </w:r>
          </w:p>
        </w:tc>
        <w:tc>
          <w:tcPr>
            <w:tcW w:w="14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197,788,945</w:t>
            </w:r>
          </w:p>
        </w:tc>
        <w:tc>
          <w:tcPr>
            <w:tcW w:w="12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188,386,980</w:t>
            </w:r>
          </w:p>
        </w:tc>
        <w:tc>
          <w:tcPr>
            <w:tcW w:w="26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auto"/>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183,460,027</w:t>
            </w:r>
          </w:p>
        </w:tc>
        <w:tc>
          <w:tcPr>
            <w:tcW w:w="8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177,242,472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178,441,019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178,060,265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174,405,442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6,145,460</w:t>
            </w:r>
          </w:p>
        </w:tc>
        <w:tc>
          <w:tcPr>
            <w:tcW w:w="1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5,616,342</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7,961,422</w:t>
            </w: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7,342,220</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649,592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600,459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702,643</w:t>
            </w: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487,981</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00" w:type="dxa"/>
            <w:vAlign w:val="bottom"/>
            <w:tcBorders>
              <w:bottom w:val="single" w:sz="8" w:color="DEDEDE"/>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00" w:type="dxa"/>
            <w:vAlign w:val="bottom"/>
            <w:tcBorders>
              <w:bottom w:val="single" w:sz="8" w:color="DEDED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51,907</w:t>
            </w:r>
          </w:p>
        </w:tc>
        <w:tc>
          <w:tcPr>
            <w:tcW w:w="140" w:type="dxa"/>
            <w:vAlign w:val="bottom"/>
            <w:tcBorders>
              <w:bottom w:val="single" w:sz="8" w:color="DEDEDE"/>
            </w:tcBorders>
          </w:tcPr>
          <w:p>
            <w:pPr>
              <w:spacing w:after="0"/>
              <w:rPr>
                <w:sz w:val="19"/>
                <w:szCs w:val="19"/>
                <w:color w:val="auto"/>
              </w:rPr>
            </w:pPr>
          </w:p>
        </w:tc>
        <w:tc>
          <w:tcPr>
            <w:tcW w:w="120" w:type="dxa"/>
            <w:vAlign w:val="bottom"/>
            <w:tcBorders>
              <w:bottom w:val="single" w:sz="8" w:color="DEDED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47,340</w:t>
            </w:r>
          </w:p>
        </w:tc>
        <w:tc>
          <w:tcPr>
            <w:tcW w:w="120" w:type="dxa"/>
            <w:vAlign w:val="bottom"/>
            <w:tcBorders>
              <w:bottom w:val="single" w:sz="8" w:color="DEDEDE"/>
            </w:tcBorders>
          </w:tcPr>
          <w:p>
            <w:pPr>
              <w:spacing w:after="0"/>
              <w:rPr>
                <w:sz w:val="19"/>
                <w:szCs w:val="19"/>
                <w:color w:val="auto"/>
              </w:rPr>
            </w:pPr>
          </w:p>
        </w:tc>
        <w:tc>
          <w:tcPr>
            <w:tcW w:w="140" w:type="dxa"/>
            <w:vAlign w:val="bottom"/>
            <w:tcBorders>
              <w:bottom w:val="single" w:sz="8" w:color="DEDED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60" w:type="dxa"/>
            <w:vAlign w:val="bottom"/>
            <w:tcBorders>
              <w:bottom w:val="single" w:sz="8" w:color="DEDED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DEDEDE"/>
            </w:tcBorders>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00" w:type="dxa"/>
            <w:vAlign w:val="bottom"/>
            <w:tcBorders>
              <w:bottom w:val="single" w:sz="8" w:color="DEDEDE"/>
            </w:tcBorders>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381,651,293</w:t>
            </w:r>
          </w:p>
        </w:tc>
        <w:tc>
          <w:tcPr>
            <w:tcW w:w="140" w:type="dxa"/>
            <w:vAlign w:val="bottom"/>
            <w:tcBorders>
              <w:bottom w:val="single" w:sz="8" w:color="DEDEDE"/>
            </w:tcBorders>
            <w:shd w:val="clear" w:color="auto" w:fill="DEDEDE"/>
          </w:tcPr>
          <w:p>
            <w:pPr>
              <w:spacing w:after="0"/>
              <w:rPr>
                <w:sz w:val="19"/>
                <w:szCs w:val="19"/>
                <w:color w:val="auto"/>
              </w:rPr>
            </w:pPr>
          </w:p>
        </w:tc>
        <w:tc>
          <w:tcPr>
            <w:tcW w:w="120" w:type="dxa"/>
            <w:vAlign w:val="bottom"/>
            <w:tcBorders>
              <w:bottom w:val="single" w:sz="8" w:color="DEDEDE"/>
            </w:tcBorders>
            <w:shd w:val="clear" w:color="auto" w:fill="DEDEDE"/>
          </w:tcPr>
          <w:p>
            <w:pPr>
              <w:spacing w:after="0"/>
              <w:rPr>
                <w:sz w:val="19"/>
                <w:szCs w:val="19"/>
                <w:color w:val="auto"/>
              </w:rPr>
            </w:pPr>
          </w:p>
        </w:tc>
        <w:tc>
          <w:tcPr>
            <w:tcW w:w="140" w:type="dxa"/>
            <w:vAlign w:val="bottom"/>
            <w:tcBorders>
              <w:bottom w:val="single" w:sz="8" w:color="auto"/>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382,054,476</w:t>
            </w:r>
          </w:p>
        </w:tc>
        <w:tc>
          <w:tcPr>
            <w:tcW w:w="120" w:type="dxa"/>
            <w:vAlign w:val="bottom"/>
            <w:tcBorders>
              <w:bottom w:val="single" w:sz="8" w:color="DEDEDE"/>
            </w:tcBorders>
            <w:shd w:val="clear" w:color="auto" w:fill="DEDEDE"/>
          </w:tcPr>
          <w:p>
            <w:pPr>
              <w:spacing w:after="0"/>
              <w:rPr>
                <w:sz w:val="19"/>
                <w:szCs w:val="19"/>
                <w:color w:val="auto"/>
              </w:rPr>
            </w:pPr>
          </w:p>
        </w:tc>
        <w:tc>
          <w:tcPr>
            <w:tcW w:w="140" w:type="dxa"/>
            <w:vAlign w:val="bottom"/>
            <w:tcBorders>
              <w:bottom w:val="single" w:sz="8" w:color="DEDEDE"/>
            </w:tcBorders>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375,762,071</w:t>
            </w:r>
          </w:p>
        </w:tc>
        <w:tc>
          <w:tcPr>
            <w:tcW w:w="260" w:type="dxa"/>
            <w:vAlign w:val="bottom"/>
            <w:tcBorders>
              <w:bottom w:val="single" w:sz="8" w:color="DEDEDE"/>
            </w:tcBorders>
            <w:shd w:val="clear" w:color="auto" w:fill="DEDEDE"/>
          </w:tcPr>
          <w:p>
            <w:pPr>
              <w:spacing w:after="0"/>
              <w:rPr>
                <w:sz w:val="19"/>
                <w:szCs w:val="19"/>
                <w:color w:val="auto"/>
              </w:rPr>
            </w:pPr>
          </w:p>
        </w:tc>
        <w:tc>
          <w:tcPr>
            <w:tcW w:w="120" w:type="dxa"/>
            <w:vAlign w:val="bottom"/>
            <w:tcBorders>
              <w:bottom w:val="single" w:sz="8" w:color="auto"/>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366,296,129</w:t>
            </w:r>
          </w:p>
        </w:tc>
        <w:tc>
          <w:tcPr>
            <w:tcW w:w="80" w:type="dxa"/>
            <w:vAlign w:val="bottom"/>
            <w:tcBorders>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tables present a roll forward of the Company’s allowance for credit losses on fixed maturity securities available for sale:</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9"/>
          </w:tcPr>
          <w:p>
            <w:pPr>
              <w:ind w:left="74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U.S. Treasury</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and</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rPr>
              <w:t>Obligations of</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color w:val="auto"/>
                <w:w w:val="99"/>
              </w:rPr>
              <w:t>Corporate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obligations of</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Mortgage-</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U.S.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states and</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securities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political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including</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7"/>
              </w:rPr>
              <w:t>backed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subdivisions</w:t>
            </w:r>
          </w:p>
        </w:tc>
        <w:tc>
          <w:tcPr>
            <w:tcW w:w="180" w:type="dxa"/>
            <w:vAlign w:val="bottom"/>
          </w:tcPr>
          <w:p>
            <w:pPr>
              <w:spacing w:after="0"/>
              <w:rPr>
                <w:sz w:val="20"/>
                <w:szCs w:val="20"/>
                <w:color w:val="auto"/>
              </w:rPr>
            </w:pPr>
          </w:p>
        </w:tc>
        <w:tc>
          <w:tcPr>
            <w:tcW w:w="13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public utilities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securities</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1240" w:type="dxa"/>
            <w:vAlign w:val="bottom"/>
            <w:gridSpan w:val="2"/>
            <w:shd w:val="clear" w:color="auto" w:fill="DEDED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DEDEDE"/>
          </w:tcPr>
          <w:p>
            <w:pPr>
              <w:spacing w:after="0"/>
              <w:rPr>
                <w:sz w:val="18"/>
                <w:szCs w:val="18"/>
                <w:color w:val="auto"/>
              </w:rPr>
            </w:pPr>
          </w:p>
        </w:tc>
        <w:tc>
          <w:tcPr>
            <w:tcW w:w="2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EDEDE"/>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DEDEDE"/>
          </w:tcPr>
          <w:p>
            <w:pPr>
              <w:spacing w:after="0"/>
              <w:rPr>
                <w:sz w:val="18"/>
                <w:szCs w:val="18"/>
                <w:color w:val="auto"/>
              </w:rPr>
            </w:pPr>
          </w:p>
        </w:tc>
        <w:tc>
          <w:tcPr>
            <w:tcW w:w="3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408,944</w:t>
            </w:r>
          </w:p>
        </w:tc>
        <w:tc>
          <w:tcPr>
            <w:tcW w:w="180" w:type="dxa"/>
            <w:vAlign w:val="bottom"/>
            <w:shd w:val="clear" w:color="auto" w:fill="DEDEDE"/>
          </w:tcPr>
          <w:p>
            <w:pPr>
              <w:spacing w:after="0"/>
              <w:rPr>
                <w:sz w:val="18"/>
                <w:szCs w:val="18"/>
                <w:color w:val="auto"/>
              </w:rPr>
            </w:pPr>
          </w:p>
        </w:tc>
        <w:tc>
          <w:tcPr>
            <w:tcW w:w="28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54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420,993</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020" w:type="dxa"/>
            <w:vAlign w:val="bottom"/>
            <w:shd w:val="clear" w:color="auto" w:fill="DEDEDE"/>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143,000</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143,000</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98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Change in allowance on securities with previous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allowance</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020" w:type="dxa"/>
            <w:vAlign w:val="bottom"/>
            <w:shd w:val="clear" w:color="auto" w:fill="DEDEDE"/>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16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(184,500)</w:t>
            </w: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00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(184,500)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98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Reductions for securities with credit losses due to</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intent to sell</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020" w:type="dxa"/>
            <w:vAlign w:val="bottom"/>
            <w:shd w:val="clear" w:color="auto" w:fill="DEDEDE"/>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080" w:type="dxa"/>
            <w:vAlign w:val="bottom"/>
            <w:tcBorders>
              <w:top w:val="single" w:sz="8" w:color="auto"/>
            </w:tcBorders>
            <w:shd w:val="clear" w:color="auto" w:fill="DEDEDE"/>
          </w:tcPr>
          <w:p>
            <w:pPr>
              <w:spacing w:after="0"/>
              <w:rPr>
                <w:sz w:val="18"/>
                <w:szCs w:val="18"/>
                <w:color w:val="auto"/>
              </w:rPr>
            </w:pPr>
          </w:p>
        </w:tc>
        <w:tc>
          <w:tcPr>
            <w:tcW w:w="60" w:type="dxa"/>
            <w:vAlign w:val="bottom"/>
            <w:tcBorders>
              <w:top w:val="single" w:sz="8" w:color="auto"/>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1020" w:type="dxa"/>
            <w:vAlign w:val="bottom"/>
            <w:tcBorders>
              <w:top w:val="single" w:sz="8" w:color="auto"/>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18"/>
                <w:szCs w:val="18"/>
                <w:color w:val="auto"/>
              </w:rPr>
            </w:pPr>
          </w:p>
        </w:tc>
        <w:tc>
          <w:tcPr>
            <w:tcW w:w="980" w:type="dxa"/>
            <w:vAlign w:val="bottom"/>
            <w:tcBorders>
              <w:top w:val="single" w:sz="8" w:color="auto"/>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18"/>
                <w:szCs w:val="18"/>
                <w:color w:val="auto"/>
              </w:rPr>
            </w:pPr>
          </w:p>
        </w:tc>
        <w:tc>
          <w:tcPr>
            <w:tcW w:w="98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220" w:type="dxa"/>
            <w:vAlign w:val="bottom"/>
            <w:tcBorders>
              <w:top w:val="single" w:sz="8" w:color="auto"/>
            </w:tcBorders>
            <w:shd w:val="clear" w:color="auto" w:fill="DEDEDE"/>
          </w:tcPr>
          <w:p>
            <w:pPr>
              <w:spacing w:after="0"/>
              <w:rPr>
                <w:sz w:val="18"/>
                <w:szCs w:val="18"/>
                <w:color w:val="auto"/>
              </w:rPr>
            </w:pPr>
          </w:p>
        </w:tc>
        <w:tc>
          <w:tcPr>
            <w:tcW w:w="88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 December 31, 2025</w:t>
            </w:r>
          </w:p>
        </w:tc>
        <w:tc>
          <w:tcPr>
            <w:tcW w:w="12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960"/>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425,401</w:t>
            </w:r>
          </w:p>
        </w:tc>
        <w:tc>
          <w:tcPr>
            <w:tcW w:w="180" w:type="dxa"/>
            <w:vAlign w:val="bottom"/>
          </w:tcPr>
          <w:p>
            <w:pPr>
              <w:spacing w:after="0"/>
              <w:rPr>
                <w:sz w:val="21"/>
                <w:szCs w:val="21"/>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154,049</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579,450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33</w:t>
      </w:r>
    </w:p>
    <w:p>
      <w:pPr>
        <w:sectPr>
          <w:pgSz w:w="12240" w:h="15840" w:orient="portrait"/>
          <w:cols w:equalWidth="0" w:num="1">
            <w:col w:w="11242"/>
          </w:cols>
          <w:pgMar w:left="498" w:top="687" w:right="500" w:bottom="0" w:gutter="0" w:footer="0" w:header="0"/>
        </w:sectPr>
      </w:pPr>
    </w:p>
    <w:bookmarkStart w:id="61" w:name="page62"/>
    <w:bookmarkEnd w:id="61"/>
    <w:p>
      <w:pPr>
        <w:jc w:val="center"/>
        <w:ind w:right="6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2)</w:t>
            </w:r>
          </w:p>
        </w:tc>
        <w:tc>
          <w:tcPr>
            <w:tcW w:w="480" w:type="dxa"/>
            <w:vAlign w:val="bottom"/>
          </w:tcPr>
          <w:p>
            <w:pPr>
              <w:spacing w:after="0"/>
              <w:rPr>
                <w:sz w:val="17"/>
                <w:szCs w:val="17"/>
                <w:color w:val="auto"/>
              </w:rPr>
            </w:pPr>
          </w:p>
        </w:tc>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(Continued)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9"/>
          </w:tcPr>
          <w:p>
            <w:pPr>
              <w:ind w:left="74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U.S. Treasury</w:t>
            </w: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securities and</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Obligations of</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color w:val="auto"/>
                <w:w w:val="99"/>
              </w:rPr>
              <w:t>Corporate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obligations of</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8"/>
                <w:szCs w:val="18"/>
                <w:color w:val="auto"/>
                <w:w w:val="99"/>
              </w:rPr>
              <w:t>Mortgage-</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states and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securities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Government</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political</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including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backed</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agencies</w:t>
            </w: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subdivisions</w:t>
            </w:r>
          </w:p>
        </w:tc>
        <w:tc>
          <w:tcPr>
            <w:tcW w:w="360" w:type="dxa"/>
            <w:vAlign w:val="bottom"/>
          </w:tcPr>
          <w:p>
            <w:pPr>
              <w:spacing w:after="0"/>
              <w:rPr>
                <w:sz w:val="20"/>
                <w:szCs w:val="20"/>
                <w:color w:val="auto"/>
              </w:rPr>
            </w:pPr>
          </w:p>
        </w:tc>
        <w:tc>
          <w:tcPr>
            <w:tcW w:w="13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public utilities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securities</w:t>
            </w:r>
          </w:p>
        </w:tc>
        <w:tc>
          <w:tcPr>
            <w:tcW w:w="22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4"/>
            <w:shd w:val="clear" w:color="auto" w:fill="DEDEDE"/>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1240" w:type="dxa"/>
            <w:vAlign w:val="bottom"/>
            <w:gridSpan w:val="2"/>
            <w:shd w:val="clear" w:color="auto" w:fill="DEDEDE"/>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308,500</w:t>
            </w:r>
          </w:p>
        </w:tc>
        <w:tc>
          <w:tcPr>
            <w:tcW w:w="200" w:type="dxa"/>
            <w:vAlign w:val="bottom"/>
            <w:shd w:val="clear" w:color="auto" w:fill="DEDEDE"/>
          </w:tcPr>
          <w:p>
            <w:pPr>
              <w:spacing w:after="0"/>
              <w:rPr>
                <w:sz w:val="18"/>
                <w:szCs w:val="18"/>
                <w:color w:val="auto"/>
              </w:rPr>
            </w:pPr>
          </w:p>
        </w:tc>
        <w:tc>
          <w:tcPr>
            <w:tcW w:w="26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6,049</w:t>
            </w:r>
          </w:p>
        </w:tc>
        <w:tc>
          <w:tcPr>
            <w:tcW w:w="320" w:type="dxa"/>
            <w:vAlign w:val="bottom"/>
            <w:shd w:val="clear" w:color="auto" w:fill="DEDEDE"/>
          </w:tcPr>
          <w:p>
            <w:pPr>
              <w:spacing w:after="0"/>
              <w:rPr>
                <w:sz w:val="18"/>
                <w:szCs w:val="18"/>
                <w:color w:val="auto"/>
              </w:rPr>
            </w:pPr>
          </w:p>
        </w:tc>
        <w:tc>
          <w:tcPr>
            <w:tcW w:w="220" w:type="dxa"/>
            <w:vAlign w:val="bottom"/>
            <w:shd w:val="clear" w:color="auto" w:fill="DEDED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314,549</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3840" w:type="dxa"/>
            <w:vAlign w:val="bottom"/>
            <w:gridSpan w:val="3"/>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Additions for credit losses not previously recorded</w:t>
            </w: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40" w:type="dxa"/>
            <w:vAlign w:val="bottom"/>
            <w:gridSpan w:val="3"/>
          </w:tcPr>
          <w:p>
            <w:pPr>
              <w:ind w:left="20"/>
              <w:spacing w:after="0" w:line="195" w:lineRule="exact"/>
              <w:rPr>
                <w:sz w:val="20"/>
                <w:szCs w:val="20"/>
                <w:color w:val="auto"/>
              </w:rPr>
            </w:pPr>
            <w:r>
              <w:rPr>
                <w:rFonts w:ascii="Times New Roman" w:cs="Times New Roman" w:eastAsia="Times New Roman" w:hAnsi="Times New Roman"/>
                <w:sz w:val="18"/>
                <w:szCs w:val="18"/>
                <w:color w:val="auto"/>
              </w:rPr>
              <w:t>Change in allowance on securities with previous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allowance</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3840" w:type="dxa"/>
            <w:vAlign w:val="bottom"/>
            <w:gridSpan w:val="3"/>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Reductions for securities sold during the period</w:t>
            </w: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40" w:type="dxa"/>
            <w:vAlign w:val="bottom"/>
            <w:gridSpan w:val="3"/>
          </w:tcPr>
          <w:p>
            <w:pPr>
              <w:ind w:left="20"/>
              <w:spacing w:after="0" w:line="195" w:lineRule="exact"/>
              <w:rPr>
                <w:sz w:val="20"/>
                <w:szCs w:val="20"/>
                <w:color w:val="auto"/>
              </w:rPr>
            </w:pPr>
            <w:r>
              <w:rPr>
                <w:rFonts w:ascii="Times New Roman" w:cs="Times New Roman" w:eastAsia="Times New Roman" w:hAnsi="Times New Roman"/>
                <w:sz w:val="18"/>
                <w:szCs w:val="18"/>
                <w:color w:val="auto"/>
              </w:rPr>
              <w:t>Reductions for securities with credit losses due to</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intent to sell</w:t>
            </w: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3840" w:type="dxa"/>
            <w:vAlign w:val="bottom"/>
            <w:gridSpan w:val="3"/>
            <w:shd w:val="clear" w:color="auto" w:fill="DEDEDE"/>
          </w:tcPr>
          <w:p>
            <w:pPr>
              <w:ind w:left="20"/>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Recoveries of amounts previously written off</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(14,556)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(14,556)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480" w:type="dxa"/>
            <w:vAlign w:val="bottom"/>
            <w:tcBorders>
              <w:top w:val="single" w:sz="8" w:color="DEDEDE"/>
            </w:tcBorders>
            <w:shd w:val="clear" w:color="auto" w:fill="DEDEDE"/>
          </w:tcPr>
          <w:p>
            <w:pPr>
              <w:spacing w:after="0"/>
              <w:rPr>
                <w:sz w:val="18"/>
                <w:szCs w:val="18"/>
                <w:color w:val="auto"/>
              </w:rPr>
            </w:pPr>
          </w:p>
        </w:tc>
        <w:tc>
          <w:tcPr>
            <w:tcW w:w="880" w:type="dxa"/>
            <w:vAlign w:val="bottom"/>
            <w:tcBorders>
              <w:top w:val="single" w:sz="8" w:color="DEDEDE"/>
            </w:tcBorders>
            <w:shd w:val="clear" w:color="auto" w:fill="DEDEDE"/>
          </w:tcPr>
          <w:p>
            <w:pPr>
              <w:spacing w:after="0"/>
              <w:rPr>
                <w:sz w:val="18"/>
                <w:szCs w:val="18"/>
                <w:color w:val="auto"/>
              </w:rPr>
            </w:pPr>
          </w:p>
        </w:tc>
        <w:tc>
          <w:tcPr>
            <w:tcW w:w="248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080" w:type="dxa"/>
            <w:vAlign w:val="bottom"/>
            <w:tcBorders>
              <w:top w:val="single" w:sz="8" w:color="auto"/>
            </w:tcBorders>
            <w:shd w:val="clear" w:color="auto" w:fill="DEDEDE"/>
          </w:tcPr>
          <w:p>
            <w:pPr>
              <w:spacing w:after="0"/>
              <w:rPr>
                <w:sz w:val="18"/>
                <w:szCs w:val="18"/>
                <w:color w:val="auto"/>
              </w:rPr>
            </w:pPr>
          </w:p>
        </w:tc>
        <w:tc>
          <w:tcPr>
            <w:tcW w:w="60" w:type="dxa"/>
            <w:vAlign w:val="bottom"/>
            <w:tcBorders>
              <w:top w:val="single" w:sz="8" w:color="auto"/>
            </w:tcBorders>
            <w:shd w:val="clear" w:color="auto" w:fill="DEDEDE"/>
          </w:tcPr>
          <w:p>
            <w:pPr>
              <w:spacing w:after="0"/>
              <w:rPr>
                <w:sz w:val="18"/>
                <w:szCs w:val="18"/>
                <w:color w:val="auto"/>
              </w:rPr>
            </w:pPr>
          </w:p>
        </w:tc>
        <w:tc>
          <w:tcPr>
            <w:tcW w:w="36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1020" w:type="dxa"/>
            <w:vAlign w:val="bottom"/>
            <w:tcBorders>
              <w:top w:val="single" w:sz="8" w:color="auto"/>
            </w:tcBorders>
            <w:shd w:val="clear" w:color="auto" w:fill="DEDEDE"/>
          </w:tcPr>
          <w:p>
            <w:pPr>
              <w:spacing w:after="0"/>
              <w:rPr>
                <w:sz w:val="18"/>
                <w:szCs w:val="18"/>
                <w:color w:val="auto"/>
              </w:rPr>
            </w:pPr>
          </w:p>
        </w:tc>
        <w:tc>
          <w:tcPr>
            <w:tcW w:w="36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18"/>
                <w:szCs w:val="18"/>
                <w:color w:val="auto"/>
              </w:rPr>
            </w:pPr>
          </w:p>
        </w:tc>
        <w:tc>
          <w:tcPr>
            <w:tcW w:w="98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18"/>
                <w:szCs w:val="18"/>
                <w:color w:val="auto"/>
              </w:rPr>
            </w:pPr>
          </w:p>
        </w:tc>
        <w:tc>
          <w:tcPr>
            <w:tcW w:w="98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220" w:type="dxa"/>
            <w:vAlign w:val="bottom"/>
            <w:tcBorders>
              <w:top w:val="single" w:sz="8" w:color="auto"/>
            </w:tcBorders>
            <w:shd w:val="clear" w:color="auto" w:fill="DEDEDE"/>
          </w:tcPr>
          <w:p>
            <w:pPr>
              <w:spacing w:after="0"/>
              <w:rPr>
                <w:sz w:val="18"/>
                <w:szCs w:val="18"/>
                <w:color w:val="auto"/>
              </w:rPr>
            </w:pPr>
          </w:p>
        </w:tc>
        <w:tc>
          <w:tcPr>
            <w:tcW w:w="88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Ending Balance - December 31, 2024</w:t>
            </w:r>
          </w:p>
        </w:tc>
        <w:tc>
          <w:tcPr>
            <w:tcW w:w="1240" w:type="dxa"/>
            <w:vAlign w:val="bottom"/>
            <w:gridSpan w:val="2"/>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408,944</w:t>
            </w:r>
          </w:p>
        </w:tc>
        <w:tc>
          <w:tcPr>
            <w:tcW w:w="200" w:type="dxa"/>
            <w:vAlign w:val="bottom"/>
          </w:tcPr>
          <w:p>
            <w:pPr>
              <w:spacing w:after="0"/>
              <w:rPr>
                <w:sz w:val="21"/>
                <w:szCs w:val="21"/>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12,049</w:t>
            </w:r>
          </w:p>
        </w:tc>
        <w:tc>
          <w:tcPr>
            <w:tcW w:w="320" w:type="dxa"/>
            <w:vAlign w:val="bottom"/>
          </w:tcPr>
          <w:p>
            <w:pPr>
              <w:spacing w:after="0"/>
              <w:rPr>
                <w:sz w:val="21"/>
                <w:szCs w:val="21"/>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420,993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following table presents the amortized cost and estimated fair value of fixed maturity securities available for sale at December 31, 2025, by contractual maturity. Expected maturities may differ from contractual maturities because certain securities afford the issuer the right to call or prepay its obligations.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Amortized</w:t>
            </w:r>
          </w:p>
        </w:tc>
        <w:tc>
          <w:tcPr>
            <w:tcW w:w="180" w:type="dxa"/>
            <w:vAlign w:val="bottom"/>
          </w:tcPr>
          <w:p>
            <w:pPr>
              <w:spacing w:after="0"/>
              <w:rPr>
                <w:sz w:val="19"/>
                <w:szCs w:val="19"/>
                <w:color w:val="auto"/>
              </w:rPr>
            </w:pPr>
          </w:p>
        </w:tc>
        <w:tc>
          <w:tcPr>
            <w:tcW w:w="12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Estimated Fair</w:t>
            </w:r>
          </w:p>
        </w:tc>
      </w:tr>
      <w:tr>
        <w:trPr>
          <w:trHeight w:val="235"/>
        </w:trPr>
        <w:tc>
          <w:tcPr>
            <w:tcW w:w="4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Cost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1"/>
        </w:trPr>
        <w:tc>
          <w:tcPr>
            <w:tcW w:w="418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1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40,822,516</w:t>
            </w:r>
          </w:p>
        </w:tc>
        <w:tc>
          <w:tcPr>
            <w:tcW w:w="18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40,759,962</w:t>
            </w:r>
          </w:p>
        </w:tc>
        <w:tc>
          <w:tcPr>
            <w:tcW w:w="60" w:type="dxa"/>
            <w:vAlign w:val="bottom"/>
            <w:tcBorders>
              <w:top w:val="single" w:sz="8" w:color="DEDEDE"/>
            </w:tcBorders>
            <w:shd w:val="clear" w:color="auto" w:fill="DEDEDE"/>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122,737,580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124,221,407</w:t>
            </w:r>
          </w:p>
        </w:tc>
        <w:tc>
          <w:tcPr>
            <w:tcW w:w="60" w:type="dxa"/>
            <w:vAlign w:val="bottom"/>
          </w:tcPr>
          <w:p>
            <w:pPr>
              <w:spacing w:after="0"/>
              <w:rPr>
                <w:sz w:val="18"/>
                <w:szCs w:val="18"/>
                <w:color w:val="auto"/>
              </w:rPr>
            </w:pPr>
          </w:p>
        </w:tc>
      </w:tr>
      <w:tr>
        <w:trPr>
          <w:trHeight w:val="216"/>
        </w:trPr>
        <w:tc>
          <w:tcPr>
            <w:tcW w:w="41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140" w:type="dxa"/>
            <w:vAlign w:val="bottom"/>
            <w:shd w:val="clear" w:color="auto" w:fill="DEDEDE"/>
          </w:tcPr>
          <w:p>
            <w:pPr>
              <w:spacing w:after="0"/>
              <w:rPr>
                <w:sz w:val="18"/>
                <w:szCs w:val="18"/>
                <w:color w:val="auto"/>
              </w:rPr>
            </w:pP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129,282,637</w:t>
            </w: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132,560,322</w:t>
            </w:r>
          </w:p>
        </w:tc>
        <w:tc>
          <w:tcPr>
            <w:tcW w:w="60" w:type="dxa"/>
            <w:vAlign w:val="bottom"/>
            <w:shd w:val="clear" w:color="auto" w:fill="DEDEDE"/>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63,976,211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63,226,351</w:t>
            </w:r>
          </w:p>
        </w:tc>
        <w:tc>
          <w:tcPr>
            <w:tcW w:w="60" w:type="dxa"/>
            <w:vAlign w:val="bottom"/>
          </w:tcPr>
          <w:p>
            <w:pPr>
              <w:spacing w:after="0"/>
              <w:rPr>
                <w:sz w:val="18"/>
                <w:szCs w:val="18"/>
                <w:color w:val="auto"/>
              </w:rPr>
            </w:pPr>
          </w:p>
        </w:tc>
      </w:tr>
      <w:tr>
        <w:trPr>
          <w:trHeight w:val="216"/>
        </w:trPr>
        <w:tc>
          <w:tcPr>
            <w:tcW w:w="41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Mortgage-backed securities</w:t>
            </w:r>
          </w:p>
        </w:tc>
        <w:tc>
          <w:tcPr>
            <w:tcW w:w="140" w:type="dxa"/>
            <w:vAlign w:val="bottom"/>
            <w:shd w:val="clear" w:color="auto" w:fill="DEDEDE"/>
          </w:tcPr>
          <w:p>
            <w:pPr>
              <w:spacing w:after="0"/>
              <w:rPr>
                <w:sz w:val="18"/>
                <w:szCs w:val="18"/>
                <w:color w:val="auto"/>
              </w:rPr>
            </w:pP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24,832,349</w:t>
            </w:r>
          </w:p>
        </w:tc>
        <w:tc>
          <w:tcPr>
            <w:tcW w:w="1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21,286,434</w:t>
            </w:r>
          </w:p>
        </w:tc>
        <w:tc>
          <w:tcPr>
            <w:tcW w:w="60" w:type="dxa"/>
            <w:vAlign w:val="bottom"/>
            <w:shd w:val="clear" w:color="auto" w:fill="DEDEDE"/>
          </w:tcPr>
          <w:p>
            <w:pPr>
              <w:spacing w:after="0"/>
              <w:rPr>
                <w:sz w:val="18"/>
                <w:szCs w:val="18"/>
                <w:color w:val="auto"/>
              </w:rPr>
            </w:pPr>
          </w:p>
        </w:tc>
      </w:tr>
      <w:tr>
        <w:trPr>
          <w:trHeight w:val="230"/>
        </w:trPr>
        <w:tc>
          <w:tcPr>
            <w:tcW w:w="418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0" w:type="dxa"/>
            <w:vAlign w:val="bottom"/>
            <w:tcBorders>
              <w:bottom w:val="single" w:sz="8" w:color="DEDED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723,442</w:t>
            </w:r>
          </w:p>
        </w:tc>
        <w:tc>
          <w:tcPr>
            <w:tcW w:w="60" w:type="dxa"/>
            <w:vAlign w:val="bottom"/>
            <w:tcBorders>
              <w:bottom w:val="single" w:sz="8" w:color="DEDEDE"/>
            </w:tcBorders>
          </w:tcPr>
          <w:p>
            <w:pPr>
              <w:spacing w:after="0"/>
              <w:rPr>
                <w:sz w:val="19"/>
                <w:szCs w:val="19"/>
                <w:color w:val="auto"/>
              </w:rPr>
            </w:pPr>
          </w:p>
        </w:tc>
      </w:tr>
      <w:tr>
        <w:trPr>
          <w:trHeight w:val="223"/>
        </w:trPr>
        <w:tc>
          <w:tcPr>
            <w:tcW w:w="4180" w:type="dxa"/>
            <w:vAlign w:val="bottom"/>
            <w:tcBorders>
              <w:bottom w:val="single" w:sz="8" w:color="DEDEDE"/>
            </w:tcBorders>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382,401,293</w:t>
            </w:r>
          </w:p>
        </w:tc>
        <w:tc>
          <w:tcPr>
            <w:tcW w:w="180" w:type="dxa"/>
            <w:vAlign w:val="bottom"/>
            <w:tcBorders>
              <w:bottom w:val="single" w:sz="8" w:color="DEDEDE"/>
            </w:tcBorders>
            <w:shd w:val="clear" w:color="auto" w:fill="DEDEDE"/>
          </w:tcPr>
          <w:p>
            <w:pPr>
              <w:spacing w:after="0"/>
              <w:rPr>
                <w:sz w:val="19"/>
                <w:szCs w:val="19"/>
                <w:color w:val="auto"/>
              </w:rPr>
            </w:pPr>
          </w:p>
        </w:tc>
        <w:tc>
          <w:tcPr>
            <w:tcW w:w="180" w:type="dxa"/>
            <w:vAlign w:val="bottom"/>
            <w:tcBorders>
              <w:bottom w:val="single" w:sz="8" w:color="auto"/>
            </w:tcBorders>
            <w:shd w:val="clear" w:color="auto" w:fill="DEDEDE"/>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382,777,918</w:t>
            </w:r>
          </w:p>
        </w:tc>
        <w:tc>
          <w:tcPr>
            <w:tcW w:w="60" w:type="dxa"/>
            <w:vAlign w:val="bottom"/>
            <w:tcBorders>
              <w:bottom w:val="single" w:sz="8" w:color="DEDEDE"/>
            </w:tcBorders>
            <w:shd w:val="clear" w:color="auto" w:fill="DEDEDE"/>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sales of fixed maturity securities available for sale is presented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4"/>
        </w:trPr>
        <w:tc>
          <w:tcPr>
            <w:tcW w:w="4160" w:type="dxa"/>
            <w:vAlign w:val="bottom"/>
            <w:tcBorders>
              <w:bottom w:val="single" w:sz="8" w:color="DEDED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bottom w:val="single" w:sz="8" w:color="DEDED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09"/>
        </w:trPr>
        <w:tc>
          <w:tcPr>
            <w:tcW w:w="41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Proceeds from sales</w:t>
            </w:r>
          </w:p>
        </w:tc>
        <w:tc>
          <w:tcPr>
            <w:tcW w:w="180" w:type="dxa"/>
            <w:vAlign w:val="bottom"/>
            <w:shd w:val="clear" w:color="auto" w:fill="DEDED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4,890,824</w:t>
            </w:r>
          </w:p>
        </w:tc>
        <w:tc>
          <w:tcPr>
            <w:tcW w:w="180" w:type="dxa"/>
            <w:vAlign w:val="bottom"/>
            <w:shd w:val="clear" w:color="auto" w:fill="DEDEDE"/>
          </w:tcPr>
          <w:p>
            <w:pPr>
              <w:spacing w:after="0"/>
              <w:rPr>
                <w:sz w:val="18"/>
                <w:szCs w:val="18"/>
                <w:color w:val="auto"/>
              </w:rPr>
            </w:pPr>
          </w:p>
        </w:tc>
        <w:tc>
          <w:tcPr>
            <w:tcW w:w="240" w:type="dxa"/>
            <w:vAlign w:val="bottom"/>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2,629,493</w:t>
            </w:r>
          </w:p>
        </w:tc>
        <w:tc>
          <w:tcPr>
            <w:tcW w:w="80" w:type="dxa"/>
            <w:vAlign w:val="bottom"/>
            <w:shd w:val="clear" w:color="auto" w:fill="DEDEDE"/>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1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74,322</w:t>
            </w: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41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Gross realized losses</w:t>
            </w:r>
          </w:p>
        </w:tc>
        <w:tc>
          <w:tcPr>
            <w:tcW w:w="180" w:type="dxa"/>
            <w:vAlign w:val="bottom"/>
            <w:shd w:val="clear" w:color="auto" w:fill="DEDEDE"/>
          </w:tcPr>
          <w:p>
            <w:pPr>
              <w:spacing w:after="0"/>
              <w:rPr>
                <w:sz w:val="18"/>
                <w:szCs w:val="18"/>
                <w:color w:val="auto"/>
              </w:rPr>
            </w:pPr>
          </w:p>
        </w:tc>
        <w:tc>
          <w:tcPr>
            <w:tcW w:w="116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(15,393)</w:t>
            </w:r>
          </w:p>
        </w:tc>
        <w:tc>
          <w:tcPr>
            <w:tcW w:w="240" w:type="dxa"/>
            <w:vAlign w:val="bottom"/>
            <w:shd w:val="clear" w:color="auto" w:fill="DEDEDE"/>
          </w:tcPr>
          <w:p>
            <w:pPr>
              <w:spacing w:after="0"/>
              <w:rPr>
                <w:sz w:val="18"/>
                <w:szCs w:val="18"/>
                <w:color w:val="auto"/>
              </w:rPr>
            </w:pPr>
          </w:p>
        </w:tc>
        <w:tc>
          <w:tcPr>
            <w:tcW w:w="100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(1,407)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2240" w:h="15840" w:orient="portrait"/>
          <w:cols w:equalWidth="0" w:num="1">
            <w:col w:w="11240"/>
          </w:cols>
          <w:pgMar w:left="500" w:top="687" w:right="500" w:bottom="0" w:gutter="0" w:footer="0" w:header="0"/>
        </w:sectPr>
      </w:pPr>
    </w:p>
    <w:bookmarkStart w:id="62" w:name="page63"/>
    <w:bookmarkEnd w:id="62"/>
    <w:p>
      <w:pPr>
        <w:jc w:val="center"/>
        <w:ind w:right="3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Assets on Deposit, Held in Trust, and Pledged as Collateral</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Assets on deposit with life insurance regulatory authorities as required by law were as follows: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4880" w:type="dxa"/>
            <w:vAlign w:val="bottom"/>
            <w:tcBorders>
              <w:bottom w:val="single" w:sz="8" w:color="DEDED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bottom w:val="single" w:sz="8" w:color="DEDEDE"/>
            </w:tcBorders>
          </w:tcPr>
          <w:p>
            <w:pPr>
              <w:spacing w:after="0"/>
              <w:rPr>
                <w:sz w:val="19"/>
                <w:szCs w:val="19"/>
                <w:color w:val="auto"/>
              </w:rPr>
            </w:pPr>
          </w:p>
        </w:tc>
        <w:tc>
          <w:tcPr>
            <w:tcW w:w="20" w:type="dxa"/>
            <w:vAlign w:val="bottom"/>
            <w:tcBorders>
              <w:top w:val="single" w:sz="8" w:color="auto"/>
              <w:bottom w:val="single" w:sz="8" w:color="DEDED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10"/>
        </w:trPr>
        <w:tc>
          <w:tcPr>
            <w:tcW w:w="48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80" w:type="dxa"/>
            <w:vAlign w:val="bottom"/>
            <w:shd w:val="clear" w:color="auto" w:fill="DEDED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7,744,141</w:t>
            </w:r>
          </w:p>
        </w:tc>
        <w:tc>
          <w:tcPr>
            <w:tcW w:w="2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80" w:type="dxa"/>
            <w:vAlign w:val="bottom"/>
            <w:shd w:val="clear" w:color="auto" w:fill="DEDEDE"/>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6,126,589</w:t>
            </w:r>
          </w:p>
        </w:tc>
        <w:tc>
          <w:tcPr>
            <w:tcW w:w="80" w:type="dxa"/>
            <w:vAlign w:val="bottom"/>
            <w:shd w:val="clear" w:color="auto" w:fill="DEDEDE"/>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80" w:type="dxa"/>
            <w:vAlign w:val="bottom"/>
          </w:tcPr>
          <w:p>
            <w:pPr>
              <w:spacing w:after="0"/>
              <w:rPr>
                <w:sz w:val="18"/>
                <w:szCs w:val="18"/>
                <w:color w:val="auto"/>
              </w:rPr>
            </w:pPr>
          </w:p>
        </w:tc>
      </w:tr>
      <w:tr>
        <w:trPr>
          <w:trHeight w:val="229"/>
        </w:trPr>
        <w:tc>
          <w:tcPr>
            <w:tcW w:w="48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auto"/>
            </w:tcBorders>
            <w:shd w:val="clear" w:color="auto" w:fill="DEDEDE"/>
          </w:tcPr>
          <w:p>
            <w:pPr>
              <w:spacing w:after="0"/>
              <w:rPr>
                <w:sz w:val="19"/>
                <w:szCs w:val="19"/>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1,543,842</w:t>
            </w:r>
          </w:p>
        </w:tc>
        <w:tc>
          <w:tcPr>
            <w:tcW w:w="22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280" w:type="dxa"/>
            <w:vAlign w:val="bottom"/>
            <w:tcBorders>
              <w:bottom w:val="single" w:sz="8" w:color="auto"/>
            </w:tcBorders>
            <w:shd w:val="clear" w:color="auto" w:fill="DEDEDE"/>
          </w:tcPr>
          <w:p>
            <w:pPr>
              <w:spacing w:after="0"/>
              <w:rPr>
                <w:sz w:val="19"/>
                <w:szCs w:val="19"/>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1,444,654</w:t>
            </w:r>
          </w:p>
        </w:tc>
        <w:tc>
          <w:tcPr>
            <w:tcW w:w="80" w:type="dxa"/>
            <w:vAlign w:val="bottom"/>
            <w:shd w:val="clear" w:color="auto" w:fill="DEDEDE"/>
          </w:tcPr>
          <w:p>
            <w:pPr>
              <w:spacing w:after="0"/>
              <w:rPr>
                <w:sz w:val="19"/>
                <w:szCs w:val="19"/>
                <w:color w:val="auto"/>
              </w:rPr>
            </w:pPr>
          </w:p>
        </w:tc>
      </w:tr>
      <w:tr>
        <w:trPr>
          <w:trHeight w:val="223"/>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 on deposit</w:t>
            </w: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9,287,983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7,971,243</w:t>
            </w:r>
          </w:p>
        </w:tc>
        <w:tc>
          <w:tcPr>
            <w:tcW w:w="8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Assets held in trust related to third-party reinsurance agreements were as follows: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4880" w:type="dxa"/>
            <w:vAlign w:val="bottom"/>
            <w:tcBorders>
              <w:bottom w:val="single" w:sz="8" w:color="DEDED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bottom w:val="single" w:sz="8" w:color="DEDED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10"/>
        </w:trPr>
        <w:tc>
          <w:tcPr>
            <w:tcW w:w="48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 at estimated fair value</w:t>
            </w:r>
          </w:p>
        </w:tc>
        <w:tc>
          <w:tcPr>
            <w:tcW w:w="280" w:type="dxa"/>
            <w:vAlign w:val="bottom"/>
            <w:shd w:val="clear" w:color="auto" w:fill="DEDED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23,915,884</w:t>
            </w:r>
          </w:p>
        </w:tc>
        <w:tc>
          <w:tcPr>
            <w:tcW w:w="220" w:type="dxa"/>
            <w:vAlign w:val="bottom"/>
            <w:shd w:val="clear" w:color="auto" w:fill="DEDEDE"/>
          </w:tcPr>
          <w:p>
            <w:pPr>
              <w:spacing w:after="0"/>
              <w:rPr>
                <w:sz w:val="18"/>
                <w:szCs w:val="18"/>
                <w:color w:val="auto"/>
              </w:rPr>
            </w:pPr>
          </w:p>
        </w:tc>
        <w:tc>
          <w:tcPr>
            <w:tcW w:w="280" w:type="dxa"/>
            <w:vAlign w:val="bottom"/>
            <w:shd w:val="clear" w:color="auto" w:fill="DEDED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25,309,270</w:t>
            </w:r>
          </w:p>
        </w:tc>
        <w:tc>
          <w:tcPr>
            <w:tcW w:w="80" w:type="dxa"/>
            <w:vAlign w:val="bottom"/>
            <w:shd w:val="clear" w:color="auto" w:fill="DEDEDE"/>
          </w:tcPr>
          <w:p>
            <w:pPr>
              <w:spacing w:after="0"/>
              <w:rPr>
                <w:sz w:val="18"/>
                <w:szCs w:val="18"/>
                <w:color w:val="auto"/>
              </w:rPr>
            </w:pPr>
          </w:p>
        </w:tc>
      </w:tr>
      <w:tr>
        <w:trPr>
          <w:trHeight w:val="230"/>
        </w:trPr>
        <w:tc>
          <w:tcPr>
            <w:tcW w:w="488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2,136,642</w:t>
            </w:r>
          </w:p>
        </w:tc>
        <w:tc>
          <w:tcPr>
            <w:tcW w:w="220" w:type="dxa"/>
            <w:vAlign w:val="bottom"/>
            <w:tcBorders>
              <w:bottom w:val="single" w:sz="8" w:color="DEDED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4,417,683</w:t>
            </w:r>
          </w:p>
        </w:tc>
        <w:tc>
          <w:tcPr>
            <w:tcW w:w="80" w:type="dxa"/>
            <w:vAlign w:val="bottom"/>
            <w:tcBorders>
              <w:bottom w:val="single" w:sz="8" w:color="DEDEDE"/>
            </w:tcBorders>
          </w:tcPr>
          <w:p>
            <w:pPr>
              <w:spacing w:after="0"/>
              <w:rPr>
                <w:sz w:val="19"/>
                <w:szCs w:val="19"/>
                <w:color w:val="auto"/>
              </w:rPr>
            </w:pPr>
          </w:p>
        </w:tc>
      </w:tr>
      <w:tr>
        <w:trPr>
          <w:trHeight w:val="223"/>
        </w:trPr>
        <w:tc>
          <w:tcPr>
            <w:tcW w:w="4880" w:type="dxa"/>
            <w:vAlign w:val="bottom"/>
            <w:tcBorders>
              <w:bottom w:val="single" w:sz="8" w:color="DEDEDE"/>
            </w:tcBorders>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Total assets on deposit</w:t>
            </w:r>
          </w:p>
        </w:tc>
        <w:tc>
          <w:tcPr>
            <w:tcW w:w="280" w:type="dxa"/>
            <w:vAlign w:val="bottom"/>
            <w:tcBorders>
              <w:bottom w:val="single" w:sz="8" w:color="auto"/>
            </w:tcBorders>
            <w:shd w:val="clear" w:color="auto" w:fill="DEDED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26,052,526</w:t>
            </w:r>
          </w:p>
        </w:tc>
        <w:tc>
          <w:tcPr>
            <w:tcW w:w="220" w:type="dxa"/>
            <w:vAlign w:val="bottom"/>
            <w:tcBorders>
              <w:bottom w:val="single" w:sz="8" w:color="DEDEDE"/>
            </w:tcBorders>
            <w:shd w:val="clear" w:color="auto" w:fill="DEDEDE"/>
          </w:tcPr>
          <w:p>
            <w:pPr>
              <w:spacing w:after="0"/>
              <w:rPr>
                <w:sz w:val="19"/>
                <w:szCs w:val="19"/>
                <w:color w:val="auto"/>
              </w:rPr>
            </w:pPr>
          </w:p>
        </w:tc>
        <w:tc>
          <w:tcPr>
            <w:tcW w:w="280" w:type="dxa"/>
            <w:vAlign w:val="bottom"/>
            <w:tcBorders>
              <w:bottom w:val="single" w:sz="8" w:color="auto"/>
            </w:tcBorders>
            <w:shd w:val="clear" w:color="auto" w:fill="DEDED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29,726,953</w:t>
            </w:r>
          </w:p>
        </w:tc>
        <w:tc>
          <w:tcPr>
            <w:tcW w:w="80" w:type="dxa"/>
            <w:vAlign w:val="bottom"/>
            <w:tcBorders>
              <w:bottom w:val="single" w:sz="8" w:color="DEDEDE"/>
            </w:tcBorders>
            <w:shd w:val="clear" w:color="auto" w:fill="DEDEDE"/>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The Company, through two of its life insurance subsidiaries, is a member of the Federal Home Loan Banks of Des Moines and Dallas (“FHLBs”). Assets pledged as collateral with the FHLBs are presented below. These pledged securities are used as collateral for any FHLBs cash advances. As of December 31, 2025, the Company owed nil to the FHLBs for advances. The Company received $69,000,000 in advances and repaid $69,000,000 of these advances during the year ended December 31, 2025. See Note 14 of the Notes to the Consolidated Financial Statements for more information about the FHLB.</w:t>
      </w:r>
    </w:p>
    <w:p>
      <w:pPr>
        <w:spacing w:after="0" w:line="193" w:lineRule="exact"/>
        <w:rPr>
          <w:sz w:val="20"/>
          <w:szCs w:val="20"/>
          <w:color w:val="auto"/>
        </w:rPr>
      </w:pPr>
    </w:p>
    <w:p>
      <w:pPr>
        <w:ind w:left="5342"/>
        <w:spacing w:after="0"/>
        <w:rPr>
          <w:sz w:val="20"/>
          <w:szCs w:val="20"/>
          <w:color w:val="auto"/>
        </w:rPr>
      </w:pPr>
      <w:r>
        <w:rPr>
          <w:rFonts w:ascii="Times New Roman" w:cs="Times New Roman" w:eastAsia="Times New Roman" w:hAnsi="Times New Roman"/>
          <w:sz w:val="18"/>
          <w:szCs w:val="18"/>
          <w:color w:val="auto"/>
        </w:rPr>
        <w:t>Years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3094355</wp:posOffset>
                </wp:positionH>
                <wp:positionV relativeFrom="paragraph">
                  <wp:posOffset>22860</wp:posOffset>
                </wp:positionV>
                <wp:extent cx="1851660" cy="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5166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23" o:spid="_x0000_s11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65pt,1.8pt" to="389.45pt,1.8pt" o:allowincell="f" strokecolor="#000000" strokeweight="0.675pt"/>
            </w:pict>
          </mc:Fallback>
        </mc:AlternateContent>
      </w:r>
    </w:p>
    <w:p>
      <w:pPr>
        <w:spacing w:after="0" w:line="16" w:lineRule="exact"/>
        <w:rPr>
          <w:sz w:val="20"/>
          <w:szCs w:val="20"/>
          <w:color w:val="auto"/>
        </w:rPr>
      </w:pPr>
    </w:p>
    <w:p>
      <w:pPr>
        <w:ind w:left="5362"/>
        <w:spacing w:after="0"/>
        <w:tabs>
          <w:tab w:leader="none" w:pos="6921" w:val="left"/>
        </w:tabs>
        <w:rPr>
          <w:sz w:val="20"/>
          <w:szCs w:val="20"/>
          <w:color w:val="auto"/>
        </w:rPr>
      </w:pP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2024</w:t>
      </w:r>
    </w:p>
    <w:p>
      <w:pPr>
        <w:spacing w:after="0" w:line="22" w:lineRule="exact"/>
        <w:rPr>
          <w:sz w:val="20"/>
          <w:szCs w:val="20"/>
          <w:color w:val="auto"/>
        </w:rPr>
      </w:pPr>
    </w:p>
    <w:p>
      <w:pPr>
        <w:ind w:left="2"/>
        <w:spacing w:after="0"/>
        <w:tabs>
          <w:tab w:leader="none" w:pos="4841" w:val="left"/>
          <w:tab w:leader="none" w:pos="5401" w:val="left"/>
          <w:tab w:leader="none" w:pos="6421" w:val="left"/>
          <w:tab w:leader="none" w:pos="6961" w:val="left"/>
        </w:tabs>
        <w:rPr>
          <w:sz w:val="20"/>
          <w:szCs w:val="20"/>
          <w:color w:val="auto"/>
        </w:rPr>
      </w:pPr>
      <w:r>
        <w:rPr>
          <w:rFonts w:ascii="Times New Roman" w:cs="Times New Roman" w:eastAsia="Times New Roman" w:hAnsi="Times New Roman"/>
          <w:sz w:val="18"/>
          <w:szCs w:val="18"/>
          <w:color w:val="auto"/>
        </w:rPr>
        <w:t>Fixed maturity securities available for sale at estimated fair value</w:t>
        <w:tab/>
        <w:t>$</w:t>
      </w:r>
      <w:r>
        <w:rPr>
          <w:sz w:val="20"/>
          <w:szCs w:val="20"/>
          <w:color w:val="auto"/>
        </w:rPr>
        <w:tab/>
      </w:r>
      <w:r>
        <w:rPr>
          <w:rFonts w:ascii="Times New Roman" w:cs="Times New Roman" w:eastAsia="Times New Roman" w:hAnsi="Times New Roman"/>
          <w:sz w:val="18"/>
          <w:szCs w:val="18"/>
          <w:color w:val="auto"/>
        </w:rPr>
        <w:t>64,066,256</w:t>
        <w:tab/>
        <w:t>$</w:t>
      </w:r>
      <w:r>
        <w:rPr>
          <w:sz w:val="20"/>
          <w:szCs w:val="20"/>
          <w:color w:val="auto"/>
        </w:rPr>
        <w:tab/>
      </w:r>
      <w:r>
        <w:rPr>
          <w:rFonts w:ascii="Times New Roman" w:cs="Times New Roman" w:eastAsia="Times New Roman" w:hAnsi="Times New Roman"/>
          <w:sz w:val="17"/>
          <w:szCs w:val="17"/>
          <w:color w:val="auto"/>
        </w:rPr>
        <w:t>63,800,454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-126365</wp:posOffset>
                </wp:positionV>
                <wp:extent cx="4989195" cy="144780"/>
                <wp:wrapNone/>
                <wp:docPr id="124" name="Shape 1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9195" cy="144780"/>
                        </a:xfrm>
                        <a:prstGeom prst="rect">
                          <a:avLst/>
                        </a:prstGeom>
                        <a:solidFill>
                          <a:srgbClr val="DEDEDE"/>
                        </a:solidFill>
                      </wps:spPr>
                      <wps:bodyPr/>
                    </wps:wsp>
                  </a:graphicData>
                </a:graphic>
              </wp:anchor>
            </w:drawing>
          </mc:Choice>
          <mc:Fallback>
            <w:pict>
              <v:rect id="Shape 124" o:spid="_x0000_s1149" style="position:absolute;margin-left:0pt;margin-top:-9.9499pt;width:392.8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4088765</wp:posOffset>
                </wp:positionH>
                <wp:positionV relativeFrom="paragraph">
                  <wp:posOffset>-121920</wp:posOffset>
                </wp:positionV>
                <wp:extent cx="857250" cy="0"/>
                <wp:wrapNone/>
                <wp:docPr id="125" name="Shape 1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25" o:spid="_x0000_s11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95pt,-9.5999pt" to="389.45pt,-9.5999pt" o:allowincell="f" strokecolor="#000000" strokeweight="0.675pt"/>
            </w:pict>
          </mc:Fallback>
        </mc:AlternateContent>
        <mc:AlternateContent>
          <mc:Choice Requires="wps">
            <w:drawing>
              <wp:anchor simplePos="0" relativeHeight="251657728" behindDoc="1" locked="0" layoutInCell="0" allowOverlap="1">
                <wp:simplePos x="0" y="0"/>
                <wp:positionH relativeFrom="column">
                  <wp:posOffset>3094355</wp:posOffset>
                </wp:positionH>
                <wp:positionV relativeFrom="paragraph">
                  <wp:posOffset>-121920</wp:posOffset>
                </wp:positionV>
                <wp:extent cx="857250" cy="0"/>
                <wp:wrapNone/>
                <wp:docPr id="126" name="Shape 1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725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26" o:spid="_x0000_s11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3.65pt,-9.5999pt" to="311.15pt,-9.5999pt" o:allowincell="f" strokecolor="#000000" strokeweight="0.675pt"/>
            </w:pict>
          </mc:Fallback>
        </mc:AlternateContent>
      </w:r>
    </w:p>
    <w:p>
      <w:pPr>
        <w:spacing w:after="0" w:line="2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Real Estate Held for Investment and Held for Sale</w:t>
      </w:r>
    </w:p>
    <w:p>
      <w:pPr>
        <w:spacing w:after="0" w:line="228"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The Company strategically deploys resources into real estate assets to match the income and yield durations of its primary obligations. The sources for these real estate assets come through its various business segments in the form of acquisition, development, and mortgage foreclosures. The Company reports real estate held for investment and held for sale pursuant to the accounting policy discussed in Note 1 of the Notes to Consolidated Financial Statements.</w:t>
      </w:r>
    </w:p>
    <w:p>
      <w:pPr>
        <w:spacing w:after="0" w:line="18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Commercial Real Estate Held for Investment and Held for Sale</w:t>
      </w:r>
    </w:p>
    <w:p>
      <w:pPr>
        <w:spacing w:after="0" w:line="225"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The Company owns, invests in and manages commercial real estate as a means of both generating investment income and providing workspace for its employees. This asset class is acquired in accordance with the Company’s goals and objectives for risk-adjusted returns. Due diligence is conducted on each asset using internal and third-party resources. The geographic locations and asset sub-classes of investments are determined by senior management under the direction of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35</w:t>
      </w:r>
    </w:p>
    <w:p>
      <w:pPr>
        <w:sectPr>
          <w:pgSz w:w="12240" w:h="15840" w:orient="portrait"/>
          <w:cols w:equalWidth="0" w:num="1">
            <w:col w:w="11222"/>
          </w:cols>
          <w:pgMar w:left="498" w:top="687" w:right="520" w:bottom="0" w:gutter="0" w:footer="0" w:header="0"/>
        </w:sectPr>
      </w:pPr>
    </w:p>
    <w:bookmarkStart w:id="63" w:name="page64"/>
    <w:bookmarkEnd w:id="63"/>
    <w:p>
      <w:pPr>
        <w:jc w:val="center"/>
        <w:ind w:right="3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The Company employs full-time employees to manage the day-to-day operations of its commercial real estate within the greater Salt Lake area and close surrounding markets. The Company utilizes third party property managers where the geographic location does not warrant full-time staff or through strategic lease-up periods. The Company generally acquires commercial real estate in connection with company acquisitions or that are in regions expected to have high growth in employment and population and that provide operational efficiencies.</w:t>
      </w:r>
    </w:p>
    <w:p>
      <w:pPr>
        <w:spacing w:after="0" w:line="179"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Company currently owns and operates six commercial properties in three states. These properties include office buildings, flex office space, and the redevelopment and expansion of its corporate campus (“Center53”) in Salt Lake City, Utah. The Company uses bank debt in strategic cases, primarily where it is anticipated to improve yields, or facilitate the acquisition of higher quality assets or asset class diversification.</w:t>
      </w:r>
    </w:p>
    <w:p>
      <w:pPr>
        <w:spacing w:after="0" w:line="176" w:lineRule="exact"/>
        <w:rPr>
          <w:sz w:val="20"/>
          <w:szCs w:val="20"/>
          <w:color w:val="auto"/>
        </w:rPr>
      </w:pPr>
    </w:p>
    <w:p>
      <w:pPr>
        <w:jc w:val="both"/>
        <w:ind w:left="2"/>
        <w:spacing w:after="0" w:line="283" w:lineRule="auto"/>
        <w:rPr>
          <w:sz w:val="20"/>
          <w:szCs w:val="20"/>
          <w:color w:val="auto"/>
        </w:rPr>
      </w:pPr>
      <w:r>
        <w:rPr>
          <w:rFonts w:ascii="Times New Roman" w:cs="Times New Roman" w:eastAsia="Times New Roman" w:hAnsi="Times New Roman"/>
          <w:sz w:val="18"/>
          <w:szCs w:val="18"/>
          <w:color w:val="auto"/>
        </w:rPr>
        <w:t>The aggregate net book value of commercial real estate serving as collateral for bank loans was $114,683,175 and $119,889,846 as of December 31, 2025, and 2024, respectively. The associated bank loan carrying values totaled $94,120,446 and $96,007,488 as of December 31, 2025, and 2024, respectively.</w:t>
      </w:r>
    </w:p>
    <w:p>
      <w:pPr>
        <w:spacing w:after="0" w:line="160" w:lineRule="exact"/>
        <w:rPr>
          <w:sz w:val="20"/>
          <w:szCs w:val="20"/>
          <w:color w:val="auto"/>
        </w:rPr>
      </w:pPr>
    </w:p>
    <w:p>
      <w:pPr>
        <w:jc w:val="both"/>
        <w:ind w:left="2"/>
        <w:spacing w:after="0" w:line="283" w:lineRule="auto"/>
        <w:rPr>
          <w:sz w:val="20"/>
          <w:szCs w:val="20"/>
          <w:color w:val="auto"/>
        </w:rPr>
      </w:pPr>
      <w:r>
        <w:rPr>
          <w:rFonts w:ascii="Times New Roman" w:cs="Times New Roman" w:eastAsia="Times New Roman" w:hAnsi="Times New Roman"/>
          <w:sz w:val="18"/>
          <w:szCs w:val="18"/>
          <w:color w:val="auto"/>
        </w:rPr>
        <w:t>During 2025 and 2024, the Company did not record any impairment losses on commercial real estate held for investment or held for sale. Impairment losses, if any, are included in gains (losses) on investments and other assets on the consolidated statements of earnings.</w:t>
      </w:r>
    </w:p>
    <w:p>
      <w:pPr>
        <w:spacing w:after="0" w:line="160"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During 2025 and 2024, the Company recorded depreciation expense on commercial real estate held for investment of $5,719,909 and $5,778,214, respectively. Commercial real estate held for investment is stated at cost and is depreciated over the estimated useful life, primarily using the straight-line method. Depreciation is included in net investment income on the consolidated statements of earnings.</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Company’s commercial real estate held for investment is summarized as follows:</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29"/>
        </w:trPr>
        <w:tc>
          <w:tcPr>
            <w:tcW w:w="2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7"/>
              </w:rPr>
              <w:t>Net Book Value</w:t>
            </w:r>
          </w:p>
        </w:tc>
        <w:tc>
          <w:tcPr>
            <w:tcW w:w="80" w:type="dxa"/>
            <w:vAlign w:val="bottom"/>
          </w:tcPr>
          <w:p>
            <w:pPr>
              <w:spacing w:after="0"/>
              <w:rPr>
                <w:sz w:val="19"/>
                <w:szCs w:val="19"/>
                <w:color w:val="auto"/>
              </w:rPr>
            </w:pPr>
          </w:p>
        </w:tc>
        <w:tc>
          <w:tcPr>
            <w:tcW w:w="20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w w:val="99"/>
              </w:rPr>
              <w:t>Total Square Footage</w:t>
            </w:r>
          </w:p>
        </w:tc>
      </w:tr>
      <w:tr>
        <w:trPr>
          <w:trHeight w:val="236"/>
        </w:trPr>
        <w:tc>
          <w:tcPr>
            <w:tcW w:w="2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rPr>
              <w:t>December 31,</w:t>
            </w:r>
          </w:p>
        </w:tc>
        <w:tc>
          <w:tcPr>
            <w:tcW w:w="80" w:type="dxa"/>
            <w:vAlign w:val="bottom"/>
          </w:tcPr>
          <w:p>
            <w:pPr>
              <w:spacing w:after="0"/>
              <w:rPr>
                <w:sz w:val="20"/>
                <w:szCs w:val="20"/>
                <w:color w:val="auto"/>
              </w:rPr>
            </w:pPr>
          </w:p>
        </w:tc>
        <w:tc>
          <w:tcPr>
            <w:tcW w:w="208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color w:val="auto"/>
              </w:rPr>
              <w:t>December 31,</w:t>
            </w:r>
          </w:p>
        </w:tc>
      </w:tr>
      <w:tr>
        <w:trPr>
          <w:trHeight w:val="224"/>
        </w:trPr>
        <w:tc>
          <w:tcPr>
            <w:tcW w:w="2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220" w:type="dxa"/>
            <w:vAlign w:val="bottom"/>
            <w:tcBorders>
              <w:top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94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r>
      <w:tr>
        <w:trPr>
          <w:trHeight w:val="210"/>
        </w:trPr>
        <w:tc>
          <w:tcPr>
            <w:tcW w:w="280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Utah (1)</w:t>
            </w:r>
          </w:p>
        </w:tc>
        <w:tc>
          <w:tcPr>
            <w:tcW w:w="480" w:type="dxa"/>
            <w:vAlign w:val="bottom"/>
            <w:tcBorders>
              <w:top w:val="single" w:sz="8" w:color="DEDEDE"/>
            </w:tcBorders>
            <w:shd w:val="clear" w:color="auto" w:fill="DEDEDE"/>
          </w:tcPr>
          <w:p>
            <w:pPr>
              <w:spacing w:after="0"/>
              <w:rPr>
                <w:sz w:val="18"/>
                <w:szCs w:val="18"/>
                <w:color w:val="auto"/>
              </w:rPr>
            </w:pPr>
          </w:p>
        </w:tc>
        <w:tc>
          <w:tcPr>
            <w:tcW w:w="10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$121,240,268</w:t>
            </w:r>
          </w:p>
        </w:tc>
        <w:tc>
          <w:tcPr>
            <w:tcW w:w="220" w:type="dxa"/>
            <w:vAlign w:val="bottom"/>
            <w:tcBorders>
              <w:top w:val="single" w:sz="8" w:color="DEDEDE"/>
            </w:tcBorders>
            <w:shd w:val="clear" w:color="auto" w:fill="DEDEDE"/>
          </w:tcPr>
          <w:p>
            <w:pPr>
              <w:spacing w:after="0"/>
              <w:rPr>
                <w:sz w:val="18"/>
                <w:szCs w:val="18"/>
                <w:color w:val="auto"/>
              </w:rPr>
            </w:pPr>
          </w:p>
        </w:tc>
        <w:tc>
          <w:tcPr>
            <w:tcW w:w="10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$126,056,342</w:t>
            </w:r>
          </w:p>
        </w:tc>
        <w:tc>
          <w:tcPr>
            <w:tcW w:w="200" w:type="dxa"/>
            <w:vAlign w:val="bottom"/>
            <w:tcBorders>
              <w:top w:val="single" w:sz="8" w:color="DEDEDE"/>
            </w:tcBorders>
            <w:shd w:val="clear" w:color="auto" w:fill="DEDEDE"/>
          </w:tcPr>
          <w:p>
            <w:pPr>
              <w:spacing w:after="0"/>
              <w:rPr>
                <w:sz w:val="18"/>
                <w:szCs w:val="18"/>
                <w:color w:val="auto"/>
              </w:rPr>
            </w:pPr>
          </w:p>
        </w:tc>
        <w:tc>
          <w:tcPr>
            <w:tcW w:w="940" w:type="dxa"/>
            <w:vAlign w:val="bottom"/>
            <w:tcBorders>
              <w:top w:val="single" w:sz="8" w:color="auto"/>
            </w:tcBorders>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546,941</w:t>
            </w:r>
          </w:p>
        </w:tc>
        <w:tc>
          <w:tcPr>
            <w:tcW w:w="220" w:type="dxa"/>
            <w:vAlign w:val="bottom"/>
            <w:tcBorders>
              <w:top w:val="single" w:sz="8" w:color="DEDEDE"/>
            </w:tcBorders>
            <w:shd w:val="clear" w:color="auto" w:fill="DEDEDE"/>
          </w:tcPr>
          <w:p>
            <w:pPr>
              <w:spacing w:after="0"/>
              <w:rPr>
                <w:sz w:val="18"/>
                <w:szCs w:val="18"/>
                <w:color w:val="auto"/>
              </w:rPr>
            </w:pPr>
          </w:p>
        </w:tc>
        <w:tc>
          <w:tcPr>
            <w:tcW w:w="920" w:type="dxa"/>
            <w:vAlign w:val="bottom"/>
            <w:tcBorders>
              <w:top w:val="single" w:sz="8" w:color="auto"/>
            </w:tcBorders>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546,941</w:t>
            </w:r>
          </w:p>
        </w:tc>
        <w:tc>
          <w:tcPr>
            <w:tcW w:w="80" w:type="dxa"/>
            <w:vAlign w:val="bottom"/>
            <w:tcBorders>
              <w:top w:val="single" w:sz="8" w:color="DEDEDE"/>
            </w:tcBorders>
            <w:shd w:val="clear" w:color="auto" w:fill="DEDEDE"/>
          </w:tcPr>
          <w:p>
            <w:pPr>
              <w:spacing w:after="0"/>
              <w:rPr>
                <w:sz w:val="18"/>
                <w:szCs w:val="18"/>
                <w:color w:val="auto"/>
              </w:rPr>
            </w:pPr>
          </w:p>
        </w:tc>
      </w:tr>
      <w:tr>
        <w:trPr>
          <w:trHeight w:val="230"/>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Louisiana</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18,586</w:t>
            </w:r>
          </w:p>
        </w:tc>
        <w:tc>
          <w:tcPr>
            <w:tcW w:w="2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2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tcPr>
          <w:p>
            <w:pPr>
              <w:spacing w:after="0"/>
              <w:rPr>
                <w:sz w:val="19"/>
                <w:szCs w:val="19"/>
                <w:color w:val="auto"/>
              </w:rPr>
            </w:pPr>
          </w:p>
        </w:tc>
      </w:tr>
      <w:tr>
        <w:trPr>
          <w:trHeight w:val="209"/>
        </w:trPr>
        <w:tc>
          <w:tcPr>
            <w:tcW w:w="2800" w:type="dxa"/>
            <w:vAlign w:val="bottom"/>
            <w:tcBorders>
              <w:top w:val="single" w:sz="8" w:color="DEDEDE"/>
            </w:tcBorders>
            <w:shd w:val="clear" w:color="auto" w:fill="DEDEDE"/>
          </w:tcPr>
          <w:p>
            <w:pPr>
              <w:spacing w:after="0"/>
              <w:rPr>
                <w:sz w:val="18"/>
                <w:szCs w:val="18"/>
                <w:color w:val="auto"/>
              </w:rPr>
            </w:pPr>
          </w:p>
        </w:tc>
        <w:tc>
          <w:tcPr>
            <w:tcW w:w="480" w:type="dxa"/>
            <w:vAlign w:val="bottom"/>
            <w:tcBorders>
              <w:top w:val="single" w:sz="8" w:color="DEDEDE"/>
            </w:tcBorders>
            <w:shd w:val="clear" w:color="auto" w:fill="DEDEDE"/>
          </w:tcPr>
          <w:p>
            <w:pPr>
              <w:spacing w:after="0"/>
              <w:rPr>
                <w:sz w:val="18"/>
                <w:szCs w:val="18"/>
                <w:color w:val="auto"/>
              </w:rPr>
            </w:pPr>
          </w:p>
        </w:tc>
        <w:tc>
          <w:tcPr>
            <w:tcW w:w="1000" w:type="dxa"/>
            <w:vAlign w:val="bottom"/>
            <w:tcBorders>
              <w:top w:val="single" w:sz="8" w:color="auto"/>
            </w:tcBorders>
            <w:shd w:val="clear" w:color="auto" w:fill="DEDEDE"/>
          </w:tcPr>
          <w:p>
            <w:pPr>
              <w:spacing w:after="0"/>
              <w:rPr>
                <w:sz w:val="18"/>
                <w:szCs w:val="18"/>
                <w:color w:val="auto"/>
              </w:rPr>
            </w:pPr>
          </w:p>
        </w:tc>
        <w:tc>
          <w:tcPr>
            <w:tcW w:w="220" w:type="dxa"/>
            <w:vAlign w:val="bottom"/>
            <w:tcBorders>
              <w:top w:val="single" w:sz="8" w:color="DEDEDE"/>
            </w:tcBorders>
            <w:shd w:val="clear" w:color="auto" w:fill="DEDEDE"/>
          </w:tcPr>
          <w:p>
            <w:pPr>
              <w:spacing w:after="0"/>
              <w:rPr>
                <w:sz w:val="18"/>
                <w:szCs w:val="18"/>
                <w:color w:val="auto"/>
              </w:rPr>
            </w:pPr>
          </w:p>
        </w:tc>
        <w:tc>
          <w:tcPr>
            <w:tcW w:w="100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80" w:type="dxa"/>
            <w:vAlign w:val="bottom"/>
            <w:tcBorders>
              <w:top w:val="single" w:sz="8" w:color="DEDEDE"/>
            </w:tcBorders>
            <w:shd w:val="clear" w:color="auto" w:fill="DEDEDE"/>
          </w:tcPr>
          <w:p>
            <w:pPr>
              <w:spacing w:after="0"/>
              <w:rPr>
                <w:sz w:val="18"/>
                <w:szCs w:val="18"/>
                <w:color w:val="auto"/>
              </w:rPr>
            </w:pPr>
          </w:p>
        </w:tc>
        <w:tc>
          <w:tcPr>
            <w:tcW w:w="860" w:type="dxa"/>
            <w:vAlign w:val="bottom"/>
            <w:tcBorders>
              <w:top w:val="single" w:sz="8" w:color="auto"/>
            </w:tcBorders>
            <w:shd w:val="clear" w:color="auto" w:fill="DEDEDE"/>
          </w:tcPr>
          <w:p>
            <w:pPr>
              <w:spacing w:after="0"/>
              <w:rPr>
                <w:sz w:val="18"/>
                <w:szCs w:val="18"/>
                <w:color w:val="auto"/>
              </w:rPr>
            </w:pPr>
          </w:p>
        </w:tc>
        <w:tc>
          <w:tcPr>
            <w:tcW w:w="220" w:type="dxa"/>
            <w:vAlign w:val="bottom"/>
            <w:tcBorders>
              <w:top w:val="single" w:sz="8" w:color="DEDEDE"/>
            </w:tcBorders>
            <w:shd w:val="clear" w:color="auto" w:fill="DEDEDE"/>
          </w:tcPr>
          <w:p>
            <w:pPr>
              <w:spacing w:after="0"/>
              <w:rPr>
                <w:sz w:val="18"/>
                <w:szCs w:val="18"/>
                <w:color w:val="auto"/>
              </w:rPr>
            </w:pPr>
          </w:p>
        </w:tc>
        <w:tc>
          <w:tcPr>
            <w:tcW w:w="60" w:type="dxa"/>
            <w:vAlign w:val="bottom"/>
            <w:tcBorders>
              <w:top w:val="single" w:sz="8" w:color="DEDEDE"/>
            </w:tcBorders>
            <w:shd w:val="clear" w:color="auto" w:fill="DEDEDE"/>
          </w:tcPr>
          <w:p>
            <w:pPr>
              <w:spacing w:after="0"/>
              <w:rPr>
                <w:sz w:val="18"/>
                <w:szCs w:val="18"/>
                <w:color w:val="auto"/>
              </w:rPr>
            </w:pPr>
          </w:p>
        </w:tc>
        <w:tc>
          <w:tcPr>
            <w:tcW w:w="860" w:type="dxa"/>
            <w:vAlign w:val="bottom"/>
            <w:tcBorders>
              <w:top w:val="single" w:sz="8" w:color="auto"/>
            </w:tcBorders>
            <w:shd w:val="clear" w:color="auto" w:fill="DEDEDE"/>
          </w:tcPr>
          <w:p>
            <w:pPr>
              <w:spacing w:after="0"/>
              <w:rPr>
                <w:sz w:val="18"/>
                <w:szCs w:val="18"/>
                <w:color w:val="auto"/>
              </w:rPr>
            </w:pPr>
          </w:p>
        </w:tc>
        <w:tc>
          <w:tcPr>
            <w:tcW w:w="80" w:type="dxa"/>
            <w:vAlign w:val="bottom"/>
            <w:tcBorders>
              <w:top w:val="single" w:sz="8" w:color="DEDEDE"/>
            </w:tcBorders>
            <w:shd w:val="clear" w:color="auto" w:fill="DEDEDE"/>
          </w:tcPr>
          <w:p>
            <w:pPr>
              <w:spacing w:after="0"/>
              <w:rPr>
                <w:sz w:val="18"/>
                <w:szCs w:val="18"/>
                <w:color w:val="auto"/>
              </w:rPr>
            </w:pPr>
          </w:p>
        </w:tc>
      </w:tr>
      <w:tr>
        <w:trPr>
          <w:trHeight w:val="242"/>
        </w:trPr>
        <w:tc>
          <w:tcPr>
            <w:tcW w:w="28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121,258,192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126,074,928</w:t>
            </w:r>
          </w:p>
        </w:tc>
        <w:tc>
          <w:tcPr>
            <w:tcW w:w="20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548,563</w:t>
            </w:r>
          </w:p>
        </w:tc>
        <w:tc>
          <w:tcPr>
            <w:tcW w:w="22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548,563</w:t>
            </w:r>
          </w:p>
        </w:tc>
        <w:tc>
          <w:tcPr>
            <w:tcW w:w="80" w:type="dxa"/>
            <w:vAlign w:val="bottom"/>
          </w:tcPr>
          <w:p>
            <w:pPr>
              <w:spacing w:after="0"/>
              <w:rPr>
                <w:sz w:val="21"/>
                <w:szCs w:val="21"/>
                <w:color w:val="auto"/>
              </w:rPr>
            </w:pPr>
          </w:p>
        </w:tc>
      </w:tr>
      <w:tr>
        <w:trPr>
          <w:trHeight w:val="20"/>
        </w:trPr>
        <w:tc>
          <w:tcPr>
            <w:tcW w:w="2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800" w:type="dxa"/>
            <w:vAlign w:val="bottom"/>
            <w:tcBorders>
              <w:bottom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9"/>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(1)  Includes Center53</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36</w:t>
      </w:r>
    </w:p>
    <w:p>
      <w:pPr>
        <w:sectPr>
          <w:pgSz w:w="12240" w:h="15840" w:orient="portrait"/>
          <w:cols w:equalWidth="0" w:num="1">
            <w:col w:w="11222"/>
          </w:cols>
          <w:pgMar w:left="498" w:top="687" w:right="520" w:bottom="0" w:gutter="0" w:footer="0" w:header="0"/>
        </w:sectPr>
      </w:pPr>
    </w:p>
    <w:bookmarkStart w:id="64" w:name="page65"/>
    <w:bookmarkEnd w:id="64"/>
    <w:p>
      <w:pPr>
        <w:jc w:val="center"/>
        <w:ind w:right="3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right="220"/>
        <w:spacing w:after="0" w:line="283" w:lineRule="auto"/>
        <w:rPr>
          <w:sz w:val="20"/>
          <w:szCs w:val="20"/>
          <w:color w:val="auto"/>
        </w:rPr>
      </w:pPr>
      <w:r>
        <w:rPr>
          <w:rFonts w:ascii="Times New Roman" w:cs="Times New Roman" w:eastAsia="Times New Roman" w:hAnsi="Times New Roman"/>
          <w:sz w:val="18"/>
          <w:szCs w:val="18"/>
          <w:color w:val="auto"/>
        </w:rPr>
        <w:t>Operating leases arise from the leasing of the Company’s commercial real estate held for investment. Initial lease terms generally range from three to ten years.</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is a maturity analysis of the annual undiscounted cash flows of the operating lease payments expected to be received.</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15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9,398,423</w:t>
            </w: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9,284,915</w:t>
            </w:r>
          </w:p>
        </w:tc>
        <w:tc>
          <w:tcPr>
            <w:tcW w:w="60" w:type="dxa"/>
            <w:vAlign w:val="bottom"/>
          </w:tcPr>
          <w:p>
            <w:pPr>
              <w:spacing w:after="0"/>
              <w:rPr>
                <w:sz w:val="18"/>
                <w:szCs w:val="18"/>
                <w:color w:val="auto"/>
              </w:rPr>
            </w:pPr>
          </w:p>
        </w:tc>
      </w:tr>
      <w:tr>
        <w:trPr>
          <w:trHeight w:val="216"/>
        </w:trPr>
        <w:tc>
          <w:tcPr>
            <w:tcW w:w="15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2028</w:t>
            </w:r>
          </w:p>
        </w:tc>
        <w:tc>
          <w:tcPr>
            <w:tcW w:w="8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9,225,616</w:t>
            </w:r>
          </w:p>
        </w:tc>
        <w:tc>
          <w:tcPr>
            <w:tcW w:w="60" w:type="dxa"/>
            <w:vAlign w:val="bottom"/>
            <w:shd w:val="clear" w:color="auto" w:fill="DEDEDE"/>
          </w:tcPr>
          <w:p>
            <w:pPr>
              <w:spacing w:after="0"/>
              <w:rPr>
                <w:sz w:val="18"/>
                <w:szCs w:val="18"/>
                <w:color w:val="auto"/>
              </w:rPr>
            </w:pPr>
          </w:p>
        </w:tc>
      </w:tr>
      <w:tr>
        <w:trPr>
          <w:trHeight w:val="216"/>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8,561,476</w:t>
            </w:r>
          </w:p>
        </w:tc>
        <w:tc>
          <w:tcPr>
            <w:tcW w:w="60" w:type="dxa"/>
            <w:vAlign w:val="bottom"/>
          </w:tcPr>
          <w:p>
            <w:pPr>
              <w:spacing w:after="0"/>
              <w:rPr>
                <w:sz w:val="18"/>
                <w:szCs w:val="18"/>
                <w:color w:val="auto"/>
              </w:rPr>
            </w:pPr>
          </w:p>
        </w:tc>
      </w:tr>
      <w:tr>
        <w:trPr>
          <w:trHeight w:val="216"/>
        </w:trPr>
        <w:tc>
          <w:tcPr>
            <w:tcW w:w="15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2030</w:t>
            </w:r>
          </w:p>
        </w:tc>
        <w:tc>
          <w:tcPr>
            <w:tcW w:w="8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7,419,415</w:t>
            </w:r>
          </w:p>
        </w:tc>
        <w:tc>
          <w:tcPr>
            <w:tcW w:w="60" w:type="dxa"/>
            <w:vAlign w:val="bottom"/>
            <w:shd w:val="clear" w:color="auto" w:fill="DEDEDE"/>
          </w:tcPr>
          <w:p>
            <w:pPr>
              <w:spacing w:after="0"/>
              <w:rPr>
                <w:sz w:val="18"/>
                <w:szCs w:val="18"/>
                <w:color w:val="auto"/>
              </w:rPr>
            </w:pPr>
          </w:p>
        </w:tc>
      </w:tr>
      <w:tr>
        <w:trPr>
          <w:trHeight w:val="229"/>
        </w:trPr>
        <w:tc>
          <w:tcPr>
            <w:tcW w:w="158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820" w:type="dxa"/>
            <w:vAlign w:val="bottom"/>
            <w:tcBorders>
              <w:bottom w:val="single" w:sz="8" w:color="DEDED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33,296,253</w:t>
            </w:r>
          </w:p>
        </w:tc>
        <w:tc>
          <w:tcPr>
            <w:tcW w:w="60" w:type="dxa"/>
            <w:vAlign w:val="bottom"/>
            <w:tcBorders>
              <w:bottom w:val="single" w:sz="8" w:color="DEDEDE"/>
            </w:tcBorders>
          </w:tcPr>
          <w:p>
            <w:pPr>
              <w:spacing w:after="0"/>
              <w:rPr>
                <w:sz w:val="19"/>
                <w:szCs w:val="19"/>
                <w:color w:val="auto"/>
              </w:rPr>
            </w:pPr>
          </w:p>
        </w:tc>
      </w:tr>
      <w:tr>
        <w:trPr>
          <w:trHeight w:val="223"/>
        </w:trPr>
        <w:tc>
          <w:tcPr>
            <w:tcW w:w="158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DEDEDE"/>
            </w:tcBorders>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6"/>
              </w:rPr>
              <w:t>77,186,098</w:t>
            </w:r>
          </w:p>
        </w:tc>
        <w:tc>
          <w:tcPr>
            <w:tcW w:w="60" w:type="dxa"/>
            <w:vAlign w:val="bottom"/>
            <w:tcBorders>
              <w:bottom w:val="single" w:sz="8" w:color="DEDEDE"/>
            </w:tcBorders>
            <w:shd w:val="clear" w:color="auto" w:fill="DEDEDE"/>
          </w:tcPr>
          <w:p>
            <w:pPr>
              <w:spacing w:after="0"/>
              <w:rPr>
                <w:sz w:val="19"/>
                <w:szCs w:val="19"/>
                <w:color w:val="auto"/>
              </w:rPr>
            </w:pPr>
          </w:p>
        </w:tc>
      </w:tr>
      <w:tr>
        <w:trPr>
          <w:trHeight w:val="20"/>
        </w:trPr>
        <w:tc>
          <w:tcPr>
            <w:tcW w:w="1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Company’s commercial real estate held for sale is summarized as follows:</w:t>
      </w:r>
    </w:p>
    <w:p>
      <w:pPr>
        <w:spacing w:after="0" w:line="225" w:lineRule="exact"/>
        <w:rPr>
          <w:sz w:val="20"/>
          <w:szCs w:val="20"/>
          <w:color w:val="auto"/>
        </w:rPr>
      </w:pPr>
    </w:p>
    <w:p>
      <w:pPr>
        <w:jc w:val="center"/>
        <w:ind w:right="2238"/>
        <w:spacing w:after="0"/>
        <w:rPr>
          <w:sz w:val="20"/>
          <w:szCs w:val="20"/>
          <w:color w:val="auto"/>
        </w:rPr>
      </w:pPr>
      <w:r>
        <w:rPr>
          <w:rFonts w:ascii="Times New Roman" w:cs="Times New Roman" w:eastAsia="Times New Roman" w:hAnsi="Times New Roman"/>
          <w:sz w:val="18"/>
          <w:szCs w:val="18"/>
          <w:color w:val="auto"/>
        </w:rPr>
        <w:t>Net Book Value</w:t>
      </w:r>
    </w:p>
    <w:p>
      <w:pPr>
        <w:spacing w:after="0" w:line="22" w:lineRule="exact"/>
        <w:rPr>
          <w:sz w:val="20"/>
          <w:szCs w:val="20"/>
          <w:color w:val="auto"/>
        </w:rPr>
      </w:pPr>
    </w:p>
    <w:p>
      <w:pPr>
        <w:jc w:val="center"/>
        <w:ind w:right="2238"/>
        <w:spacing w:after="0"/>
        <w:rPr>
          <w:sz w:val="20"/>
          <w:szCs w:val="20"/>
          <w:color w:val="auto"/>
        </w:rPr>
      </w:pPr>
      <w:r>
        <w:rPr>
          <w:rFonts w:ascii="Times New Roman" w:cs="Times New Roman" w:eastAsia="Times New Roman" w:hAnsi="Times New Roman"/>
          <w:sz w:val="18"/>
          <w:szCs w:val="18"/>
          <w:color w:val="auto"/>
        </w:rPr>
        <w:t>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2177415</wp:posOffset>
                </wp:positionH>
                <wp:positionV relativeFrom="paragraph">
                  <wp:posOffset>22225</wp:posOffset>
                </wp:positionV>
                <wp:extent cx="1354455" cy="0"/>
                <wp:wrapNone/>
                <wp:docPr id="127" name="Shape 1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5445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27" o:spid="_x0000_s11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45pt,1.75pt" to="278.1pt,1.75pt" o:allowincell="f" strokecolor="#000000" strokeweight="0.675pt"/>
            </w:pict>
          </mc:Fallback>
        </mc:AlternateContent>
      </w:r>
    </w:p>
    <w:p>
      <w:pPr>
        <w:spacing w:after="0" w:line="16" w:lineRule="exact"/>
        <w:rPr>
          <w:sz w:val="20"/>
          <w:szCs w:val="20"/>
          <w:color w:val="auto"/>
        </w:rPr>
      </w:pPr>
    </w:p>
    <w:p>
      <w:pPr>
        <w:ind w:left="3742"/>
        <w:spacing w:after="0"/>
        <w:tabs>
          <w:tab w:leader="none" w:pos="4861" w:val="left"/>
        </w:tabs>
        <w:rPr>
          <w:sz w:val="20"/>
          <w:szCs w:val="20"/>
          <w:color w:val="auto"/>
        </w:rPr>
      </w:pPr>
      <w:r>
        <w:rPr>
          <w:rFonts w:ascii="Times New Roman" w:cs="Times New Roman" w:eastAsia="Times New Roman" w:hAnsi="Times New Roman"/>
          <w:sz w:val="18"/>
          <w:szCs w:val="18"/>
          <w:color w:val="auto"/>
        </w:rPr>
        <w:t>2025</w:t>
      </w:r>
      <w:r>
        <w:rPr>
          <w:sz w:val="20"/>
          <w:szCs w:val="20"/>
          <w:color w:val="auto"/>
        </w:rPr>
        <w:tab/>
      </w:r>
      <w:r>
        <w:rPr>
          <w:rFonts w:ascii="Times New Roman" w:cs="Times New Roman" w:eastAsia="Times New Roman" w:hAnsi="Times New Roman"/>
          <w:sz w:val="18"/>
          <w:szCs w:val="18"/>
          <w:color w:val="auto"/>
        </w:rPr>
        <w:t>2024</w:t>
      </w:r>
    </w:p>
    <w:p>
      <w:pPr>
        <w:spacing w:after="0" w:line="9" w:lineRule="exact"/>
        <w:rPr>
          <w:sz w:val="20"/>
          <w:szCs w:val="20"/>
          <w:color w:val="auto"/>
        </w:rPr>
      </w:pPr>
    </w:p>
    <w:p>
      <w:pPr>
        <w:ind w:left="2"/>
        <w:spacing w:after="0"/>
        <w:tabs>
          <w:tab w:leader="none" w:pos="3401" w:val="left"/>
          <w:tab w:leader="none" w:pos="3801" w:val="left"/>
          <w:tab w:leader="none" w:pos="4561" w:val="left"/>
          <w:tab w:leader="none" w:pos="4961" w:val="left"/>
        </w:tabs>
        <w:rPr>
          <w:sz w:val="20"/>
          <w:szCs w:val="20"/>
          <w:color w:val="auto"/>
        </w:rPr>
      </w:pPr>
      <w:r>
        <w:rPr>
          <w:rFonts w:ascii="Times New Roman" w:cs="Times New Roman" w:eastAsia="Times New Roman" w:hAnsi="Times New Roman"/>
          <w:sz w:val="18"/>
          <w:szCs w:val="18"/>
          <w:color w:val="auto"/>
        </w:rPr>
        <w:t>Mississippi (1)</w:t>
      </w:r>
      <w:r>
        <w:rPr>
          <w:sz w:val="20"/>
          <w:szCs w:val="20"/>
          <w:color w:val="auto"/>
        </w:rPr>
        <w:tab/>
      </w: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151,553</w:t>
        <w:tab/>
        <w:t>$</w:t>
      </w:r>
      <w:r>
        <w:rPr>
          <w:sz w:val="20"/>
          <w:szCs w:val="20"/>
          <w:color w:val="auto"/>
        </w:rPr>
        <w:tab/>
      </w:r>
      <w:r>
        <w:rPr>
          <w:rFonts w:ascii="Times New Roman" w:cs="Times New Roman" w:eastAsia="Times New Roman" w:hAnsi="Times New Roman"/>
          <w:sz w:val="17"/>
          <w:szCs w:val="17"/>
          <w:u w:val="single" w:color="auto"/>
          <w:color w:val="auto"/>
        </w:rPr>
        <w:t>151,553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-118110</wp:posOffset>
                </wp:positionV>
                <wp:extent cx="3566160" cy="144780"/>
                <wp:wrapNone/>
                <wp:docPr id="128" name="Shape 1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66160" cy="144780"/>
                        </a:xfrm>
                        <a:prstGeom prst="rect">
                          <a:avLst/>
                        </a:prstGeom>
                        <a:solidFill>
                          <a:srgbClr val="DEDEDE"/>
                        </a:solidFill>
                      </wps:spPr>
                      <wps:bodyPr/>
                    </wps:wsp>
                  </a:graphicData>
                </a:graphic>
              </wp:anchor>
            </w:drawing>
          </mc:Choice>
          <mc:Fallback>
            <w:pict>
              <v:rect id="Shape 128" o:spid="_x0000_s1153" style="position:absolute;margin-left:0pt;margin-top:-9.2999pt;width:280.8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172720</wp:posOffset>
                </wp:positionV>
                <wp:extent cx="3566160" cy="162560"/>
                <wp:wrapNone/>
                <wp:docPr id="129" name="Shape 1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66160" cy="162560"/>
                        </a:xfrm>
                        <a:prstGeom prst="rect">
                          <a:avLst/>
                        </a:prstGeom>
                        <a:solidFill>
                          <a:srgbClr val="DEDEDE"/>
                        </a:solidFill>
                      </wps:spPr>
                      <wps:bodyPr/>
                    </wps:wsp>
                  </a:graphicData>
                </a:graphic>
              </wp:anchor>
            </w:drawing>
          </mc:Choice>
          <mc:Fallback>
            <w:pict>
              <v:rect id="Shape 129" o:spid="_x0000_s1154" style="position:absolute;margin-left:0pt;margin-top:13.6pt;width:280.8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2905760</wp:posOffset>
                </wp:positionH>
                <wp:positionV relativeFrom="paragraph">
                  <wp:posOffset>-114300</wp:posOffset>
                </wp:positionV>
                <wp:extent cx="62611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11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8pt,-9pt" to="278.1pt,-9pt" o:allowincell="f" strokecolor="#000000" strokeweight="0.675pt"/>
            </w:pict>
          </mc:Fallback>
        </mc:AlternateContent>
        <mc:AlternateContent>
          <mc:Choice Requires="wps">
            <w:drawing>
              <wp:anchor simplePos="0" relativeHeight="251657728" behindDoc="1" locked="0" layoutInCell="0" allowOverlap="1">
                <wp:simplePos x="0" y="0"/>
                <wp:positionH relativeFrom="column">
                  <wp:posOffset>2177415</wp:posOffset>
                </wp:positionH>
                <wp:positionV relativeFrom="paragraph">
                  <wp:posOffset>-114300</wp:posOffset>
                </wp:positionV>
                <wp:extent cx="62547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47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45pt,-9pt" to="220.7pt,-9pt" o:allowincell="f" strokecolor="#000000" strokeweight="0.675pt"/>
            </w:pict>
          </mc:Fallback>
        </mc:AlternateContent>
      </w:r>
    </w:p>
    <w:p>
      <w:pPr>
        <w:spacing w:after="0" w:line="259" w:lineRule="exact"/>
        <w:rPr>
          <w:sz w:val="20"/>
          <w:szCs w:val="20"/>
          <w:color w:val="auto"/>
        </w:rPr>
      </w:pPr>
    </w:p>
    <w:p>
      <w:pPr>
        <w:ind w:left="3422"/>
        <w:spacing w:after="0"/>
        <w:tabs>
          <w:tab w:leader="none" w:pos="3801" w:val="left"/>
          <w:tab w:leader="none" w:pos="4561" w:val="left"/>
          <w:tab w:leader="none" w:pos="4961" w:val="left"/>
        </w:tabs>
        <w:rPr>
          <w:sz w:val="20"/>
          <w:szCs w:val="20"/>
          <w:color w:val="auto"/>
        </w:rPr>
      </w:pPr>
      <w:r>
        <w:rPr>
          <w:rFonts w:ascii="Times New Roman" w:cs="Times New Roman" w:eastAsia="Times New Roman" w:hAnsi="Times New Roman"/>
          <w:sz w:val="18"/>
          <w:szCs w:val="18"/>
          <w:u w:val="single" w:color="auto"/>
          <w:color w:val="auto"/>
        </w:rPr>
        <w:t>$</w:t>
      </w:r>
      <w:r>
        <w:rPr>
          <w:sz w:val="20"/>
          <w:szCs w:val="20"/>
          <w:color w:val="auto"/>
        </w:rPr>
        <w:tab/>
      </w:r>
      <w:r>
        <w:rPr>
          <w:rFonts w:ascii="Times New Roman" w:cs="Times New Roman" w:eastAsia="Times New Roman" w:hAnsi="Times New Roman"/>
          <w:sz w:val="18"/>
          <w:szCs w:val="18"/>
          <w:u w:val="single" w:color="auto"/>
          <w:color w:val="auto"/>
        </w:rPr>
        <w:t>151,553</w:t>
        <w:tab/>
        <w:t>$</w:t>
      </w:r>
      <w:r>
        <w:rPr>
          <w:sz w:val="20"/>
          <w:szCs w:val="20"/>
          <w:color w:val="auto"/>
        </w:rPr>
        <w:tab/>
      </w:r>
      <w:r>
        <w:rPr>
          <w:rFonts w:ascii="Times New Roman" w:cs="Times New Roman" w:eastAsia="Times New Roman" w:hAnsi="Times New Roman"/>
          <w:sz w:val="17"/>
          <w:szCs w:val="17"/>
          <w:u w:val="single" w:color="auto"/>
          <w:color w:val="auto"/>
        </w:rPr>
        <w:t>151,553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2905760</wp:posOffset>
                </wp:positionH>
                <wp:positionV relativeFrom="paragraph">
                  <wp:posOffset>40005</wp:posOffset>
                </wp:positionV>
                <wp:extent cx="626110"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611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28.8pt,3.15pt" to="278.1pt,3.15pt" o:allowincell="f" strokecolor="#000000" strokeweight="0.675pt"/>
            </w:pict>
          </mc:Fallback>
        </mc:AlternateContent>
        <mc:AlternateContent>
          <mc:Choice Requires="wps">
            <w:drawing>
              <wp:anchor simplePos="0" relativeHeight="251657728" behindDoc="1" locked="0" layoutInCell="0" allowOverlap="1">
                <wp:simplePos x="0" y="0"/>
                <wp:positionH relativeFrom="column">
                  <wp:posOffset>2177415</wp:posOffset>
                </wp:positionH>
                <wp:positionV relativeFrom="paragraph">
                  <wp:posOffset>40005</wp:posOffset>
                </wp:positionV>
                <wp:extent cx="625475"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547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1.45pt,3.15pt" to="220.7pt,3.15pt" o:allowincell="f" strokecolor="#000000" strokeweight="0.6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185420</wp:posOffset>
                </wp:positionV>
                <wp:extent cx="1783080" cy="0"/>
                <wp:wrapNone/>
                <wp:docPr id="134" name="Shape 1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34" o:spid="_x0000_s11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4.6pt" to="140.4pt,14.6pt" o:allowincell="f" strokecolor="#000000" strokeweight="0.675pt"/>
            </w:pict>
          </mc:Fallback>
        </mc:AlternateContent>
      </w:r>
    </w:p>
    <w:p>
      <w:pPr>
        <w:spacing w:after="0" w:line="274" w:lineRule="exact"/>
        <w:rPr>
          <w:sz w:val="20"/>
          <w:szCs w:val="20"/>
          <w:color w:val="auto"/>
        </w:rPr>
      </w:pPr>
    </w:p>
    <w:p>
      <w:pPr>
        <w:ind w:left="2" w:right="6800" w:hanging="2"/>
        <w:spacing w:after="0" w:line="500" w:lineRule="auto"/>
        <w:tabs>
          <w:tab w:leader="none" w:pos="32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Consists of approximately 93 acres of undeveloped land. </w:t>
      </w:r>
      <w:r>
        <w:rPr>
          <w:rFonts w:ascii="Times New Roman" w:cs="Times New Roman" w:eastAsia="Times New Roman" w:hAnsi="Times New Roman"/>
          <w:sz w:val="18"/>
          <w:szCs w:val="18"/>
          <w:u w:val="single" w:color="auto"/>
          <w:color w:val="auto"/>
        </w:rPr>
        <w:t>Real Estate Owned and Occupied by the Company</w:t>
      </w:r>
    </w:p>
    <w:p>
      <w:pPr>
        <w:spacing w:after="0" w:line="1" w:lineRule="exact"/>
        <w:rPr>
          <w:sz w:val="20"/>
          <w:szCs w:val="20"/>
          <w:color w:val="auto"/>
        </w:rPr>
      </w:pPr>
    </w:p>
    <w:p>
      <w:pPr>
        <w:ind w:left="2"/>
        <w:spacing w:after="0" w:line="283" w:lineRule="auto"/>
        <w:rPr>
          <w:sz w:val="20"/>
          <w:szCs w:val="20"/>
          <w:color w:val="auto"/>
        </w:rPr>
      </w:pPr>
      <w:r>
        <w:rPr>
          <w:rFonts w:ascii="Times New Roman" w:cs="Times New Roman" w:eastAsia="Times New Roman" w:hAnsi="Times New Roman"/>
          <w:sz w:val="18"/>
          <w:szCs w:val="18"/>
          <w:color w:val="auto"/>
        </w:rPr>
        <w:t>The primary business units of the Company occupy a portion of the commercial real estate owned by the Company. As of December 31, 2025, real estate owned and occupied by the Company is summarized as follows:</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Square Footage</w:t>
            </w:r>
          </w:p>
        </w:tc>
      </w:tr>
      <w:tr>
        <w:trPr>
          <w:trHeight w:val="216"/>
        </w:trPr>
        <w:tc>
          <w:tcPr>
            <w:tcW w:w="3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Approximate</w:t>
            </w:r>
          </w:p>
        </w:tc>
        <w:tc>
          <w:tcPr>
            <w:tcW w:w="1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Occupied by</w:t>
            </w:r>
          </w:p>
        </w:tc>
      </w:tr>
      <w:tr>
        <w:trPr>
          <w:trHeight w:val="23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Location</w:t>
            </w:r>
          </w:p>
        </w:tc>
        <w:tc>
          <w:tcPr>
            <w:tcW w:w="3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Business Segment</w:t>
            </w:r>
          </w:p>
        </w:tc>
        <w:tc>
          <w:tcPr>
            <w:tcW w:w="20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Square Footage</w:t>
            </w:r>
          </w:p>
        </w:tc>
        <w:tc>
          <w:tcPr>
            <w:tcW w:w="1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Company</w:t>
            </w:r>
          </w:p>
        </w:tc>
      </w:tr>
      <w:tr>
        <w:trPr>
          <w:trHeight w:val="190"/>
        </w:trPr>
        <w:tc>
          <w:tcPr>
            <w:tcW w:w="3100" w:type="dxa"/>
            <w:vAlign w:val="bottom"/>
            <w:tcBorders>
              <w:top w:val="single" w:sz="8" w:color="auto"/>
            </w:tcBorders>
            <w:shd w:val="clear" w:color="auto" w:fill="DEDEDE"/>
          </w:tcPr>
          <w:p>
            <w:pPr>
              <w:spacing w:after="0"/>
              <w:rPr>
                <w:sz w:val="16"/>
                <w:szCs w:val="16"/>
                <w:color w:val="auto"/>
              </w:rPr>
            </w:pPr>
          </w:p>
        </w:tc>
        <w:tc>
          <w:tcPr>
            <w:tcW w:w="220" w:type="dxa"/>
            <w:vAlign w:val="bottom"/>
            <w:tcBorders>
              <w:top w:val="single" w:sz="8" w:color="DEDEDE"/>
            </w:tcBorders>
            <w:shd w:val="clear" w:color="auto" w:fill="DEDEDE"/>
          </w:tcPr>
          <w:p>
            <w:pPr>
              <w:spacing w:after="0"/>
              <w:rPr>
                <w:sz w:val="16"/>
                <w:szCs w:val="16"/>
                <w:color w:val="auto"/>
              </w:rPr>
            </w:pPr>
          </w:p>
        </w:tc>
        <w:tc>
          <w:tcPr>
            <w:tcW w:w="3100" w:type="dxa"/>
            <w:vAlign w:val="bottom"/>
            <w:tcBorders>
              <w:top w:val="single" w:sz="8" w:color="auto"/>
            </w:tcBorders>
            <w:shd w:val="clear" w:color="auto" w:fill="DEDEDE"/>
          </w:tcPr>
          <w:p>
            <w:pPr>
              <w:spacing w:after="0" w:line="190" w:lineRule="exact"/>
              <w:rPr>
                <w:sz w:val="20"/>
                <w:szCs w:val="20"/>
                <w:color w:val="auto"/>
              </w:rPr>
            </w:pPr>
            <w:r>
              <w:rPr>
                <w:rFonts w:ascii="Times New Roman" w:cs="Times New Roman" w:eastAsia="Times New Roman" w:hAnsi="Times New Roman"/>
                <w:sz w:val="18"/>
                <w:szCs w:val="18"/>
                <w:color w:val="auto"/>
              </w:rPr>
              <w:t>Corporate Offices, Life Insurance,</w:t>
            </w:r>
          </w:p>
        </w:tc>
        <w:tc>
          <w:tcPr>
            <w:tcW w:w="200" w:type="dxa"/>
            <w:vAlign w:val="bottom"/>
            <w:tcBorders>
              <w:top w:val="single" w:sz="8" w:color="DEDEDE"/>
            </w:tcBorders>
            <w:shd w:val="clear" w:color="auto" w:fill="DEDEDE"/>
          </w:tcPr>
          <w:p>
            <w:pPr>
              <w:spacing w:after="0"/>
              <w:rPr>
                <w:sz w:val="16"/>
                <w:szCs w:val="16"/>
                <w:color w:val="auto"/>
              </w:rPr>
            </w:pPr>
          </w:p>
        </w:tc>
        <w:tc>
          <w:tcPr>
            <w:tcW w:w="1780" w:type="dxa"/>
            <w:vAlign w:val="bottom"/>
            <w:tcBorders>
              <w:top w:val="single" w:sz="8" w:color="auto"/>
            </w:tcBorders>
            <w:shd w:val="clear" w:color="auto" w:fill="DEDEDE"/>
          </w:tcPr>
          <w:p>
            <w:pPr>
              <w:spacing w:after="0"/>
              <w:rPr>
                <w:sz w:val="16"/>
                <w:szCs w:val="16"/>
                <w:color w:val="auto"/>
              </w:rPr>
            </w:pPr>
          </w:p>
        </w:tc>
        <w:tc>
          <w:tcPr>
            <w:tcW w:w="300" w:type="dxa"/>
            <w:vAlign w:val="bottom"/>
            <w:tcBorders>
              <w:top w:val="single" w:sz="8" w:color="DEDEDE"/>
            </w:tcBorders>
            <w:shd w:val="clear" w:color="auto" w:fill="DEDEDE"/>
          </w:tcPr>
          <w:p>
            <w:pPr>
              <w:spacing w:after="0"/>
              <w:rPr>
                <w:sz w:val="16"/>
                <w:szCs w:val="16"/>
                <w:color w:val="auto"/>
              </w:rPr>
            </w:pPr>
          </w:p>
        </w:tc>
        <w:tc>
          <w:tcPr>
            <w:tcW w:w="1800" w:type="dxa"/>
            <w:vAlign w:val="bottom"/>
            <w:tcBorders>
              <w:top w:val="single" w:sz="8" w:color="auto"/>
            </w:tcBorders>
            <w:shd w:val="clear" w:color="auto" w:fill="DEDEDE"/>
          </w:tcPr>
          <w:p>
            <w:pPr>
              <w:spacing w:after="0"/>
              <w:rPr>
                <w:sz w:val="16"/>
                <w:szCs w:val="16"/>
                <w:color w:val="auto"/>
              </w:rPr>
            </w:pPr>
          </w:p>
        </w:tc>
        <w:tc>
          <w:tcPr>
            <w:tcW w:w="160" w:type="dxa"/>
            <w:vAlign w:val="bottom"/>
            <w:tcBorders>
              <w:top w:val="single" w:sz="8" w:color="DEDEDE"/>
            </w:tcBorders>
            <w:shd w:val="clear" w:color="auto" w:fill="DEDEDE"/>
          </w:tcPr>
          <w:p>
            <w:pPr>
              <w:spacing w:after="0"/>
              <w:rPr>
                <w:sz w:val="16"/>
                <w:szCs w:val="16"/>
                <w:color w:val="auto"/>
              </w:rPr>
            </w:pPr>
          </w:p>
        </w:tc>
      </w:tr>
      <w:tr>
        <w:trPr>
          <w:trHeight w:val="216"/>
        </w:trPr>
        <w:tc>
          <w:tcPr>
            <w:tcW w:w="31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w w:val="98"/>
              </w:rPr>
              <w:t>433 Ascension Way, Floors 4, 5 and 6, Salt</w:t>
            </w:r>
          </w:p>
        </w:tc>
        <w:tc>
          <w:tcPr>
            <w:tcW w:w="3520" w:type="dxa"/>
            <w:vAlign w:val="bottom"/>
            <w:gridSpan w:val="3"/>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Cemetery/Mortuary Operations, and</w:t>
            </w:r>
          </w:p>
        </w:tc>
        <w:tc>
          <w:tcPr>
            <w:tcW w:w="1780" w:type="dxa"/>
            <w:vAlign w:val="bottom"/>
            <w:shd w:val="clear" w:color="auto" w:fill="DEDEDE"/>
          </w:tcPr>
          <w:p>
            <w:pPr>
              <w:spacing w:after="0"/>
              <w:rPr>
                <w:sz w:val="18"/>
                <w:szCs w:val="18"/>
                <w:color w:val="auto"/>
              </w:rPr>
            </w:pPr>
          </w:p>
        </w:tc>
        <w:tc>
          <w:tcPr>
            <w:tcW w:w="300" w:type="dxa"/>
            <w:vAlign w:val="bottom"/>
            <w:shd w:val="clear" w:color="auto" w:fill="DEDEDE"/>
          </w:tcPr>
          <w:p>
            <w:pPr>
              <w:spacing w:after="0"/>
              <w:rPr>
                <w:sz w:val="18"/>
                <w:szCs w:val="18"/>
                <w:color w:val="auto"/>
              </w:rPr>
            </w:pPr>
          </w:p>
        </w:tc>
        <w:tc>
          <w:tcPr>
            <w:tcW w:w="18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r>
      <w:tr>
        <w:trPr>
          <w:trHeight w:val="236"/>
        </w:trPr>
        <w:tc>
          <w:tcPr>
            <w:tcW w:w="31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Lake City, UT - Center53 Building 2 (1)</w:t>
            </w:r>
          </w:p>
        </w:tc>
        <w:tc>
          <w:tcPr>
            <w:tcW w:w="3520" w:type="dxa"/>
            <w:vAlign w:val="bottom"/>
            <w:gridSpan w:val="3"/>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Mortgage Operations and Sales</w:t>
            </w:r>
          </w:p>
        </w:tc>
        <w:tc>
          <w:tcPr>
            <w:tcW w:w="1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216,865</w:t>
            </w:r>
          </w:p>
        </w:tc>
        <w:tc>
          <w:tcPr>
            <w:tcW w:w="300" w:type="dxa"/>
            <w:vAlign w:val="bottom"/>
            <w:shd w:val="clear" w:color="auto" w:fill="DEDEDE"/>
          </w:tcPr>
          <w:p>
            <w:pPr>
              <w:spacing w:after="0"/>
              <w:rPr>
                <w:sz w:val="20"/>
                <w:szCs w:val="20"/>
                <w:color w:val="auto"/>
              </w:rPr>
            </w:pPr>
          </w:p>
        </w:tc>
        <w:tc>
          <w:tcPr>
            <w:tcW w:w="19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196"/>
        </w:trPr>
        <w:tc>
          <w:tcPr>
            <w:tcW w:w="3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1818 Marshall Street, Shreveport, LA (2)</w:t>
            </w:r>
          </w:p>
        </w:tc>
        <w:tc>
          <w:tcPr>
            <w:tcW w:w="2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35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Life Insurance Operations</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12,274</w:t>
            </w:r>
          </w:p>
        </w:tc>
        <w:tc>
          <w:tcPr>
            <w:tcW w:w="300" w:type="dxa"/>
            <w:vAlign w:val="bottom"/>
          </w:tcPr>
          <w:p>
            <w:pPr>
              <w:spacing w:after="0"/>
              <w:rPr>
                <w:sz w:val="20"/>
                <w:szCs w:val="20"/>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141605</wp:posOffset>
                </wp:positionV>
                <wp:extent cx="1783080" cy="0"/>
                <wp:wrapNone/>
                <wp:docPr id="135" name="Shape 1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35" o:spid="_x0000_s11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5pt" to="140.4pt,11.15pt" o:allowincell="f" strokecolor="#000000" strokeweight="0.675pt"/>
            </w:pict>
          </mc:Fallback>
        </mc:AlternateContent>
      </w:r>
    </w:p>
    <w:p>
      <w:pPr>
        <w:spacing w:after="0" w:line="218" w:lineRule="exact"/>
        <w:rPr>
          <w:sz w:val="20"/>
          <w:szCs w:val="20"/>
          <w:color w:val="auto"/>
        </w:rPr>
      </w:pPr>
    </w:p>
    <w:p>
      <w:pPr>
        <w:ind w:left="322" w:hanging="322"/>
        <w:spacing w:after="0"/>
        <w:tabs>
          <w:tab w:leader="none" w:pos="3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real estate held for investment on the consolidated balance sheets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property and equipment on the consolidated balance sheets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Listed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37</w:t>
      </w:r>
    </w:p>
    <w:p>
      <w:pPr>
        <w:sectPr>
          <w:pgSz w:w="12240" w:h="15840" w:orient="portrait"/>
          <w:cols w:equalWidth="0" w:num="1">
            <w:col w:w="11222"/>
          </w:cols>
          <w:pgMar w:left="498" w:top="687" w:right="520" w:bottom="0" w:gutter="0" w:footer="0" w:header="0"/>
        </w:sectPr>
      </w:pPr>
    </w:p>
    <w:bookmarkStart w:id="65" w:name="page66"/>
    <w:bookmarkEnd w:id="65"/>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Residential Real Estate Held for Investment and Held for Sale</w:t>
      </w:r>
    </w:p>
    <w:p>
      <w:pPr>
        <w:spacing w:after="0" w:line="225"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Company occasionally acquires residential homes through the mortgage loan foreclosure process. The Company has the option to sell these properties or to continue to hold them for expected cash flow and price appreciation. The Company also looks for opportunities to acquire land that can be developed into single family lots. Once developed, finished lots are sold to builder partners and others.</w:t>
      </w:r>
    </w:p>
    <w:p>
      <w:pPr>
        <w:spacing w:after="0" w:line="176"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During 2025 and 2024, the Company did not record any impairment losses on residential real estate held for investment or held for sale. Impairment losses, if any, are included in gains (losses) on investments and other assets on the consolidated statements of earnings.</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During 2025 and 2024, the Company recorded depreciation expense on residential real estate held for investment of $10,871 and $10,611, respectively.</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Residential real estate held for investment is stated at cost and is depreciated over the estimated useful life, primarily using the straight-line method.</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Depreciation is included in net investment income on the consolidated statements of earnings.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Company’s residential real estate held for investment is summarized as follows:</w:t>
      </w:r>
    </w:p>
    <w:p>
      <w:pPr>
        <w:spacing w:after="0" w:line="225" w:lineRule="exact"/>
        <w:rPr>
          <w:sz w:val="20"/>
          <w:szCs w:val="20"/>
          <w:color w:val="auto"/>
        </w:rPr>
      </w:pPr>
    </w:p>
    <w:p>
      <w:pPr>
        <w:jc w:val="center"/>
        <w:ind w:right="2238"/>
        <w:spacing w:after="0"/>
        <w:rPr>
          <w:sz w:val="20"/>
          <w:szCs w:val="20"/>
          <w:color w:val="auto"/>
        </w:rPr>
      </w:pPr>
      <w:r>
        <w:rPr>
          <w:rFonts w:ascii="Times New Roman" w:cs="Times New Roman" w:eastAsia="Times New Roman" w:hAnsi="Times New Roman"/>
          <w:sz w:val="18"/>
          <w:szCs w:val="18"/>
          <w:color w:val="auto"/>
        </w:rPr>
        <w:t>Net Book Value</w:t>
      </w:r>
    </w:p>
    <w:p>
      <w:pPr>
        <w:spacing w:after="0" w:line="22" w:lineRule="exact"/>
        <w:rPr>
          <w:sz w:val="20"/>
          <w:szCs w:val="20"/>
          <w:color w:val="auto"/>
        </w:rPr>
      </w:pPr>
    </w:p>
    <w:p>
      <w:pPr>
        <w:jc w:val="center"/>
        <w:ind w:right="2258"/>
        <w:spacing w:after="0"/>
        <w:rPr>
          <w:sz w:val="20"/>
          <w:szCs w:val="20"/>
          <w:color w:val="auto"/>
        </w:rPr>
      </w:pPr>
      <w:r>
        <w:rPr>
          <w:rFonts w:ascii="Times New Roman" w:cs="Times New Roman" w:eastAsia="Times New Roman" w:hAnsi="Times New Roman"/>
          <w:sz w:val="18"/>
          <w:szCs w:val="18"/>
          <w:color w:val="auto"/>
        </w:rPr>
        <w:t>December 31,</w:t>
      </w:r>
    </w:p>
    <w:p>
      <w:pPr>
        <w:spacing w:after="0" w:line="28" w:lineRule="exact"/>
        <w:rPr>
          <w:sz w:val="20"/>
          <w:szCs w:val="20"/>
          <w:color w:val="auto"/>
        </w:rPr>
      </w:pPr>
    </w:p>
    <w:tbl>
      <w:tblPr>
        <w:tblLayout w:type="fixed"/>
        <w:tblInd w:w="2" w:type="dxa"/>
        <w:tblCellMar>
          <w:top w:w="0" w:type="dxa"/>
          <w:left w:w="0" w:type="dxa"/>
          <w:bottom w:w="0" w:type="dxa"/>
          <w:right w:w="0" w:type="dxa"/>
        </w:tblCellMar>
      </w:tblPr>
      <w:tr>
        <w:trPr>
          <w:trHeight w:val="224"/>
        </w:trPr>
        <w:tc>
          <w:tcPr>
            <w:tcW w:w="3420" w:type="dxa"/>
            <w:vAlign w:val="bottom"/>
            <w:tcBorders>
              <w:bottom w:val="single" w:sz="8" w:color="DEDED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bottom w:val="single" w:sz="8" w:color="DEDEDE"/>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DEDEDE"/>
            </w:tcBorders>
          </w:tcPr>
          <w:p>
            <w:pPr>
              <w:spacing w:after="0"/>
              <w:rPr>
                <w:sz w:val="19"/>
                <w:szCs w:val="19"/>
                <w:color w:val="auto"/>
              </w:rPr>
            </w:pPr>
          </w:p>
        </w:tc>
        <w:tc>
          <w:tcPr>
            <w:tcW w:w="40" w:type="dxa"/>
            <w:vAlign w:val="bottom"/>
            <w:tcBorders>
              <w:bottom w:val="single" w:sz="8" w:color="DEDEDE"/>
            </w:tcBorders>
          </w:tcPr>
          <w:p>
            <w:pPr>
              <w:spacing w:after="0"/>
              <w:rPr>
                <w:sz w:val="19"/>
                <w:szCs w:val="19"/>
                <w:color w:val="auto"/>
              </w:rPr>
            </w:pPr>
          </w:p>
        </w:tc>
      </w:tr>
      <w:tr>
        <w:trPr>
          <w:trHeight w:val="209"/>
        </w:trPr>
        <w:tc>
          <w:tcPr>
            <w:tcW w:w="34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Utah (1)</w:t>
            </w:r>
          </w:p>
        </w:tc>
        <w:tc>
          <w:tcPr>
            <w:tcW w:w="1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93,638,938</w:t>
            </w:r>
          </w:p>
        </w:tc>
        <w:tc>
          <w:tcPr>
            <w:tcW w:w="160" w:type="dxa"/>
            <w:vAlign w:val="bottom"/>
            <w:shd w:val="clear" w:color="auto" w:fill="DEDEDE"/>
          </w:tcPr>
          <w:p>
            <w:pPr>
              <w:spacing w:after="0"/>
              <w:rPr>
                <w:sz w:val="18"/>
                <w:szCs w:val="18"/>
                <w:color w:val="auto"/>
              </w:rPr>
            </w:pPr>
          </w:p>
        </w:tc>
        <w:tc>
          <w:tcPr>
            <w:tcW w:w="1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71,618,410</w:t>
            </w:r>
          </w:p>
        </w:tc>
        <w:tc>
          <w:tcPr>
            <w:tcW w:w="20" w:type="dxa"/>
            <w:vAlign w:val="bottom"/>
            <w:shd w:val="clear" w:color="auto" w:fill="DEDEDE"/>
          </w:tcPr>
          <w:p>
            <w:pPr>
              <w:spacing w:after="0"/>
              <w:rPr>
                <w:sz w:val="18"/>
                <w:szCs w:val="18"/>
                <w:color w:val="auto"/>
              </w:rPr>
            </w:pPr>
          </w:p>
        </w:tc>
        <w:tc>
          <w:tcPr>
            <w:tcW w:w="40" w:type="dxa"/>
            <w:vAlign w:val="bottom"/>
            <w:shd w:val="clear" w:color="auto" w:fill="DEDEDE"/>
          </w:tcPr>
          <w:p>
            <w:pPr>
              <w:spacing w:after="0"/>
              <w:rPr>
                <w:sz w:val="18"/>
                <w:szCs w:val="18"/>
                <w:color w:val="auto"/>
              </w:rPr>
            </w:pPr>
          </w:p>
        </w:tc>
      </w:tr>
      <w:tr>
        <w:trPr>
          <w:trHeight w:val="223"/>
        </w:trPr>
        <w:tc>
          <w:tcPr>
            <w:tcW w:w="3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93,638,938</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71,618,410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36" name="Shape 1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36" o:spid="_x0000_s11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(1)  Includes multiple residential subdivision development projects, refer to the following table.</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presents additional information regarding the Company’s residential subdivision development in Utah.</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4180" w:type="dxa"/>
            <w:vAlign w:val="bottom"/>
          </w:tcPr>
          <w:p>
            <w:pPr>
              <w:spacing w:after="0"/>
              <w:rPr>
                <w:sz w:val="20"/>
                <w:szCs w:val="20"/>
                <w:color w:val="auto"/>
              </w:rPr>
            </w:pPr>
          </w:p>
        </w:tc>
        <w:tc>
          <w:tcPr>
            <w:tcW w:w="256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4180" w:type="dxa"/>
            <w:vAlign w:val="bottom"/>
            <w:tcBorders>
              <w:bottom w:val="single" w:sz="8" w:color="DEDEDE"/>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bottom w:val="single" w:sz="8" w:color="DEDEDE"/>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DEDEDE"/>
            </w:tcBorders>
          </w:tcPr>
          <w:p>
            <w:pPr>
              <w:spacing w:after="0"/>
              <w:rPr>
                <w:sz w:val="19"/>
                <w:szCs w:val="19"/>
                <w:color w:val="auto"/>
              </w:rPr>
            </w:pPr>
          </w:p>
        </w:tc>
      </w:tr>
      <w:tr>
        <w:trPr>
          <w:trHeight w:val="209"/>
        </w:trPr>
        <w:tc>
          <w:tcPr>
            <w:tcW w:w="41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Lots available for sale</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8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60" w:type="dxa"/>
            <w:vAlign w:val="bottom"/>
            <w:shd w:val="clear" w:color="auto" w:fill="DEDEDE"/>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Lots to be developed</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761</w:t>
            </w: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41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34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   93,474,755</w:t>
            </w:r>
          </w:p>
        </w:tc>
        <w:tc>
          <w:tcPr>
            <w:tcW w:w="220" w:type="dxa"/>
            <w:vAlign w:val="bottom"/>
            <w:shd w:val="clear" w:color="auto" w:fill="DEDED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71,443,356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38</w:t>
      </w:r>
    </w:p>
    <w:p>
      <w:pPr>
        <w:sectPr>
          <w:pgSz w:w="12240" w:h="15840" w:orient="portrait"/>
          <w:cols w:equalWidth="0" w:num="1">
            <w:col w:w="11242"/>
          </w:cols>
          <w:pgMar w:left="498" w:top="687" w:right="500" w:bottom="0" w:gutter="0" w:footer="0" w:header="0"/>
        </w:sectPr>
      </w:pPr>
    </w:p>
    <w:bookmarkStart w:id="66" w:name="page67"/>
    <w:bookmarkEnd w:id="66"/>
    <w:p>
      <w:pPr>
        <w:jc w:val="center"/>
        <w:ind w:right="3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Company’s residential real estate held for sale is summarized as follows:</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29"/>
        </w:trPr>
        <w:tc>
          <w:tcPr>
            <w:tcW w:w="2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2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color w:val="auto"/>
                <w:w w:val="97"/>
              </w:rPr>
              <w:t>Net Book Value</w:t>
            </w:r>
          </w:p>
        </w:tc>
      </w:tr>
      <w:tr>
        <w:trPr>
          <w:trHeight w:val="235"/>
        </w:trPr>
        <w:tc>
          <w:tcPr>
            <w:tcW w:w="2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2040" w:type="dxa"/>
            <w:vAlign w:val="bottom"/>
            <w:tcBorders>
              <w:bottom w:val="single" w:sz="8" w:color="DEDEDE"/>
            </w:tcBorders>
          </w:tcPr>
          <w:p>
            <w:pPr>
              <w:spacing w:after="0"/>
              <w:rPr>
                <w:sz w:val="19"/>
                <w:szCs w:val="19"/>
                <w:color w:val="auto"/>
              </w:rPr>
            </w:pPr>
          </w:p>
        </w:tc>
        <w:tc>
          <w:tcPr>
            <w:tcW w:w="1380" w:type="dxa"/>
            <w:vAlign w:val="bottom"/>
            <w:tcBorders>
              <w:bottom w:val="single" w:sz="8" w:color="DEDED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top w:val="single" w:sz="8" w:color="auto"/>
              <w:bottom w:val="single" w:sz="8" w:color="DEDEDE"/>
            </w:tcBorders>
          </w:tcPr>
          <w:p>
            <w:pPr>
              <w:spacing w:after="0"/>
              <w:rPr>
                <w:sz w:val="19"/>
                <w:szCs w:val="19"/>
                <w:color w:val="auto"/>
              </w:rPr>
            </w:pPr>
          </w:p>
        </w:tc>
        <w:tc>
          <w:tcPr>
            <w:tcW w:w="20" w:type="dxa"/>
            <w:vAlign w:val="bottom"/>
            <w:tcBorders>
              <w:top w:val="single" w:sz="8" w:color="auto"/>
              <w:bottom w:val="single" w:sz="8" w:color="DEDEDE"/>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DEDEDE"/>
            </w:tcBorders>
          </w:tcPr>
          <w:p>
            <w:pPr>
              <w:spacing w:after="0"/>
              <w:rPr>
                <w:sz w:val="19"/>
                <w:szCs w:val="19"/>
                <w:color w:val="auto"/>
              </w:rPr>
            </w:pPr>
          </w:p>
        </w:tc>
      </w:tr>
      <w:tr>
        <w:trPr>
          <w:trHeight w:val="209"/>
        </w:trPr>
        <w:tc>
          <w:tcPr>
            <w:tcW w:w="20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Utah</w:t>
            </w:r>
          </w:p>
        </w:tc>
        <w:tc>
          <w:tcPr>
            <w:tcW w:w="1380" w:type="dxa"/>
            <w:vAlign w:val="bottom"/>
            <w:shd w:val="clear" w:color="auto" w:fill="DEDEDE"/>
          </w:tcPr>
          <w:p>
            <w:pPr>
              <w:spacing w:after="0"/>
              <w:rPr>
                <w:sz w:val="18"/>
                <w:szCs w:val="18"/>
                <w:color w:val="auto"/>
              </w:rPr>
            </w:pPr>
          </w:p>
        </w:tc>
        <w:tc>
          <w:tcPr>
            <w:tcW w:w="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5,456,806</w:t>
            </w:r>
          </w:p>
        </w:tc>
        <w:tc>
          <w:tcPr>
            <w:tcW w:w="16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160" w:type="dxa"/>
            <w:vAlign w:val="bottom"/>
            <w:shd w:val="clear" w:color="auto" w:fill="DEDEDE"/>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849,900</w:t>
            </w:r>
          </w:p>
        </w:tc>
        <w:tc>
          <w:tcPr>
            <w:tcW w:w="60" w:type="dxa"/>
            <w:vAlign w:val="bottom"/>
            <w:shd w:val="clear" w:color="auto" w:fill="DEDEDE"/>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Colorado</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0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Florida</w:t>
            </w:r>
          </w:p>
        </w:tc>
        <w:tc>
          <w:tcPr>
            <w:tcW w:w="13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146,651</w:t>
            </w:r>
          </w:p>
        </w:tc>
        <w:tc>
          <w:tcPr>
            <w:tcW w:w="16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276,580</w:t>
            </w:r>
          </w:p>
        </w:tc>
        <w:tc>
          <w:tcPr>
            <w:tcW w:w="60" w:type="dxa"/>
            <w:vAlign w:val="bottom"/>
            <w:shd w:val="clear" w:color="auto" w:fill="DEDEDE"/>
          </w:tcPr>
          <w:p>
            <w:pPr>
              <w:spacing w:after="0"/>
              <w:rPr>
                <w:sz w:val="18"/>
                <w:szCs w:val="18"/>
                <w:color w:val="auto"/>
              </w:rPr>
            </w:pPr>
          </w:p>
        </w:tc>
      </w:tr>
      <w:tr>
        <w:trPr>
          <w:trHeight w:val="216"/>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Georgia</w:t>
            </w: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30"/>
        </w:trPr>
        <w:tc>
          <w:tcPr>
            <w:tcW w:w="20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Nevada</w:t>
            </w:r>
          </w:p>
        </w:tc>
        <w:tc>
          <w:tcPr>
            <w:tcW w:w="1380" w:type="dxa"/>
            <w:vAlign w:val="bottom"/>
            <w:shd w:val="clear" w:color="auto" w:fill="DEDEDE"/>
          </w:tcPr>
          <w:p>
            <w:pPr>
              <w:spacing w:after="0"/>
              <w:rPr>
                <w:sz w:val="19"/>
                <w:szCs w:val="19"/>
                <w:color w:val="auto"/>
              </w:rPr>
            </w:pPr>
          </w:p>
        </w:tc>
        <w:tc>
          <w:tcPr>
            <w:tcW w:w="180" w:type="dxa"/>
            <w:vAlign w:val="bottom"/>
            <w:tcBorders>
              <w:bottom w:val="single" w:sz="8" w:color="auto"/>
            </w:tcBorders>
            <w:shd w:val="clear" w:color="auto" w:fill="DEDEDE"/>
          </w:tcPr>
          <w:p>
            <w:pPr>
              <w:spacing w:after="0"/>
              <w:rPr>
                <w:sz w:val="19"/>
                <w:szCs w:val="19"/>
                <w:color w:val="auto"/>
              </w:rPr>
            </w:pPr>
          </w:p>
        </w:tc>
        <w:tc>
          <w:tcPr>
            <w:tcW w:w="8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149,017</w:t>
            </w:r>
          </w:p>
        </w:tc>
        <w:tc>
          <w:tcPr>
            <w:tcW w:w="16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60" w:type="dxa"/>
            <w:vAlign w:val="bottom"/>
            <w:tcBorders>
              <w:bottom w:val="single" w:sz="8" w:color="auto"/>
            </w:tcBorders>
            <w:shd w:val="clear" w:color="auto" w:fill="DEDEDE"/>
          </w:tcPr>
          <w:p>
            <w:pPr>
              <w:spacing w:after="0"/>
              <w:rPr>
                <w:sz w:val="19"/>
                <w:szCs w:val="19"/>
                <w:color w:val="auto"/>
              </w:rPr>
            </w:pPr>
          </w:p>
        </w:tc>
        <w:tc>
          <w:tcPr>
            <w:tcW w:w="8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DEDEDE"/>
          </w:tcPr>
          <w:p>
            <w:pPr>
              <w:spacing w:after="0"/>
              <w:rPr>
                <w:sz w:val="19"/>
                <w:szCs w:val="19"/>
                <w:color w:val="auto"/>
              </w:rPr>
            </w:pPr>
          </w:p>
        </w:tc>
      </w:tr>
      <w:tr>
        <w:trPr>
          <w:trHeight w:val="223"/>
        </w:trPr>
        <w:tc>
          <w:tcPr>
            <w:tcW w:w="2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6,272,474</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1,126,480</w:t>
            </w:r>
          </w:p>
        </w:tc>
        <w:tc>
          <w:tcPr>
            <w:tcW w:w="60" w:type="dxa"/>
            <w:vAlign w:val="bottom"/>
          </w:tcPr>
          <w:p>
            <w:pPr>
              <w:spacing w:after="0"/>
              <w:rPr>
                <w:sz w:val="19"/>
                <w:szCs w:val="19"/>
                <w:color w:val="auto"/>
              </w:rPr>
            </w:pPr>
          </w:p>
        </w:tc>
      </w:tr>
      <w:tr>
        <w:trPr>
          <w:trHeight w:val="20"/>
        </w:trPr>
        <w:tc>
          <w:tcPr>
            <w:tcW w:w="2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2"/>
        <w:spacing w:after="0" w:line="283" w:lineRule="auto"/>
        <w:rPr>
          <w:sz w:val="20"/>
          <w:szCs w:val="20"/>
          <w:color w:val="auto"/>
        </w:rPr>
      </w:pPr>
      <w:r>
        <w:rPr>
          <w:rFonts w:ascii="Times New Roman" w:cs="Times New Roman" w:eastAsia="Times New Roman" w:hAnsi="Times New Roman"/>
          <w:sz w:val="18"/>
          <w:szCs w:val="18"/>
          <w:color w:val="auto"/>
        </w:rPr>
        <w:t>The net book value of foreclosed residential real estate included in residential real estate held for investment or sale was $1,270,669 and $1,126,480 as of December 31, 2025, and 2024, respectively.</w:t>
      </w:r>
    </w:p>
    <w:p>
      <w:pPr>
        <w:spacing w:after="0" w:line="15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Mortgage Loans Held for Investment</w:t>
      </w:r>
    </w:p>
    <w:p>
      <w:pPr>
        <w:spacing w:after="0" w:line="228" w:lineRule="exact"/>
        <w:rPr>
          <w:sz w:val="20"/>
          <w:szCs w:val="20"/>
          <w:color w:val="auto"/>
        </w:rPr>
      </w:pPr>
    </w:p>
    <w:p>
      <w:pPr>
        <w:jc w:val="both"/>
        <w:ind w:left="2"/>
        <w:spacing w:after="0" w:line="283" w:lineRule="auto"/>
        <w:rPr>
          <w:sz w:val="20"/>
          <w:szCs w:val="20"/>
          <w:color w:val="auto"/>
        </w:rPr>
      </w:pPr>
      <w:r>
        <w:rPr>
          <w:rFonts w:ascii="Times New Roman" w:cs="Times New Roman" w:eastAsia="Times New Roman" w:hAnsi="Times New Roman"/>
          <w:sz w:val="18"/>
          <w:szCs w:val="18"/>
          <w:color w:val="auto"/>
        </w:rPr>
        <w:t>The Company reports mortgage loans held for investment pursuant to the accounting policy discussed in Note 1 of the Notes to Consolidated Financial Statements.</w:t>
      </w:r>
    </w:p>
    <w:p>
      <w:pPr>
        <w:spacing w:after="0" w:line="160"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Mortgage loans held for investment consist of first and second mortgages and are generally classified into three distinct groups: Commercial, Residential, and Residential Construction. These mortgage loans bear interest at rates ranging from 2.0% to 10.5%; maturity dates range from nine months to 30 years and the loans are secured by real estate have amortization periods of 0 to 30 years.</w:t>
      </w:r>
    </w:p>
    <w:p>
      <w:pPr>
        <w:spacing w:after="0" w:line="176"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Concentrations of credit risk arise when several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the relevant debtors’ ability to honor obligations is dependent upon the economic stability of the geographic region in which the debtors do business or are employed. As of December 31, 2025, the Company had 57%, 7%, 7%, 7%, and 6% of its mortgage loans from borrowers located in the states of Utah, Florida, California, Texas, and Arizona, respectively. As of December 31, 2024, the Company had 56%, 8%, 9%, and 6% of its mortgage loans from borrowers located in the states of Utah, Florida, Arizona, and Texas, respectively.</w:t>
      </w:r>
    </w:p>
    <w:p>
      <w:pPr>
        <w:spacing w:after="0" w:line="1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Evaluation of Allowance for Credit Losses</w:t>
      </w:r>
    </w:p>
    <w:p>
      <w:pPr>
        <w:spacing w:after="0" w:line="228"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amortized cost basis of the Company’s mortgage loans held for investment to present the net amount expected to be collected. The Company reports in net earnings, as a credit loss expense, the amount necessary to adjust the allowance for credit losses for the Company’s current estimate of expected credit losses on mortgage loans held for investment. This credit loss expense is included in other expenses on the consolidated statements of earnings.</w:t>
      </w:r>
    </w:p>
    <w:p>
      <w:pPr>
        <w:spacing w:after="0" w:line="179"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Once a mortgage loan is past due 90 days, it is the policy of the Company to end the accrual of interest income on the loan and reverse any interest income that had been accrued. Given this policy, the Company does not measure a credit loss allowance on accrued interest receivable. Accrued interest receivable is included in accrued investment income on the consolidated balance sheets. Payments received for mortgage loans on a non-accrual status are recognized when received. The interest income recognized from payments received for mortgage loans on a non-accrual status was immaterial. Accrual of interest resumes if a mortgage loan is brought current. Interest not accrued on these loans totaled approximately $1,042,325 and $244,000 as of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39</w:t>
      </w:r>
    </w:p>
    <w:p>
      <w:pPr>
        <w:sectPr>
          <w:pgSz w:w="12240" w:h="15840" w:orient="portrait"/>
          <w:cols w:equalWidth="0" w:num="1">
            <w:col w:w="11222"/>
          </w:cols>
          <w:pgMar w:left="498" w:top="687" w:right="520" w:bottom="0" w:gutter="0" w:footer="0" w:header="0"/>
        </w:sectPr>
      </w:pPr>
    </w:p>
    <w:bookmarkStart w:id="67" w:name="page68"/>
    <w:bookmarkEnd w:id="67"/>
    <w:p>
      <w:pPr>
        <w:jc w:val="center"/>
        <w:ind w:right="3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Company measures expected credit losses based on the fair value of the collateral when the Company determines that foreclosure is probable. When a mortgage loan becomes delinquent, the Company proceeds to foreclose. Once foreclosed, the property is classified as real estate held for investment or held for sale.</w:t>
      </w:r>
    </w:p>
    <w:p>
      <w:pPr>
        <w:spacing w:after="0" w:line="176" w:lineRule="exact"/>
        <w:rPr>
          <w:sz w:val="20"/>
          <w:szCs w:val="20"/>
          <w:color w:val="auto"/>
        </w:rPr>
      </w:pPr>
    </w:p>
    <w:p>
      <w:pPr>
        <w:jc w:val="both"/>
        <w:ind w:left="2"/>
        <w:spacing w:after="0" w:line="283" w:lineRule="auto"/>
        <w:rPr>
          <w:sz w:val="20"/>
          <w:szCs w:val="20"/>
          <w:color w:val="auto"/>
        </w:rPr>
      </w:pPr>
      <w:r>
        <w:rPr>
          <w:rFonts w:ascii="Times New Roman" w:cs="Times New Roman" w:eastAsia="Times New Roman" w:hAnsi="Times New Roman"/>
          <w:sz w:val="18"/>
          <w:szCs w:val="18"/>
          <w:color w:val="auto"/>
        </w:rPr>
        <w:t>To determine the allowance for credit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60"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u w:val="single" w:color="auto"/>
          <w:color w:val="auto"/>
        </w:rPr>
        <w:t>Commercial</w:t>
      </w:r>
      <w:r>
        <w:rPr>
          <w:rFonts w:ascii="Times New Roman" w:cs="Times New Roman" w:eastAsia="Times New Roman" w:hAnsi="Times New Roman"/>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secondarily on the borrower’s (or guarantor’s) ability to repay.</w:t>
      </w:r>
    </w:p>
    <w:p>
      <w:pPr>
        <w:spacing w:after="0" w:line="176"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Commercial loans are evaluated for credit loss by analyzing common metrics that are predictors for future credit losses such as debt service coverage ratio (“DSCR”), loan to value (“LTV”), local market conditions, borrower quality, and underlying collateral. The fair value of the underlying collateral is based on a third-party appraisal of the property at origination of the loan. The fair value is assessed if the loan becomes 90 days delinquent. The Company uses these metrics to pool similar loans. The allowance for credit losses is based on estimates, historical experience, probability of loss, value of the underlying collateral, and other factors that affect the collectability of the loan. The Company applies a future loss factor to the outstanding balance of each group to arrive at the allowance for credit losses.</w:t>
      </w:r>
    </w:p>
    <w:p>
      <w:pPr>
        <w:spacing w:after="0" w:line="188"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u w:val="single" w:color="auto"/>
          <w:color w:val="auto"/>
        </w:rPr>
        <w:t>Residential</w:t>
      </w:r>
      <w:r>
        <w:rPr>
          <w:rFonts w:ascii="Times New Roman" w:cs="Times New Roman" w:eastAsia="Times New Roman" w:hAnsi="Times New Roman"/>
          <w:sz w:val="18"/>
          <w:szCs w:val="18"/>
          <w:color w:val="auto"/>
        </w:rPr>
        <w:t xml:space="preserve"> — These loans are secured by first and second mortgages on single-family dwellings. The borrower’s ability to repay is sensitive to life events and the general economic condition of the region. Where LTV exceeds 80%, the loan is generally guaranteed by private mortgage insurance, the FHA, or VA.</w:t>
      </w:r>
    </w:p>
    <w:p>
      <w:pPr>
        <w:spacing w:after="0" w:line="176"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Residential loans are evaluated for credit loss by using relevant available information from both internal and external sources. Among other things, the Company uses its historical delinquency information and considers current and forecasted economic conditions. External sources include a monthly analysis of its residential portfolio by a third party. The third party uses the Company’s current loan data and runs it through various models to project cash flows and provide a projected life of loan loss. The models consider loan features such as loan type, LTV, payment status, age, and current property values. Analyzing the information from various sources allows the Company to arrive at an allowance for credit losses.</w:t>
      </w:r>
    </w:p>
    <w:p>
      <w:pPr>
        <w:spacing w:after="0" w:line="184"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8"/>
          <w:szCs w:val="18"/>
          <w:u w:val="single" w:color="auto"/>
          <w:color w:val="auto"/>
        </w:rPr>
        <w:t>Residential construction (including land acquisition and development loans)</w:t>
      </w:r>
      <w:r>
        <w:rPr>
          <w:rFonts w:ascii="Times New Roman" w:cs="Times New Roman" w:eastAsia="Times New Roman" w:hAnsi="Times New Roman"/>
          <w:sz w:val="18"/>
          <w:szCs w:val="18"/>
          <w:color w:val="auto"/>
        </w:rPr>
        <w:t xml:space="preserve"> – These loans are underwritten in accordance with the Company’s underwriting policies, which include a financial analysis of the builders, borrowers (guarantors), construction cost estimates, and independent appraisal valuations, and factor in estimates of the value of construction projects upon completion. Construction loans generally involve the disbursement of substantial funds over a short period of time with repayment substantially dependent upon the success of the completed project and the ability of the borrower to secure long-term financing.</w:t>
      </w:r>
    </w:p>
    <w:p>
      <w:pPr>
        <w:spacing w:after="0" w:line="183"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Additionally, land acquisition and development loans are underwritten in accordance with the Company’s underwriting policies, which include independent appraisal valuations as well as the estimated value associated with the land upon completion of development into finished lots. These loans are of a higher risk than other mortgage loans due to their ultimate repayment being sensitive to general economic conditions, availability of long-term or construction financing, and interest rate sensitivity.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40</w:t>
      </w:r>
    </w:p>
    <w:p>
      <w:pPr>
        <w:sectPr>
          <w:pgSz w:w="12240" w:h="15840" w:orient="portrait"/>
          <w:cols w:equalWidth="0" w:num="1">
            <w:col w:w="11222"/>
          </w:cols>
          <w:pgMar w:left="498" w:top="687" w:right="520" w:bottom="0" w:gutter="0" w:footer="0" w:header="0"/>
        </w:sectPr>
      </w:pPr>
    </w:p>
    <w:bookmarkStart w:id="68" w:name="page69"/>
    <w:bookmarkEnd w:id="68"/>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The Company has commitments to fund existing construction and land development loans pursuant to the various loan agreements. As of December 31, 2025, the Company’s commitments were approximately $201,220,000 for these loans, of which $158,908,000 had been funded. The Company advances funds in accordance with the loan agreements once the work has been completed, and an independent inspection is made. The maximum loan commitment ranges between 50% and 80% of the appraised value. The Company receives fees and interest for these loans and the interest rate is generally fixed at 5.25% to 8.50% per annum. Maturities range between six and eighteen months.</w:t>
      </w:r>
    </w:p>
    <w:p>
      <w:pPr>
        <w:spacing w:after="0" w:line="183"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Residential construction mortgage loans are evaluated for credit loss by considering historical activity and current housing market trends to arrive at a per loan basis point allowance that is recognized at loan origination and subsequent draws. The per loan basis point is reviewed at least annually or as loan losses or market trends require.</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as of the dates indicated:</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Residential</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5"/>
        </w:trPr>
        <w:tc>
          <w:tcPr>
            <w:tcW w:w="39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Residential</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Construction</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90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u w:val="single" w:color="auto"/>
                <w:color w:val="auto"/>
              </w:rPr>
              <w:t>December 31, 2025</w:t>
            </w:r>
          </w:p>
        </w:tc>
        <w:tc>
          <w:tcPr>
            <w:tcW w:w="82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1200" w:type="dxa"/>
            <w:vAlign w:val="bottom"/>
            <w:tcBorders>
              <w:top w:val="single" w:sz="8" w:color="auto"/>
            </w:tcBorders>
            <w:shd w:val="clear" w:color="auto" w:fill="DEDEDE"/>
          </w:tcPr>
          <w:p>
            <w:pPr>
              <w:spacing w:after="0"/>
              <w:rPr>
                <w:sz w:val="18"/>
                <w:szCs w:val="18"/>
                <w:color w:val="auto"/>
              </w:rPr>
            </w:pPr>
          </w:p>
        </w:tc>
        <w:tc>
          <w:tcPr>
            <w:tcW w:w="22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spacing w:after="0"/>
              <w:rPr>
                <w:sz w:val="18"/>
                <w:szCs w:val="18"/>
                <w:color w:val="auto"/>
              </w:rPr>
            </w:pPr>
          </w:p>
        </w:tc>
        <w:tc>
          <w:tcPr>
            <w:tcW w:w="118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118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300" w:type="dxa"/>
            <w:vAlign w:val="bottom"/>
            <w:tcBorders>
              <w:top w:val="single" w:sz="8" w:color="auto"/>
            </w:tcBorders>
            <w:shd w:val="clear" w:color="auto" w:fill="DEDEDE"/>
          </w:tcPr>
          <w:p>
            <w:pPr>
              <w:spacing w:after="0"/>
              <w:rPr>
                <w:sz w:val="18"/>
                <w:szCs w:val="18"/>
                <w:color w:val="auto"/>
              </w:rPr>
            </w:pPr>
          </w:p>
        </w:tc>
        <w:tc>
          <w:tcPr>
            <w:tcW w:w="104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Beginning balance - December 31, 2024</w:t>
            </w:r>
          </w:p>
        </w:tc>
        <w:tc>
          <w:tcPr>
            <w:tcW w:w="9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732,494</w:t>
            </w:r>
          </w:p>
        </w:tc>
        <w:tc>
          <w:tcPr>
            <w:tcW w:w="220" w:type="dxa"/>
            <w:vAlign w:val="bottom"/>
            <w:shd w:val="clear" w:color="auto" w:fill="DEDEDE"/>
          </w:tcPr>
          <w:p>
            <w:pPr>
              <w:spacing w:after="0"/>
              <w:rPr>
                <w:sz w:val="18"/>
                <w:szCs w:val="18"/>
                <w:color w:val="auto"/>
              </w:rPr>
            </w:pPr>
          </w:p>
        </w:tc>
        <w:tc>
          <w:tcPr>
            <w:tcW w:w="320" w:type="dxa"/>
            <w:vAlign w:val="bottom"/>
            <w:gridSpan w:val="2"/>
            <w:shd w:val="clear" w:color="auto" w:fill="DEDEDE"/>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850,550</w:t>
            </w:r>
          </w:p>
        </w:tc>
        <w:tc>
          <w:tcPr>
            <w:tcW w:w="200" w:type="dxa"/>
            <w:vAlign w:val="bottom"/>
            <w:shd w:val="clear" w:color="auto" w:fill="DEDEDE"/>
          </w:tcPr>
          <w:p>
            <w:pPr>
              <w:spacing w:after="0"/>
              <w:rPr>
                <w:sz w:val="18"/>
                <w:szCs w:val="18"/>
                <w:color w:val="auto"/>
              </w:rPr>
            </w:pPr>
          </w:p>
        </w:tc>
        <w:tc>
          <w:tcPr>
            <w:tcW w:w="2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302,346</w:t>
            </w:r>
          </w:p>
        </w:tc>
        <w:tc>
          <w:tcPr>
            <w:tcW w:w="620" w:type="dxa"/>
            <w:vAlign w:val="bottom"/>
            <w:gridSpan w:val="2"/>
            <w:shd w:val="clear" w:color="auto" w:fill="DEDEDE"/>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1,885,390</w:t>
            </w:r>
          </w:p>
        </w:tc>
        <w:tc>
          <w:tcPr>
            <w:tcW w:w="120" w:type="dxa"/>
            <w:vAlign w:val="bottom"/>
            <w:shd w:val="clear" w:color="auto" w:fill="DEDEDE"/>
          </w:tcPr>
          <w:p>
            <w:pPr>
              <w:spacing w:after="0"/>
              <w:rPr>
                <w:sz w:val="18"/>
                <w:szCs w:val="18"/>
                <w:color w:val="auto"/>
              </w:rPr>
            </w:pPr>
          </w:p>
        </w:tc>
      </w:tr>
      <w:tr>
        <w:trPr>
          <w:trHeight w:val="216"/>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635,627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104,682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13,713</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754,022</w:t>
            </w:r>
          </w:p>
        </w:tc>
        <w:tc>
          <w:tcPr>
            <w:tcW w:w="120" w:type="dxa"/>
            <w:vAlign w:val="bottom"/>
          </w:tcPr>
          <w:p>
            <w:pPr>
              <w:spacing w:after="0"/>
              <w:rPr>
                <w:sz w:val="18"/>
                <w:szCs w:val="18"/>
                <w:color w:val="auto"/>
              </w:rPr>
            </w:pPr>
          </w:p>
        </w:tc>
      </w:tr>
      <w:tr>
        <w:trPr>
          <w:trHeight w:val="230"/>
        </w:trPr>
        <w:tc>
          <w:tcPr>
            <w:tcW w:w="390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82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38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(50,494)</w:t>
            </w:r>
          </w:p>
        </w:tc>
        <w:tc>
          <w:tcPr>
            <w:tcW w:w="12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116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(50,494)</w:t>
            </w:r>
          </w:p>
        </w:tc>
      </w:tr>
      <w:tr>
        <w:trPr>
          <w:trHeight w:val="263"/>
        </w:trPr>
        <w:tc>
          <w:tcPr>
            <w:tcW w:w="390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Ending balance - December 31, 2025</w:t>
            </w:r>
          </w:p>
        </w:tc>
        <w:tc>
          <w:tcPr>
            <w:tcW w:w="820" w:type="dxa"/>
            <w:vAlign w:val="bottom"/>
            <w:tcBorders>
              <w:bottom w:val="single" w:sz="8" w:color="DEDED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1,368,121</w:t>
            </w:r>
          </w:p>
        </w:tc>
        <w:tc>
          <w:tcPr>
            <w:tcW w:w="220" w:type="dxa"/>
            <w:vAlign w:val="bottom"/>
            <w:tcBorders>
              <w:bottom w:val="single" w:sz="8" w:color="DEDEDE"/>
            </w:tcBorders>
          </w:tcPr>
          <w:p>
            <w:pPr>
              <w:spacing w:after="0"/>
              <w:rPr>
                <w:sz w:val="22"/>
                <w:szCs w:val="22"/>
                <w:color w:val="auto"/>
              </w:rPr>
            </w:pPr>
          </w:p>
        </w:tc>
        <w:tc>
          <w:tcPr>
            <w:tcW w:w="140" w:type="dxa"/>
            <w:vAlign w:val="bottom"/>
            <w:tcBorders>
              <w:bottom w:val="single" w:sz="8" w:color="DEDEDE"/>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904,738</w:t>
            </w:r>
          </w:p>
        </w:tc>
        <w:tc>
          <w:tcPr>
            <w:tcW w:w="200" w:type="dxa"/>
            <w:vAlign w:val="bottom"/>
            <w:tcBorders>
              <w:bottom w:val="single" w:sz="8" w:color="DEDEDE"/>
            </w:tcBorders>
          </w:tcPr>
          <w:p>
            <w:pPr>
              <w:spacing w:after="0"/>
              <w:rPr>
                <w:sz w:val="22"/>
                <w:szCs w:val="22"/>
                <w:color w:val="auto"/>
              </w:rPr>
            </w:pPr>
          </w:p>
        </w:tc>
        <w:tc>
          <w:tcPr>
            <w:tcW w:w="120" w:type="dxa"/>
            <w:vAlign w:val="bottom"/>
            <w:tcBorders>
              <w:bottom w:val="single" w:sz="8" w:color="DEDED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316,059</w:t>
            </w:r>
          </w:p>
        </w:tc>
        <w:tc>
          <w:tcPr>
            <w:tcW w:w="320" w:type="dxa"/>
            <w:vAlign w:val="bottom"/>
            <w:tcBorders>
              <w:bottom w:val="single" w:sz="8" w:color="DEDEDE"/>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2,588,918</w:t>
            </w:r>
          </w:p>
        </w:tc>
        <w:tc>
          <w:tcPr>
            <w:tcW w:w="120" w:type="dxa"/>
            <w:vAlign w:val="bottom"/>
            <w:tcBorders>
              <w:bottom w:val="single" w:sz="8" w:color="DEDEDE"/>
            </w:tcBorders>
          </w:tcPr>
          <w:p>
            <w:pPr>
              <w:spacing w:after="0"/>
              <w:rPr>
                <w:sz w:val="22"/>
                <w:szCs w:val="22"/>
                <w:color w:val="auto"/>
              </w:rPr>
            </w:pPr>
          </w:p>
        </w:tc>
      </w:tr>
      <w:tr>
        <w:trPr>
          <w:trHeight w:val="196"/>
        </w:trPr>
        <w:tc>
          <w:tcPr>
            <w:tcW w:w="3900" w:type="dxa"/>
            <w:vAlign w:val="bottom"/>
            <w:shd w:val="clear" w:color="auto" w:fill="DEDEDE"/>
          </w:tcPr>
          <w:p>
            <w:pPr>
              <w:spacing w:after="0"/>
              <w:rPr>
                <w:sz w:val="17"/>
                <w:szCs w:val="17"/>
                <w:color w:val="auto"/>
              </w:rPr>
            </w:pPr>
          </w:p>
        </w:tc>
        <w:tc>
          <w:tcPr>
            <w:tcW w:w="82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2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8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1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300" w:type="dxa"/>
            <w:vAlign w:val="bottom"/>
            <w:shd w:val="clear" w:color="auto" w:fill="DEDEDE"/>
          </w:tcPr>
          <w:p>
            <w:pPr>
              <w:spacing w:after="0"/>
              <w:rPr>
                <w:sz w:val="17"/>
                <w:szCs w:val="17"/>
                <w:color w:val="auto"/>
              </w:rPr>
            </w:pPr>
          </w:p>
        </w:tc>
        <w:tc>
          <w:tcPr>
            <w:tcW w:w="10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December 31, 2024</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8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30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 December 31, 2023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1,219,653</w:t>
            </w:r>
          </w:p>
        </w:tc>
        <w:tc>
          <w:tcPr>
            <w:tcW w:w="220" w:type="dxa"/>
            <w:vAlign w:val="bottom"/>
          </w:tcPr>
          <w:p>
            <w:pPr>
              <w:spacing w:after="0"/>
              <w:rPr>
                <w:sz w:val="18"/>
                <w:szCs w:val="18"/>
                <w:color w:val="auto"/>
              </w:rPr>
            </w:pP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2,390,894</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208,106</w:t>
            </w:r>
          </w:p>
        </w:tc>
        <w:tc>
          <w:tcPr>
            <w:tcW w:w="6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3,818,653</w:t>
            </w:r>
          </w:p>
        </w:tc>
        <w:tc>
          <w:tcPr>
            <w:tcW w:w="120" w:type="dxa"/>
            <w:vAlign w:val="bottom"/>
          </w:tcPr>
          <w:p>
            <w:pPr>
              <w:spacing w:after="0"/>
              <w:rPr>
                <w:sz w:val="18"/>
                <w:szCs w:val="18"/>
                <w:color w:val="auto"/>
              </w:rPr>
            </w:pPr>
          </w:p>
        </w:tc>
      </w:tr>
      <w:tr>
        <w:trPr>
          <w:trHeight w:val="216"/>
        </w:trPr>
        <w:tc>
          <w:tcPr>
            <w:tcW w:w="390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8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42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8"/>
                <w:szCs w:val="18"/>
                <w:color w:val="auto"/>
              </w:rPr>
              <w:t>(487,159)</w:t>
            </w:r>
          </w:p>
        </w:tc>
        <w:tc>
          <w:tcPr>
            <w:tcW w:w="1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38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(444,859)</w:t>
            </w:r>
          </w:p>
        </w:tc>
        <w:tc>
          <w:tcPr>
            <w:tcW w:w="1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94,240</w:t>
            </w:r>
          </w:p>
        </w:tc>
        <w:tc>
          <w:tcPr>
            <w:tcW w:w="320" w:type="dxa"/>
            <w:vAlign w:val="bottom"/>
            <w:shd w:val="clear" w:color="auto" w:fill="DEDEDE"/>
          </w:tcPr>
          <w:p>
            <w:pPr>
              <w:spacing w:after="0"/>
              <w:rPr>
                <w:sz w:val="18"/>
                <w:szCs w:val="18"/>
                <w:color w:val="auto"/>
              </w:rPr>
            </w:pPr>
          </w:p>
        </w:tc>
        <w:tc>
          <w:tcPr>
            <w:tcW w:w="300" w:type="dxa"/>
            <w:vAlign w:val="bottom"/>
            <w:shd w:val="clear" w:color="auto" w:fill="DEDEDE"/>
          </w:tcPr>
          <w:p>
            <w:pPr>
              <w:spacing w:after="0"/>
              <w:rPr>
                <w:sz w:val="18"/>
                <w:szCs w:val="18"/>
                <w:color w:val="auto"/>
              </w:rPr>
            </w:pPr>
          </w:p>
        </w:tc>
        <w:tc>
          <w:tcPr>
            <w:tcW w:w="116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(837,778)</w:t>
            </w:r>
          </w:p>
        </w:tc>
      </w:tr>
      <w:tr>
        <w:trPr>
          <w:trHeight w:val="230"/>
        </w:trPr>
        <w:tc>
          <w:tcPr>
            <w:tcW w:w="3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(1,095,485)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(1,095,485)</w:t>
            </w:r>
          </w:p>
        </w:tc>
      </w:tr>
      <w:tr>
        <w:trPr>
          <w:trHeight w:val="223"/>
        </w:trPr>
        <w:tc>
          <w:tcPr>
            <w:tcW w:w="390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Ending balance - December 31, 2024</w:t>
            </w:r>
          </w:p>
        </w:tc>
        <w:tc>
          <w:tcPr>
            <w:tcW w:w="82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732,494</w:t>
            </w:r>
          </w:p>
        </w:tc>
        <w:tc>
          <w:tcPr>
            <w:tcW w:w="22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180" w:type="dxa"/>
            <w:vAlign w:val="bottom"/>
            <w:tcBorders>
              <w:top w:val="single" w:sz="8" w:color="auto"/>
              <w:bottom w:val="single" w:sz="8" w:color="auto"/>
            </w:tcBorders>
            <w:shd w:val="clear" w:color="auto" w:fill="DEDED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850,550</w:t>
            </w: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302,346</w:t>
            </w: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300" w:type="dxa"/>
            <w:vAlign w:val="bottom"/>
            <w:tcBorders>
              <w:top w:val="single" w:sz="8" w:color="auto"/>
              <w:bottom w:val="single" w:sz="8" w:color="auto"/>
            </w:tcBorders>
            <w:shd w:val="clear" w:color="auto" w:fill="DEDED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1,885,390</w:t>
            </w: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37" name="Shape 1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37" o:spid="_x0000_s11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(1)  Included in other expenses on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41</w:t>
      </w:r>
    </w:p>
    <w:p>
      <w:pPr>
        <w:sectPr>
          <w:pgSz w:w="12240" w:h="15840" w:orient="portrait"/>
          <w:cols w:equalWidth="0" w:num="1">
            <w:col w:w="11242"/>
          </w:cols>
          <w:pgMar w:left="498" w:top="687" w:right="500" w:bottom="0" w:gutter="0" w:footer="0" w:header="0"/>
        </w:sectPr>
      </w:pPr>
    </w:p>
    <w:bookmarkStart w:id="69" w:name="page70"/>
    <w:bookmarkEnd w:id="69"/>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presents the aging of mortgage loans held for investment by loan type.</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5"/>
        </w:trPr>
        <w:tc>
          <w:tcPr>
            <w:tcW w:w="3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88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u w:val="single" w:color="auto"/>
                <w:color w:val="auto"/>
              </w:rPr>
              <w:t>December 31, 2025</w:t>
            </w:r>
          </w:p>
        </w:tc>
        <w:tc>
          <w:tcPr>
            <w:tcW w:w="84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120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spacing w:after="0"/>
              <w:rPr>
                <w:sz w:val="18"/>
                <w:szCs w:val="18"/>
                <w:color w:val="auto"/>
              </w:rPr>
            </w:pPr>
          </w:p>
        </w:tc>
        <w:tc>
          <w:tcPr>
            <w:tcW w:w="1180" w:type="dxa"/>
            <w:vAlign w:val="bottom"/>
            <w:tcBorders>
              <w:top w:val="single" w:sz="8" w:color="auto"/>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1180" w:type="dxa"/>
            <w:vAlign w:val="bottom"/>
            <w:tcBorders>
              <w:top w:val="single" w:sz="8" w:color="auto"/>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260" w:type="dxa"/>
            <w:vAlign w:val="bottom"/>
            <w:tcBorders>
              <w:top w:val="single" w:sz="8" w:color="auto"/>
            </w:tcBorders>
            <w:shd w:val="clear" w:color="auto" w:fill="DEDEDE"/>
          </w:tcPr>
          <w:p>
            <w:pPr>
              <w:spacing w:after="0"/>
              <w:rPr>
                <w:sz w:val="18"/>
                <w:szCs w:val="18"/>
                <w:color w:val="auto"/>
              </w:rPr>
            </w:pPr>
          </w:p>
        </w:tc>
        <w:tc>
          <w:tcPr>
            <w:tcW w:w="108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86,117</w:t>
            </w:r>
          </w:p>
        </w:tc>
        <w:tc>
          <w:tcPr>
            <w:tcW w:w="200" w:type="dxa"/>
            <w:vAlign w:val="bottom"/>
          </w:tcPr>
          <w:p>
            <w:pPr>
              <w:spacing w:after="0"/>
              <w:rPr>
                <w:sz w:val="18"/>
                <w:szCs w:val="18"/>
                <w:color w:val="auto"/>
              </w:rPr>
            </w:pPr>
          </w:p>
        </w:tc>
        <w:tc>
          <w:tcPr>
            <w:tcW w:w="3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7,302,658</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7,388,775</w:t>
            </w:r>
          </w:p>
        </w:tc>
        <w:tc>
          <w:tcPr>
            <w:tcW w:w="120" w:type="dxa"/>
            <w:vAlign w:val="bottom"/>
          </w:tcPr>
          <w:p>
            <w:pPr>
              <w:spacing w:after="0"/>
              <w:rPr>
                <w:sz w:val="18"/>
                <w:szCs w:val="18"/>
                <w:color w:val="auto"/>
              </w:rPr>
            </w:pPr>
          </w:p>
        </w:tc>
      </w:tr>
      <w:tr>
        <w:trPr>
          <w:trHeight w:val="216"/>
        </w:trPr>
        <w:tc>
          <w:tcPr>
            <w:tcW w:w="38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2,485,313</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2,485,313</w:t>
            </w:r>
          </w:p>
        </w:tc>
        <w:tc>
          <w:tcPr>
            <w:tcW w:w="120" w:type="dxa"/>
            <w:vAlign w:val="bottom"/>
            <w:shd w:val="clear" w:color="auto" w:fill="DEDEDE"/>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2,832,372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2,479,479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5,311,851</w:t>
            </w:r>
          </w:p>
        </w:tc>
        <w:tc>
          <w:tcPr>
            <w:tcW w:w="120" w:type="dxa"/>
            <w:vAlign w:val="bottom"/>
          </w:tcPr>
          <w:p>
            <w:pPr>
              <w:spacing w:after="0"/>
              <w:rPr>
                <w:sz w:val="18"/>
                <w:szCs w:val="18"/>
                <w:color w:val="auto"/>
              </w:rPr>
            </w:pPr>
          </w:p>
        </w:tc>
      </w:tr>
      <w:tr>
        <w:trPr>
          <w:trHeight w:val="230"/>
        </w:trPr>
        <w:tc>
          <w:tcPr>
            <w:tcW w:w="38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840" w:type="dxa"/>
            <w:vAlign w:val="bottom"/>
            <w:shd w:val="clear" w:color="auto" w:fill="DEDEDE"/>
          </w:tcPr>
          <w:p>
            <w:pPr>
              <w:spacing w:after="0"/>
              <w:rPr>
                <w:sz w:val="19"/>
                <w:szCs w:val="19"/>
                <w:color w:val="auto"/>
              </w:rPr>
            </w:pPr>
          </w:p>
        </w:tc>
        <w:tc>
          <w:tcPr>
            <w:tcW w:w="16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588,013</w:t>
            </w:r>
          </w:p>
        </w:tc>
        <w:tc>
          <w:tcPr>
            <w:tcW w:w="2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80" w:type="dxa"/>
            <w:vAlign w:val="bottom"/>
            <w:tcBorders>
              <w:bottom w:val="single" w:sz="8" w:color="auto"/>
            </w:tcBorders>
            <w:shd w:val="clear" w:color="auto" w:fill="DEDEDE"/>
          </w:tcPr>
          <w:p>
            <w:pPr>
              <w:spacing w:after="0"/>
              <w:rPr>
                <w:sz w:val="19"/>
                <w:szCs w:val="19"/>
                <w:color w:val="auto"/>
              </w:rPr>
            </w:pP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616,430</w:t>
            </w: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60" w:type="dxa"/>
            <w:vAlign w:val="bottom"/>
            <w:tcBorders>
              <w:bottom w:val="single" w:sz="8" w:color="auto"/>
            </w:tcBorders>
            <w:shd w:val="clear" w:color="auto" w:fill="DEDEDE"/>
          </w:tcPr>
          <w:p>
            <w:pPr>
              <w:spacing w:after="0"/>
              <w:rPr>
                <w:sz w:val="19"/>
                <w:szCs w:val="19"/>
                <w:color w:val="auto"/>
              </w:rPr>
            </w:pP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260" w:type="dxa"/>
            <w:vAlign w:val="bottom"/>
            <w:tcBorders>
              <w:bottom w:val="single" w:sz="8" w:color="auto"/>
            </w:tcBorders>
            <w:shd w:val="clear" w:color="auto" w:fill="DEDEDE"/>
          </w:tcPr>
          <w:p>
            <w:pPr>
              <w:spacing w:after="0"/>
              <w:rPr>
                <w:sz w:val="19"/>
                <w:szCs w:val="19"/>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1,204,443</w:t>
            </w:r>
          </w:p>
        </w:tc>
        <w:tc>
          <w:tcPr>
            <w:tcW w:w="120" w:type="dxa"/>
            <w:vAlign w:val="bottom"/>
            <w:shd w:val="clear" w:color="auto" w:fill="DEDEDE"/>
          </w:tcPr>
          <w:p>
            <w:pPr>
              <w:spacing w:after="0"/>
              <w:rPr>
                <w:sz w:val="19"/>
                <w:szCs w:val="19"/>
                <w:color w:val="auto"/>
              </w:rPr>
            </w:pPr>
          </w:p>
        </w:tc>
      </w:tr>
      <w:tr>
        <w:trPr>
          <w:trHeight w:val="209"/>
        </w:trPr>
        <w:tc>
          <w:tcPr>
            <w:tcW w:w="3880" w:type="dxa"/>
            <w:vAlign w:val="bottom"/>
            <w:tcBorders>
              <w:bottom w:val="single" w:sz="8" w:color="DEDEDE"/>
            </w:tcBorders>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840" w:type="dxa"/>
            <w:vAlign w:val="bottom"/>
            <w:tcBorders>
              <w:bottom w:val="single" w:sz="8" w:color="DEDED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3,506,502</w:t>
            </w:r>
          </w:p>
        </w:tc>
        <w:tc>
          <w:tcPr>
            <w:tcW w:w="200" w:type="dxa"/>
            <w:vAlign w:val="bottom"/>
            <w:tcBorders>
              <w:bottom w:val="single" w:sz="8" w:color="DEDEDE"/>
            </w:tcBorders>
          </w:tcPr>
          <w:p>
            <w:pPr>
              <w:spacing w:after="0"/>
              <w:rPr>
                <w:sz w:val="18"/>
                <w:szCs w:val="18"/>
                <w:color w:val="auto"/>
              </w:rPr>
            </w:pPr>
          </w:p>
        </w:tc>
        <w:tc>
          <w:tcPr>
            <w:tcW w:w="160" w:type="dxa"/>
            <w:vAlign w:val="bottom"/>
            <w:tcBorders>
              <w:bottom w:val="single" w:sz="8" w:color="DEDED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12,883,880</w:t>
            </w:r>
          </w:p>
        </w:tc>
        <w:tc>
          <w:tcPr>
            <w:tcW w:w="180" w:type="dxa"/>
            <w:vAlign w:val="bottom"/>
            <w:tcBorders>
              <w:bottom w:val="single" w:sz="8" w:color="DEDEDE"/>
            </w:tcBorders>
          </w:tcPr>
          <w:p>
            <w:pPr>
              <w:spacing w:after="0"/>
              <w:rPr>
                <w:sz w:val="18"/>
                <w:szCs w:val="18"/>
                <w:color w:val="auto"/>
              </w:rPr>
            </w:pPr>
          </w:p>
        </w:tc>
        <w:tc>
          <w:tcPr>
            <w:tcW w:w="140" w:type="dxa"/>
            <w:vAlign w:val="bottom"/>
            <w:tcBorders>
              <w:bottom w:val="single" w:sz="8" w:color="DEDED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DEDEDE"/>
            </w:tcBorders>
          </w:tcPr>
          <w:p>
            <w:pPr>
              <w:spacing w:after="0"/>
              <w:rPr>
                <w:sz w:val="18"/>
                <w:szCs w:val="18"/>
                <w:color w:val="auto"/>
              </w:rPr>
            </w:pPr>
          </w:p>
        </w:tc>
        <w:tc>
          <w:tcPr>
            <w:tcW w:w="140" w:type="dxa"/>
            <w:vAlign w:val="bottom"/>
            <w:tcBorders>
              <w:bottom w:val="single" w:sz="8" w:color="DEDEDE"/>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16,390,382</w:t>
            </w:r>
          </w:p>
        </w:tc>
        <w:tc>
          <w:tcPr>
            <w:tcW w:w="120" w:type="dxa"/>
            <w:vAlign w:val="bottom"/>
            <w:tcBorders>
              <w:bottom w:val="single" w:sz="8" w:color="DEDEDE"/>
            </w:tcBorders>
          </w:tcPr>
          <w:p>
            <w:pPr>
              <w:spacing w:after="0"/>
              <w:rPr>
                <w:sz w:val="18"/>
                <w:szCs w:val="18"/>
                <w:color w:val="auto"/>
              </w:rPr>
            </w:pPr>
          </w:p>
        </w:tc>
      </w:tr>
      <w:tr>
        <w:trPr>
          <w:trHeight w:val="210"/>
        </w:trPr>
        <w:tc>
          <w:tcPr>
            <w:tcW w:w="38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840" w:type="dxa"/>
            <w:vAlign w:val="bottom"/>
            <w:shd w:val="clear" w:color="auto" w:fill="DEDEDE"/>
          </w:tcPr>
          <w:p>
            <w:pPr>
              <w:spacing w:after="0"/>
              <w:rPr>
                <w:sz w:val="18"/>
                <w:szCs w:val="18"/>
                <w:color w:val="auto"/>
              </w:rPr>
            </w:pPr>
          </w:p>
        </w:tc>
        <w:tc>
          <w:tcPr>
            <w:tcW w:w="160" w:type="dxa"/>
            <w:vAlign w:val="bottom"/>
            <w:tcBorders>
              <w:bottom w:val="single" w:sz="8" w:color="auto"/>
            </w:tcBorders>
            <w:shd w:val="clear" w:color="auto" w:fill="DEDEDE"/>
          </w:tcPr>
          <w:p>
            <w:pPr>
              <w:spacing w:after="0"/>
              <w:rPr>
                <w:sz w:val="18"/>
                <w:szCs w:val="18"/>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75,725,284</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tcBorders>
              <w:bottom w:val="single" w:sz="8" w:color="auto"/>
            </w:tcBorders>
            <w:shd w:val="clear" w:color="auto" w:fill="DEDEDE"/>
          </w:tcPr>
          <w:p>
            <w:pPr>
              <w:spacing w:after="0"/>
              <w:rPr>
                <w:sz w:val="18"/>
                <w:szCs w:val="18"/>
                <w:color w:val="auto"/>
              </w:rPr>
            </w:pP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77,760,710</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0" w:type="dxa"/>
            <w:vAlign w:val="bottom"/>
            <w:tcBorders>
              <w:bottom w:val="single" w:sz="8" w:color="auto"/>
            </w:tcBorders>
            <w:shd w:val="clear" w:color="auto" w:fill="DEDEDE"/>
          </w:tcPr>
          <w:p>
            <w:pPr>
              <w:spacing w:after="0"/>
              <w:rPr>
                <w:sz w:val="18"/>
                <w:szCs w:val="18"/>
                <w:color w:val="auto"/>
              </w:rPr>
            </w:pP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157,398,705</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260" w:type="dxa"/>
            <w:vAlign w:val="bottom"/>
            <w:tcBorders>
              <w:bottom w:val="single" w:sz="8" w:color="auto"/>
            </w:tcBorders>
            <w:shd w:val="clear" w:color="auto" w:fill="DEDEDE"/>
          </w:tcPr>
          <w:p>
            <w:pPr>
              <w:spacing w:after="0"/>
              <w:rPr>
                <w:sz w:val="18"/>
                <w:szCs w:val="18"/>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310,884,699</w:t>
            </w:r>
          </w:p>
        </w:tc>
        <w:tc>
          <w:tcPr>
            <w:tcW w:w="120" w:type="dxa"/>
            <w:vAlign w:val="bottom"/>
            <w:shd w:val="clear" w:color="auto" w:fill="DEDEDE"/>
          </w:tcPr>
          <w:p>
            <w:pPr>
              <w:spacing w:after="0"/>
              <w:rPr>
                <w:sz w:val="18"/>
                <w:szCs w:val="18"/>
                <w:color w:val="auto"/>
              </w:rPr>
            </w:pPr>
          </w:p>
        </w:tc>
      </w:tr>
      <w:tr>
        <w:trPr>
          <w:trHeight w:val="209"/>
        </w:trPr>
        <w:tc>
          <w:tcPr>
            <w:tcW w:w="3880" w:type="dxa"/>
            <w:vAlign w:val="bottom"/>
            <w:tcBorders>
              <w:bottom w:val="single" w:sz="8" w:color="DEDEDE"/>
            </w:tcBorders>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840" w:type="dxa"/>
            <w:vAlign w:val="bottom"/>
            <w:tcBorders>
              <w:bottom w:val="single" w:sz="8" w:color="DEDED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79,231,786</w:t>
            </w:r>
          </w:p>
        </w:tc>
        <w:tc>
          <w:tcPr>
            <w:tcW w:w="200" w:type="dxa"/>
            <w:vAlign w:val="bottom"/>
            <w:tcBorders>
              <w:bottom w:val="single" w:sz="8" w:color="DEDEDE"/>
            </w:tcBorders>
          </w:tcPr>
          <w:p>
            <w:pPr>
              <w:spacing w:after="0"/>
              <w:rPr>
                <w:sz w:val="18"/>
                <w:szCs w:val="18"/>
                <w:color w:val="auto"/>
              </w:rPr>
            </w:pPr>
          </w:p>
        </w:tc>
        <w:tc>
          <w:tcPr>
            <w:tcW w:w="160" w:type="dxa"/>
            <w:vAlign w:val="bottom"/>
            <w:tcBorders>
              <w:bottom w:val="single" w:sz="8" w:color="DEDED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90,644,590</w:t>
            </w:r>
          </w:p>
        </w:tc>
        <w:tc>
          <w:tcPr>
            <w:tcW w:w="180" w:type="dxa"/>
            <w:vAlign w:val="bottom"/>
            <w:tcBorders>
              <w:bottom w:val="single" w:sz="8" w:color="DEDEDE"/>
            </w:tcBorders>
          </w:tcPr>
          <w:p>
            <w:pPr>
              <w:spacing w:after="0"/>
              <w:rPr>
                <w:sz w:val="18"/>
                <w:szCs w:val="18"/>
                <w:color w:val="auto"/>
              </w:rPr>
            </w:pPr>
          </w:p>
        </w:tc>
        <w:tc>
          <w:tcPr>
            <w:tcW w:w="140" w:type="dxa"/>
            <w:vAlign w:val="bottom"/>
            <w:tcBorders>
              <w:bottom w:val="single" w:sz="8" w:color="DEDED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157,398,705</w:t>
            </w:r>
          </w:p>
        </w:tc>
        <w:tc>
          <w:tcPr>
            <w:tcW w:w="180" w:type="dxa"/>
            <w:vAlign w:val="bottom"/>
            <w:tcBorders>
              <w:bottom w:val="single" w:sz="8" w:color="DEDEDE"/>
            </w:tcBorders>
          </w:tcPr>
          <w:p>
            <w:pPr>
              <w:spacing w:after="0"/>
              <w:rPr>
                <w:sz w:val="18"/>
                <w:szCs w:val="18"/>
                <w:color w:val="auto"/>
              </w:rPr>
            </w:pPr>
          </w:p>
        </w:tc>
        <w:tc>
          <w:tcPr>
            <w:tcW w:w="140" w:type="dxa"/>
            <w:vAlign w:val="bottom"/>
            <w:tcBorders>
              <w:bottom w:val="single" w:sz="8" w:color="DEDEDE"/>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327,275,081</w:t>
            </w:r>
          </w:p>
        </w:tc>
        <w:tc>
          <w:tcPr>
            <w:tcW w:w="120" w:type="dxa"/>
            <w:vAlign w:val="bottom"/>
            <w:tcBorders>
              <w:bottom w:val="single" w:sz="8" w:color="DEDEDE"/>
            </w:tcBorders>
          </w:tcPr>
          <w:p>
            <w:pPr>
              <w:spacing w:after="0"/>
              <w:rPr>
                <w:sz w:val="18"/>
                <w:szCs w:val="18"/>
                <w:color w:val="auto"/>
              </w:rPr>
            </w:pPr>
          </w:p>
        </w:tc>
      </w:tr>
      <w:tr>
        <w:trPr>
          <w:trHeight w:val="209"/>
        </w:trPr>
        <w:tc>
          <w:tcPr>
            <w:tcW w:w="38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(1,368,121)</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(904,738)</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(316,059)</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(2,588,918)</w:t>
            </w:r>
          </w:p>
        </w:tc>
        <w:tc>
          <w:tcPr>
            <w:tcW w:w="120" w:type="dxa"/>
            <w:vAlign w:val="bottom"/>
            <w:shd w:val="clear" w:color="auto" w:fill="DEDEDE"/>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(374,372)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(1,283,049)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(338,374)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(1,995,795)</w:t>
            </w:r>
          </w:p>
        </w:tc>
      </w:tr>
      <w:tr>
        <w:trPr>
          <w:trHeight w:val="229"/>
        </w:trPr>
        <w:tc>
          <w:tcPr>
            <w:tcW w:w="38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84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40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(146,534)</w:t>
            </w:r>
          </w:p>
        </w:tc>
        <w:tc>
          <w:tcPr>
            <w:tcW w:w="16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36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(108,449)</w:t>
            </w:r>
          </w:p>
        </w:tc>
        <w:tc>
          <w:tcPr>
            <w:tcW w:w="14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260" w:type="dxa"/>
            <w:vAlign w:val="bottom"/>
            <w:shd w:val="clear" w:color="auto" w:fill="DEDEDE"/>
          </w:tcPr>
          <w:p>
            <w:pPr>
              <w:spacing w:after="0"/>
              <w:rPr>
                <w:sz w:val="19"/>
                <w:szCs w:val="19"/>
                <w:color w:val="auto"/>
              </w:rPr>
            </w:pPr>
          </w:p>
        </w:tc>
        <w:tc>
          <w:tcPr>
            <w:tcW w:w="120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(254,983)</w:t>
            </w:r>
          </w:p>
        </w:tc>
      </w:tr>
      <w:tr>
        <w:trPr>
          <w:trHeight w:val="263"/>
        </w:trPr>
        <w:tc>
          <w:tcPr>
            <w:tcW w:w="3880" w:type="dxa"/>
            <w:vAlign w:val="bottom"/>
            <w:tcBorders>
              <w:bottom w:val="single" w:sz="8" w:color="DEDEDE"/>
            </w:tcBorders>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840" w:type="dxa"/>
            <w:vAlign w:val="bottom"/>
            <w:tcBorders>
              <w:bottom w:val="single" w:sz="8" w:color="DEDED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77,342,759</w:t>
            </w:r>
          </w:p>
        </w:tc>
        <w:tc>
          <w:tcPr>
            <w:tcW w:w="200" w:type="dxa"/>
            <w:vAlign w:val="bottom"/>
            <w:tcBorders>
              <w:bottom w:val="single" w:sz="8" w:color="DEDEDE"/>
            </w:tcBorders>
          </w:tcPr>
          <w:p>
            <w:pPr>
              <w:spacing w:after="0"/>
              <w:rPr>
                <w:sz w:val="22"/>
                <w:szCs w:val="22"/>
                <w:color w:val="auto"/>
              </w:rPr>
            </w:pPr>
          </w:p>
        </w:tc>
        <w:tc>
          <w:tcPr>
            <w:tcW w:w="160" w:type="dxa"/>
            <w:vAlign w:val="bottom"/>
            <w:tcBorders>
              <w:bottom w:val="single" w:sz="8" w:color="DEDEDE"/>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88,348,354</w:t>
            </w:r>
          </w:p>
        </w:tc>
        <w:tc>
          <w:tcPr>
            <w:tcW w:w="180" w:type="dxa"/>
            <w:vAlign w:val="bottom"/>
            <w:tcBorders>
              <w:bottom w:val="single" w:sz="8" w:color="DEDEDE"/>
            </w:tcBorders>
          </w:tcPr>
          <w:p>
            <w:pPr>
              <w:spacing w:after="0"/>
              <w:rPr>
                <w:sz w:val="22"/>
                <w:szCs w:val="22"/>
                <w:color w:val="auto"/>
              </w:rPr>
            </w:pPr>
          </w:p>
        </w:tc>
        <w:tc>
          <w:tcPr>
            <w:tcW w:w="140" w:type="dxa"/>
            <w:vAlign w:val="bottom"/>
            <w:tcBorders>
              <w:bottom w:val="single" w:sz="8" w:color="DEDEDE"/>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156,744,272</w:t>
            </w:r>
          </w:p>
        </w:tc>
        <w:tc>
          <w:tcPr>
            <w:tcW w:w="180" w:type="dxa"/>
            <w:vAlign w:val="bottom"/>
            <w:tcBorders>
              <w:bottom w:val="single" w:sz="8" w:color="DEDEDE"/>
            </w:tcBorders>
          </w:tcPr>
          <w:p>
            <w:pPr>
              <w:spacing w:after="0"/>
              <w:rPr>
                <w:sz w:val="22"/>
                <w:szCs w:val="22"/>
                <w:color w:val="auto"/>
              </w:rPr>
            </w:pPr>
          </w:p>
        </w:tc>
        <w:tc>
          <w:tcPr>
            <w:tcW w:w="140" w:type="dxa"/>
            <w:vAlign w:val="bottom"/>
            <w:tcBorders>
              <w:bottom w:val="single" w:sz="8" w:color="DEDEDE"/>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322,435,385</w:t>
            </w:r>
          </w:p>
        </w:tc>
        <w:tc>
          <w:tcPr>
            <w:tcW w:w="120" w:type="dxa"/>
            <w:vAlign w:val="bottom"/>
            <w:tcBorders>
              <w:bottom w:val="single" w:sz="8" w:color="DEDEDE"/>
            </w:tcBorders>
          </w:tcPr>
          <w:p>
            <w:pPr>
              <w:spacing w:after="0"/>
              <w:rPr>
                <w:sz w:val="22"/>
                <w:szCs w:val="22"/>
                <w:color w:val="auto"/>
              </w:rPr>
            </w:pPr>
          </w:p>
        </w:tc>
      </w:tr>
      <w:tr>
        <w:trPr>
          <w:trHeight w:val="197"/>
        </w:trPr>
        <w:tc>
          <w:tcPr>
            <w:tcW w:w="3880" w:type="dxa"/>
            <w:vAlign w:val="bottom"/>
            <w:shd w:val="clear" w:color="auto" w:fill="DEDEDE"/>
          </w:tcPr>
          <w:p>
            <w:pPr>
              <w:spacing w:after="0"/>
              <w:rPr>
                <w:sz w:val="17"/>
                <w:szCs w:val="17"/>
                <w:color w:val="auto"/>
              </w:rPr>
            </w:pPr>
          </w:p>
        </w:tc>
        <w:tc>
          <w:tcPr>
            <w:tcW w:w="84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1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260" w:type="dxa"/>
            <w:vAlign w:val="bottom"/>
            <w:shd w:val="clear" w:color="auto" w:fill="DEDEDE"/>
          </w:tcPr>
          <w:p>
            <w:pPr>
              <w:spacing w:after="0"/>
              <w:rPr>
                <w:sz w:val="17"/>
                <w:szCs w:val="17"/>
                <w:color w:val="auto"/>
              </w:rPr>
            </w:pPr>
          </w:p>
        </w:tc>
        <w:tc>
          <w:tcPr>
            <w:tcW w:w="10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r>
      <w:tr>
        <w:trPr>
          <w:trHeight w:val="216"/>
        </w:trPr>
        <w:tc>
          <w:tcPr>
            <w:tcW w:w="38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December 31, 2024</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30-59 days past due</w:t>
            </w:r>
          </w:p>
        </w:tc>
        <w:tc>
          <w:tcPr>
            <w:tcW w:w="10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00" w:type="dxa"/>
            <w:vAlign w:val="bottom"/>
            <w:shd w:val="clear" w:color="auto" w:fill="DEDEDE"/>
          </w:tcPr>
          <w:p>
            <w:pPr>
              <w:spacing w:after="0"/>
              <w:rPr>
                <w:sz w:val="18"/>
                <w:szCs w:val="18"/>
                <w:color w:val="auto"/>
              </w:rPr>
            </w:pPr>
          </w:p>
        </w:tc>
        <w:tc>
          <w:tcPr>
            <w:tcW w:w="340" w:type="dxa"/>
            <w:vAlign w:val="bottom"/>
            <w:gridSpan w:val="2"/>
            <w:shd w:val="clear" w:color="auto" w:fill="DEDEDE"/>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5,818,334</w:t>
            </w:r>
          </w:p>
        </w:tc>
        <w:tc>
          <w:tcPr>
            <w:tcW w:w="180" w:type="dxa"/>
            <w:vAlign w:val="bottom"/>
            <w:shd w:val="clear" w:color="auto" w:fill="DEDEDE"/>
          </w:tcPr>
          <w:p>
            <w:pPr>
              <w:spacing w:after="0"/>
              <w:rPr>
                <w:sz w:val="18"/>
                <w:szCs w:val="18"/>
                <w:color w:val="auto"/>
              </w:rPr>
            </w:pPr>
          </w:p>
        </w:tc>
        <w:tc>
          <w:tcPr>
            <w:tcW w:w="3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18"/>
                <w:szCs w:val="18"/>
                <w:color w:val="auto"/>
              </w:rPr>
            </w:pPr>
          </w:p>
        </w:tc>
        <w:tc>
          <w:tcPr>
            <w:tcW w:w="400" w:type="dxa"/>
            <w:vAlign w:val="bottom"/>
            <w:gridSpan w:val="2"/>
            <w:shd w:val="clear" w:color="auto" w:fill="DEDEDE"/>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7,918,334</w:t>
            </w:r>
          </w:p>
        </w:tc>
        <w:tc>
          <w:tcPr>
            <w:tcW w:w="120" w:type="dxa"/>
            <w:vAlign w:val="bottom"/>
            <w:shd w:val="clear" w:color="auto" w:fill="DEDEDE"/>
          </w:tcPr>
          <w:p>
            <w:pPr>
              <w:spacing w:after="0"/>
              <w:rPr>
                <w:sz w:val="18"/>
                <w:szCs w:val="18"/>
                <w:color w:val="auto"/>
              </w:rPr>
            </w:pPr>
          </w:p>
        </w:tc>
      </w:tr>
      <w:tr>
        <w:trPr>
          <w:trHeight w:val="216"/>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60-89 days past due</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845,980</w:t>
            </w:r>
          </w:p>
        </w:tc>
        <w:tc>
          <w:tcPr>
            <w:tcW w:w="120" w:type="dxa"/>
            <w:vAlign w:val="bottom"/>
          </w:tcPr>
          <w:p>
            <w:pPr>
              <w:spacing w:after="0"/>
              <w:rPr>
                <w:sz w:val="18"/>
                <w:szCs w:val="18"/>
                <w:color w:val="auto"/>
              </w:rPr>
            </w:pPr>
          </w:p>
        </w:tc>
      </w:tr>
      <w:tr>
        <w:trPr>
          <w:trHeight w:val="216"/>
        </w:trPr>
        <w:tc>
          <w:tcPr>
            <w:tcW w:w="38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Over 90 days past due (1)</w:t>
            </w: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4,205,000</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3,061,450</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7,266,450</w:t>
            </w:r>
          </w:p>
        </w:tc>
        <w:tc>
          <w:tcPr>
            <w:tcW w:w="120" w:type="dxa"/>
            <w:vAlign w:val="bottom"/>
            <w:shd w:val="clear" w:color="auto" w:fill="DEDEDE"/>
          </w:tcPr>
          <w:p>
            <w:pPr>
              <w:spacing w:after="0"/>
              <w:rPr>
                <w:sz w:val="18"/>
                <w:szCs w:val="18"/>
                <w:color w:val="auto"/>
              </w:rPr>
            </w:pPr>
          </w:p>
        </w:tc>
      </w:tr>
      <w:tr>
        <w:trPr>
          <w:trHeight w:val="230"/>
        </w:trPr>
        <w:tc>
          <w:tcPr>
            <w:tcW w:w="3880" w:type="dxa"/>
            <w:vAlign w:val="bottom"/>
            <w:tcBorders>
              <w:bottom w:val="single" w:sz="8" w:color="DEDEDE"/>
            </w:tcBorders>
          </w:tcPr>
          <w:p>
            <w:pPr>
              <w:ind w:left="180"/>
              <w:spacing w:after="0"/>
              <w:rPr>
                <w:sz w:val="20"/>
                <w:szCs w:val="20"/>
                <w:color w:val="auto"/>
              </w:rPr>
            </w:pPr>
            <w:r>
              <w:rPr>
                <w:rFonts w:ascii="Times New Roman" w:cs="Times New Roman" w:eastAsia="Times New Roman" w:hAnsi="Times New Roman"/>
                <w:sz w:val="18"/>
                <w:szCs w:val="18"/>
                <w:color w:val="auto"/>
              </w:rPr>
              <w:t>In process of foreclosure (1)</w:t>
            </w:r>
          </w:p>
        </w:tc>
        <w:tc>
          <w:tcPr>
            <w:tcW w:w="840" w:type="dxa"/>
            <w:vAlign w:val="bottom"/>
            <w:tcBorders>
              <w:bottom w:val="single" w:sz="8" w:color="DEDED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191,508</w:t>
            </w:r>
          </w:p>
        </w:tc>
        <w:tc>
          <w:tcPr>
            <w:tcW w:w="200" w:type="dxa"/>
            <w:vAlign w:val="bottom"/>
            <w:tcBorders>
              <w:bottom w:val="single" w:sz="8" w:color="DEDEDE"/>
            </w:tcBorders>
          </w:tcPr>
          <w:p>
            <w:pPr>
              <w:spacing w:after="0"/>
              <w:rPr>
                <w:sz w:val="19"/>
                <w:szCs w:val="19"/>
                <w:color w:val="auto"/>
              </w:rPr>
            </w:pPr>
          </w:p>
        </w:tc>
        <w:tc>
          <w:tcPr>
            <w:tcW w:w="160" w:type="dxa"/>
            <w:vAlign w:val="bottom"/>
            <w:tcBorders>
              <w:bottom w:val="single" w:sz="8" w:color="DEDED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3,942,392</w:t>
            </w:r>
          </w:p>
        </w:tc>
        <w:tc>
          <w:tcPr>
            <w:tcW w:w="180" w:type="dxa"/>
            <w:vAlign w:val="bottom"/>
            <w:tcBorders>
              <w:bottom w:val="single" w:sz="8" w:color="DEDEDE"/>
            </w:tcBorders>
          </w:tcPr>
          <w:p>
            <w:pPr>
              <w:spacing w:after="0"/>
              <w:rPr>
                <w:sz w:val="19"/>
                <w:szCs w:val="19"/>
                <w:color w:val="auto"/>
              </w:rPr>
            </w:pPr>
          </w:p>
        </w:tc>
        <w:tc>
          <w:tcPr>
            <w:tcW w:w="140" w:type="dxa"/>
            <w:vAlign w:val="bottom"/>
            <w:tcBorders>
              <w:bottom w:val="single" w:sz="8" w:color="DEDED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DEDEDE"/>
            </w:tcBorders>
          </w:tcPr>
          <w:p>
            <w:pPr>
              <w:spacing w:after="0"/>
              <w:rPr>
                <w:sz w:val="19"/>
                <w:szCs w:val="19"/>
                <w:color w:val="auto"/>
              </w:rPr>
            </w:pPr>
          </w:p>
        </w:tc>
        <w:tc>
          <w:tcPr>
            <w:tcW w:w="140" w:type="dxa"/>
            <w:vAlign w:val="bottom"/>
            <w:tcBorders>
              <w:bottom w:val="single" w:sz="8" w:color="DEDED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4,133,900</w:t>
            </w:r>
          </w:p>
        </w:tc>
        <w:tc>
          <w:tcPr>
            <w:tcW w:w="120" w:type="dxa"/>
            <w:vAlign w:val="bottom"/>
            <w:tcBorders>
              <w:bottom w:val="single" w:sz="8" w:color="DEDEDE"/>
            </w:tcBorders>
          </w:tcPr>
          <w:p>
            <w:pPr>
              <w:spacing w:after="0"/>
              <w:rPr>
                <w:sz w:val="19"/>
                <w:szCs w:val="19"/>
                <w:color w:val="auto"/>
              </w:rPr>
            </w:pPr>
          </w:p>
        </w:tc>
      </w:tr>
      <w:tr>
        <w:trPr>
          <w:trHeight w:val="210"/>
        </w:trPr>
        <w:tc>
          <w:tcPr>
            <w:tcW w:w="38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Total past due</w:t>
            </w:r>
          </w:p>
        </w:tc>
        <w:tc>
          <w:tcPr>
            <w:tcW w:w="840" w:type="dxa"/>
            <w:vAlign w:val="bottom"/>
            <w:shd w:val="clear" w:color="auto" w:fill="DEDEDE"/>
          </w:tcPr>
          <w:p>
            <w:pPr>
              <w:spacing w:after="0"/>
              <w:rPr>
                <w:sz w:val="18"/>
                <w:szCs w:val="18"/>
                <w:color w:val="auto"/>
              </w:rPr>
            </w:pPr>
          </w:p>
        </w:tc>
        <w:tc>
          <w:tcPr>
            <w:tcW w:w="160" w:type="dxa"/>
            <w:vAlign w:val="bottom"/>
            <w:tcBorders>
              <w:bottom w:val="single" w:sz="8" w:color="auto"/>
            </w:tcBorders>
            <w:shd w:val="clear" w:color="auto" w:fill="DEDEDE"/>
          </w:tcPr>
          <w:p>
            <w:pPr>
              <w:spacing w:after="0"/>
              <w:rPr>
                <w:sz w:val="18"/>
                <w:szCs w:val="18"/>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6,496,508</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tcBorders>
              <w:bottom w:val="single" w:sz="8" w:color="auto"/>
            </w:tcBorders>
            <w:shd w:val="clear" w:color="auto" w:fill="DEDEDE"/>
          </w:tcPr>
          <w:p>
            <w:pPr>
              <w:spacing w:after="0"/>
              <w:rPr>
                <w:sz w:val="18"/>
                <w:szCs w:val="18"/>
                <w:color w:val="auto"/>
              </w:rPr>
            </w:pP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13,668,156</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0" w:type="dxa"/>
            <w:vAlign w:val="bottom"/>
            <w:tcBorders>
              <w:bottom w:val="single" w:sz="8" w:color="auto"/>
            </w:tcBorders>
            <w:shd w:val="clear" w:color="auto" w:fill="DEDEDE"/>
          </w:tcPr>
          <w:p>
            <w:pPr>
              <w:spacing w:after="0"/>
              <w:rPr>
                <w:sz w:val="18"/>
                <w:szCs w:val="18"/>
                <w:color w:val="auto"/>
              </w:rPr>
            </w:pP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260" w:type="dxa"/>
            <w:vAlign w:val="bottom"/>
            <w:tcBorders>
              <w:bottom w:val="single" w:sz="8" w:color="auto"/>
            </w:tcBorders>
            <w:shd w:val="clear" w:color="auto" w:fill="DEDEDE"/>
          </w:tcPr>
          <w:p>
            <w:pPr>
              <w:spacing w:after="0"/>
              <w:rPr>
                <w:sz w:val="18"/>
                <w:szCs w:val="18"/>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20,164,664</w:t>
            </w:r>
          </w:p>
        </w:tc>
        <w:tc>
          <w:tcPr>
            <w:tcW w:w="120" w:type="dxa"/>
            <w:vAlign w:val="bottom"/>
            <w:shd w:val="clear" w:color="auto" w:fill="DEDEDE"/>
          </w:tcPr>
          <w:p>
            <w:pPr>
              <w:spacing w:after="0"/>
              <w:rPr>
                <w:sz w:val="18"/>
                <w:szCs w:val="18"/>
                <w:color w:val="auto"/>
              </w:rPr>
            </w:pPr>
          </w:p>
        </w:tc>
      </w:tr>
      <w:tr>
        <w:trPr>
          <w:trHeight w:val="210"/>
        </w:trPr>
        <w:tc>
          <w:tcPr>
            <w:tcW w:w="3880" w:type="dxa"/>
            <w:vAlign w:val="bottom"/>
            <w:tcBorders>
              <w:bottom w:val="single" w:sz="8" w:color="DEDEDE"/>
            </w:tcBorders>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840" w:type="dxa"/>
            <w:vAlign w:val="bottom"/>
            <w:tcBorders>
              <w:bottom w:val="single" w:sz="8" w:color="DEDED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56,256,577</w:t>
            </w:r>
          </w:p>
        </w:tc>
        <w:tc>
          <w:tcPr>
            <w:tcW w:w="200" w:type="dxa"/>
            <w:vAlign w:val="bottom"/>
            <w:tcBorders>
              <w:bottom w:val="single" w:sz="8" w:color="DEDEDE"/>
            </w:tcBorders>
          </w:tcPr>
          <w:p>
            <w:pPr>
              <w:spacing w:after="0"/>
              <w:rPr>
                <w:sz w:val="18"/>
                <w:szCs w:val="18"/>
                <w:color w:val="auto"/>
              </w:rPr>
            </w:pPr>
          </w:p>
        </w:tc>
        <w:tc>
          <w:tcPr>
            <w:tcW w:w="160" w:type="dxa"/>
            <w:vAlign w:val="bottom"/>
            <w:tcBorders>
              <w:bottom w:val="single" w:sz="8" w:color="DEDED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78,393,631</w:t>
            </w:r>
          </w:p>
        </w:tc>
        <w:tc>
          <w:tcPr>
            <w:tcW w:w="180" w:type="dxa"/>
            <w:vAlign w:val="bottom"/>
            <w:tcBorders>
              <w:bottom w:val="single" w:sz="8" w:color="DEDEDE"/>
            </w:tcBorders>
          </w:tcPr>
          <w:p>
            <w:pPr>
              <w:spacing w:after="0"/>
              <w:rPr>
                <w:sz w:val="18"/>
                <w:szCs w:val="18"/>
                <w:color w:val="auto"/>
              </w:rPr>
            </w:pPr>
          </w:p>
        </w:tc>
        <w:tc>
          <w:tcPr>
            <w:tcW w:w="140" w:type="dxa"/>
            <w:vAlign w:val="bottom"/>
            <w:tcBorders>
              <w:bottom w:val="single" w:sz="8" w:color="DEDED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151,172,733</w:t>
            </w:r>
          </w:p>
        </w:tc>
        <w:tc>
          <w:tcPr>
            <w:tcW w:w="180" w:type="dxa"/>
            <w:vAlign w:val="bottom"/>
            <w:tcBorders>
              <w:bottom w:val="single" w:sz="8" w:color="DEDEDE"/>
            </w:tcBorders>
          </w:tcPr>
          <w:p>
            <w:pPr>
              <w:spacing w:after="0"/>
              <w:rPr>
                <w:sz w:val="18"/>
                <w:szCs w:val="18"/>
                <w:color w:val="auto"/>
              </w:rPr>
            </w:pPr>
          </w:p>
        </w:tc>
        <w:tc>
          <w:tcPr>
            <w:tcW w:w="140" w:type="dxa"/>
            <w:vAlign w:val="bottom"/>
            <w:tcBorders>
              <w:bottom w:val="single" w:sz="8" w:color="DEDEDE"/>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285,822,941</w:t>
            </w:r>
          </w:p>
        </w:tc>
        <w:tc>
          <w:tcPr>
            <w:tcW w:w="120" w:type="dxa"/>
            <w:vAlign w:val="bottom"/>
            <w:tcBorders>
              <w:bottom w:val="single" w:sz="8" w:color="DEDEDE"/>
            </w:tcBorders>
          </w:tcPr>
          <w:p>
            <w:pPr>
              <w:spacing w:after="0"/>
              <w:rPr>
                <w:sz w:val="18"/>
                <w:szCs w:val="18"/>
                <w:color w:val="auto"/>
              </w:rPr>
            </w:pPr>
          </w:p>
        </w:tc>
      </w:tr>
      <w:tr>
        <w:trPr>
          <w:trHeight w:val="210"/>
        </w:trPr>
        <w:tc>
          <w:tcPr>
            <w:tcW w:w="38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Total mortgage loans</w:t>
            </w:r>
          </w:p>
        </w:tc>
        <w:tc>
          <w:tcPr>
            <w:tcW w:w="840" w:type="dxa"/>
            <w:vAlign w:val="bottom"/>
            <w:shd w:val="clear" w:color="auto" w:fill="DEDEDE"/>
          </w:tcPr>
          <w:p>
            <w:pPr>
              <w:spacing w:after="0"/>
              <w:rPr>
                <w:sz w:val="18"/>
                <w:szCs w:val="18"/>
                <w:color w:val="auto"/>
              </w:rPr>
            </w:pPr>
          </w:p>
        </w:tc>
        <w:tc>
          <w:tcPr>
            <w:tcW w:w="160" w:type="dxa"/>
            <w:vAlign w:val="bottom"/>
            <w:tcBorders>
              <w:bottom w:val="single" w:sz="8" w:color="auto"/>
            </w:tcBorders>
            <w:shd w:val="clear" w:color="auto" w:fill="DEDEDE"/>
          </w:tcPr>
          <w:p>
            <w:pPr>
              <w:spacing w:after="0"/>
              <w:rPr>
                <w:sz w:val="18"/>
                <w:szCs w:val="18"/>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62,753,085</w:t>
            </w: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tcBorders>
              <w:bottom w:val="single" w:sz="8" w:color="auto"/>
            </w:tcBorders>
            <w:shd w:val="clear" w:color="auto" w:fill="DEDEDE"/>
          </w:tcPr>
          <w:p>
            <w:pPr>
              <w:spacing w:after="0"/>
              <w:rPr>
                <w:sz w:val="18"/>
                <w:szCs w:val="18"/>
                <w:color w:val="auto"/>
              </w:rPr>
            </w:pP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92,061,787</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0" w:type="dxa"/>
            <w:vAlign w:val="bottom"/>
            <w:tcBorders>
              <w:bottom w:val="single" w:sz="8" w:color="auto"/>
            </w:tcBorders>
            <w:shd w:val="clear" w:color="auto" w:fill="DEDEDE"/>
          </w:tcPr>
          <w:p>
            <w:pPr>
              <w:spacing w:after="0"/>
              <w:rPr>
                <w:sz w:val="18"/>
                <w:szCs w:val="18"/>
                <w:color w:val="auto"/>
              </w:rPr>
            </w:pPr>
          </w:p>
        </w:tc>
        <w:tc>
          <w:tcPr>
            <w:tcW w:w="11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151,172,733</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260" w:type="dxa"/>
            <w:vAlign w:val="bottom"/>
            <w:tcBorders>
              <w:bottom w:val="single" w:sz="8" w:color="auto"/>
            </w:tcBorders>
            <w:shd w:val="clear" w:color="auto" w:fill="DEDEDE"/>
          </w:tcPr>
          <w:p>
            <w:pPr>
              <w:spacing w:after="0"/>
              <w:rPr>
                <w:sz w:val="18"/>
                <w:szCs w:val="18"/>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305,987,605</w:t>
            </w:r>
          </w:p>
        </w:tc>
        <w:tc>
          <w:tcPr>
            <w:tcW w:w="120" w:type="dxa"/>
            <w:vAlign w:val="bottom"/>
            <w:shd w:val="clear" w:color="auto" w:fill="DEDEDE"/>
          </w:tcPr>
          <w:p>
            <w:pPr>
              <w:spacing w:after="0"/>
              <w:rPr>
                <w:sz w:val="18"/>
                <w:szCs w:val="18"/>
                <w:color w:val="auto"/>
              </w:rPr>
            </w:pPr>
          </w:p>
        </w:tc>
      </w:tr>
      <w:tr>
        <w:trPr>
          <w:trHeight w:val="210"/>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(732,494)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(1,885,390)</w:t>
            </w:r>
          </w:p>
        </w:tc>
        <w:tc>
          <w:tcPr>
            <w:tcW w:w="120" w:type="dxa"/>
            <w:vAlign w:val="bottom"/>
          </w:tcPr>
          <w:p>
            <w:pPr>
              <w:spacing w:after="0"/>
              <w:rPr>
                <w:sz w:val="18"/>
                <w:szCs w:val="18"/>
                <w:color w:val="auto"/>
              </w:rPr>
            </w:pPr>
          </w:p>
        </w:tc>
      </w:tr>
      <w:tr>
        <w:trPr>
          <w:trHeight w:val="216"/>
        </w:trPr>
        <w:tc>
          <w:tcPr>
            <w:tcW w:w="38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Unamortized deferred loan fees, net</w:t>
            </w: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40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(115,555)</w:t>
            </w: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36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(1,307,539)</w:t>
            </w:r>
          </w:p>
        </w:tc>
        <w:tc>
          <w:tcPr>
            <w:tcW w:w="1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36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(659,147)</w:t>
            </w:r>
          </w:p>
        </w:tc>
        <w:tc>
          <w:tcPr>
            <w:tcW w:w="14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(2,082,241)</w:t>
            </w:r>
          </w:p>
        </w:tc>
      </w:tr>
      <w:tr>
        <w:trPr>
          <w:trHeight w:val="230"/>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Unamortized discounts, net</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(149,268)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(123,348)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(272,616)</w:t>
            </w:r>
          </w:p>
        </w:tc>
      </w:tr>
      <w:tr>
        <w:trPr>
          <w:trHeight w:val="223"/>
        </w:trPr>
        <w:tc>
          <w:tcPr>
            <w:tcW w:w="3880" w:type="dxa"/>
            <w:vAlign w:val="bottom"/>
            <w:tcBorders>
              <w:top w:val="single" w:sz="8" w:color="DEDEDE"/>
              <w:bottom w:val="single" w:sz="8" w:color="DEDEDE"/>
            </w:tcBorders>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Net mortgage loans held for investment</w:t>
            </w:r>
          </w:p>
        </w:tc>
        <w:tc>
          <w:tcPr>
            <w:tcW w:w="84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61,755,768</w:t>
            </w: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180" w:type="dxa"/>
            <w:vAlign w:val="bottom"/>
            <w:tcBorders>
              <w:top w:val="single" w:sz="8" w:color="auto"/>
              <w:bottom w:val="single" w:sz="8" w:color="auto"/>
            </w:tcBorders>
            <w:shd w:val="clear" w:color="auto" w:fill="DEDED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89,780,350</w:t>
            </w: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150,211,240</w:t>
            </w: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260" w:type="dxa"/>
            <w:vAlign w:val="bottom"/>
            <w:tcBorders>
              <w:top w:val="single" w:sz="8" w:color="auto"/>
              <w:bottom w:val="single" w:sz="8" w:color="auto"/>
            </w:tcBorders>
            <w:shd w:val="clear" w:color="auto" w:fill="DEDED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301,747,358</w:t>
            </w: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38" name="Shape 1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38" o:spid="_x0000_s11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(1)  Interest income is not recognized on loans which are more than 90 days past due or in foreclosure.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42</w:t>
      </w:r>
    </w:p>
    <w:p>
      <w:pPr>
        <w:sectPr>
          <w:pgSz w:w="12240" w:h="15840" w:orient="portrait"/>
          <w:cols w:equalWidth="0" w:num="1">
            <w:col w:w="11242"/>
          </w:cols>
          <w:pgMar w:left="498" w:top="687" w:right="500" w:bottom="0" w:gutter="0" w:footer="0" w:header="0"/>
        </w:sectPr>
      </w:pPr>
    </w:p>
    <w:bookmarkStart w:id="70" w:name="page71"/>
    <w:bookmarkEnd w:id="70"/>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4" w:lineRule="exact"/>
        <w:rPr>
          <w:rFonts w:ascii="Times New Roman" w:cs="Times New Roman" w:eastAsia="Times New Roman" w:hAnsi="Times New Roman"/>
          <w:sz w:val="18"/>
          <w:szCs w:val="18"/>
          <w:color w:val="auto"/>
        </w:rPr>
      </w:pPr>
    </w:p>
    <w:p>
      <w:pPr>
        <w:ind w:left="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Quality Indicators</w:t>
      </w:r>
    </w:p>
    <w:p>
      <w:pPr>
        <w:spacing w:after="0" w:line="225" w:lineRule="exact"/>
        <w:rPr>
          <w:sz w:val="20"/>
          <w:szCs w:val="20"/>
          <w:color w:val="auto"/>
        </w:rPr>
      </w:pPr>
    </w:p>
    <w:p>
      <w:pPr>
        <w:ind w:left="2" w:right="20"/>
        <w:spacing w:after="0" w:line="283"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commercial loans by analyzing LTV and DSCR. Monitoring a commercial mortgage loan increases when the loan is delinquent or earlier if there is an indication of impairment.</w:t>
      </w:r>
    </w:p>
    <w:p>
      <w:pPr>
        <w:spacing w:after="0" w:line="160" w:lineRule="exact"/>
        <w:rPr>
          <w:sz w:val="20"/>
          <w:szCs w:val="20"/>
          <w:color w:val="auto"/>
        </w:rPr>
      </w:pPr>
    </w:p>
    <w:p>
      <w:pPr>
        <w:ind w:left="2" w:right="20"/>
        <w:spacing w:after="0" w:line="283" w:lineRule="auto"/>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December 31, 2025:</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30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Prior</w:t>
            </w:r>
          </w:p>
        </w:tc>
        <w:tc>
          <w:tcPr>
            <w:tcW w:w="260" w:type="dxa"/>
            <w:vAlign w:val="bottom"/>
          </w:tcPr>
          <w:p>
            <w:pPr>
              <w:spacing w:after="0"/>
              <w:rPr>
                <w:sz w:val="20"/>
                <w:szCs w:val="20"/>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300" w:type="dxa"/>
            <w:vAlign w:val="bottom"/>
            <w:tcBorders>
              <w:top w:val="single" w:sz="8" w:color="auto"/>
            </w:tcBorders>
            <w:gridSpan w:val="3"/>
            <w:shd w:val="clear" w:color="auto" w:fill="DEDEDE"/>
          </w:tcPr>
          <w:p>
            <w:pPr>
              <w:spacing w:after="0" w:line="170" w:lineRule="exact"/>
              <w:rPr>
                <w:sz w:val="20"/>
                <w:szCs w:val="20"/>
                <w:color w:val="auto"/>
              </w:rPr>
            </w:pPr>
            <w:r>
              <w:rPr>
                <w:rFonts w:ascii="Times New Roman" w:cs="Times New Roman" w:eastAsia="Times New Roman" w:hAnsi="Times New Roman"/>
                <w:sz w:val="18"/>
                <w:szCs w:val="18"/>
                <w:color w:val="auto"/>
              </w:rPr>
              <w:t>LTV:</w:t>
            </w:r>
          </w:p>
        </w:tc>
        <w:tc>
          <w:tcPr>
            <w:tcW w:w="18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820" w:type="dxa"/>
            <w:vAlign w:val="bottom"/>
            <w:tcBorders>
              <w:top w:val="single" w:sz="8" w:color="auto"/>
            </w:tcBorders>
            <w:shd w:val="clear" w:color="auto" w:fill="DEDEDE"/>
          </w:tcPr>
          <w:p>
            <w:pPr>
              <w:spacing w:after="0"/>
              <w:rPr>
                <w:sz w:val="14"/>
                <w:szCs w:val="14"/>
                <w:color w:val="auto"/>
              </w:rPr>
            </w:pPr>
          </w:p>
        </w:tc>
        <w:tc>
          <w:tcPr>
            <w:tcW w:w="26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820" w:type="dxa"/>
            <w:vAlign w:val="bottom"/>
            <w:tcBorders>
              <w:top w:val="single" w:sz="8" w:color="auto"/>
            </w:tcBorders>
            <w:shd w:val="clear" w:color="auto" w:fill="DEDEDE"/>
          </w:tcPr>
          <w:p>
            <w:pPr>
              <w:spacing w:after="0"/>
              <w:rPr>
                <w:sz w:val="14"/>
                <w:szCs w:val="14"/>
                <w:color w:val="auto"/>
              </w:rPr>
            </w:pPr>
          </w:p>
        </w:tc>
        <w:tc>
          <w:tcPr>
            <w:tcW w:w="280" w:type="dxa"/>
            <w:vAlign w:val="bottom"/>
            <w:tcBorders>
              <w:top w:val="single" w:sz="8" w:color="DEDEDE"/>
            </w:tcBorders>
            <w:shd w:val="clear" w:color="auto" w:fill="DEDEDE"/>
          </w:tcPr>
          <w:p>
            <w:pPr>
              <w:spacing w:after="0"/>
              <w:rPr>
                <w:sz w:val="14"/>
                <w:szCs w:val="14"/>
                <w:color w:val="auto"/>
              </w:rPr>
            </w:pPr>
          </w:p>
        </w:tc>
        <w:tc>
          <w:tcPr>
            <w:tcW w:w="80" w:type="dxa"/>
            <w:vAlign w:val="bottom"/>
            <w:tcBorders>
              <w:top w:val="single" w:sz="8" w:color="auto"/>
            </w:tcBorders>
            <w:shd w:val="clear" w:color="auto" w:fill="DEDEDE"/>
          </w:tcPr>
          <w:p>
            <w:pPr>
              <w:spacing w:after="0"/>
              <w:rPr>
                <w:sz w:val="14"/>
                <w:szCs w:val="14"/>
                <w:color w:val="auto"/>
              </w:rPr>
            </w:pPr>
          </w:p>
        </w:tc>
        <w:tc>
          <w:tcPr>
            <w:tcW w:w="820" w:type="dxa"/>
            <w:vAlign w:val="bottom"/>
            <w:tcBorders>
              <w:top w:val="single" w:sz="8" w:color="auto"/>
            </w:tcBorders>
            <w:shd w:val="clear" w:color="auto" w:fill="DEDEDE"/>
          </w:tcPr>
          <w:p>
            <w:pPr>
              <w:spacing w:after="0"/>
              <w:rPr>
                <w:sz w:val="14"/>
                <w:szCs w:val="14"/>
                <w:color w:val="auto"/>
              </w:rPr>
            </w:pPr>
          </w:p>
        </w:tc>
        <w:tc>
          <w:tcPr>
            <w:tcW w:w="28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600" w:type="dxa"/>
            <w:vAlign w:val="bottom"/>
            <w:tcBorders>
              <w:top w:val="single" w:sz="8" w:color="auto"/>
            </w:tcBorders>
            <w:shd w:val="clear" w:color="auto" w:fill="DEDEDE"/>
          </w:tcPr>
          <w:p>
            <w:pPr>
              <w:spacing w:after="0"/>
              <w:rPr>
                <w:sz w:val="14"/>
                <w:szCs w:val="14"/>
                <w:color w:val="auto"/>
              </w:rPr>
            </w:pPr>
          </w:p>
        </w:tc>
        <w:tc>
          <w:tcPr>
            <w:tcW w:w="28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720" w:type="dxa"/>
            <w:vAlign w:val="bottom"/>
            <w:tcBorders>
              <w:top w:val="single" w:sz="8" w:color="auto"/>
            </w:tcBorders>
            <w:shd w:val="clear" w:color="auto" w:fill="DEDEDE"/>
          </w:tcPr>
          <w:p>
            <w:pPr>
              <w:spacing w:after="0"/>
              <w:rPr>
                <w:sz w:val="14"/>
                <w:szCs w:val="14"/>
                <w:color w:val="auto"/>
              </w:rPr>
            </w:pPr>
          </w:p>
        </w:tc>
        <w:tc>
          <w:tcPr>
            <w:tcW w:w="280" w:type="dxa"/>
            <w:vAlign w:val="bottom"/>
            <w:tcBorders>
              <w:top w:val="single" w:sz="8" w:color="DEDEDE"/>
            </w:tcBorders>
            <w:shd w:val="clear" w:color="auto" w:fill="DEDEDE"/>
          </w:tcPr>
          <w:p>
            <w:pPr>
              <w:spacing w:after="0"/>
              <w:rPr>
                <w:sz w:val="14"/>
                <w:szCs w:val="14"/>
                <w:color w:val="auto"/>
              </w:rPr>
            </w:pPr>
          </w:p>
        </w:tc>
        <w:tc>
          <w:tcPr>
            <w:tcW w:w="840" w:type="dxa"/>
            <w:vAlign w:val="bottom"/>
            <w:tcBorders>
              <w:top w:val="single" w:sz="8" w:color="auto"/>
            </w:tcBorders>
            <w:shd w:val="clear" w:color="auto" w:fill="DEDEDE"/>
          </w:tcPr>
          <w:p>
            <w:pPr>
              <w:spacing w:after="0"/>
              <w:rPr>
                <w:sz w:val="14"/>
                <w:szCs w:val="14"/>
                <w:color w:val="auto"/>
              </w:rPr>
            </w:pPr>
          </w:p>
        </w:tc>
        <w:tc>
          <w:tcPr>
            <w:tcW w:w="260" w:type="dxa"/>
            <w:vAlign w:val="bottom"/>
            <w:tcBorders>
              <w:top w:val="single" w:sz="8" w:color="DEDEDE"/>
            </w:tcBorders>
            <w:shd w:val="clear" w:color="auto" w:fill="DEDEDE"/>
          </w:tcPr>
          <w:p>
            <w:pPr>
              <w:spacing w:after="0"/>
              <w:rPr>
                <w:sz w:val="14"/>
                <w:szCs w:val="14"/>
                <w:color w:val="auto"/>
              </w:rPr>
            </w:pPr>
          </w:p>
        </w:tc>
        <w:tc>
          <w:tcPr>
            <w:tcW w:w="920" w:type="dxa"/>
            <w:vAlign w:val="bottom"/>
            <w:tcBorders>
              <w:top w:val="single" w:sz="8" w:color="auto"/>
            </w:tcBorders>
            <w:shd w:val="clear" w:color="auto" w:fill="DEDEDE"/>
          </w:tcPr>
          <w:p>
            <w:pPr>
              <w:spacing w:after="0"/>
              <w:rPr>
                <w:sz w:val="14"/>
                <w:szCs w:val="14"/>
                <w:color w:val="auto"/>
              </w:rPr>
            </w:pPr>
          </w:p>
        </w:tc>
        <w:tc>
          <w:tcPr>
            <w:tcW w:w="280" w:type="dxa"/>
            <w:vAlign w:val="bottom"/>
            <w:tcBorders>
              <w:top w:val="single" w:sz="8" w:color="DEDEDE"/>
            </w:tcBorders>
            <w:shd w:val="clear" w:color="auto" w:fill="DEDEDE"/>
          </w:tcPr>
          <w:p>
            <w:pPr>
              <w:spacing w:after="0"/>
              <w:rPr>
                <w:sz w:val="14"/>
                <w:szCs w:val="14"/>
                <w:color w:val="auto"/>
              </w:rPr>
            </w:pPr>
          </w:p>
        </w:tc>
        <w:tc>
          <w:tcPr>
            <w:tcW w:w="80" w:type="dxa"/>
            <w:vAlign w:val="bottom"/>
            <w:tcBorders>
              <w:top w:val="single" w:sz="8" w:color="auto"/>
            </w:tcBorders>
            <w:shd w:val="clear" w:color="auto" w:fill="DEDEDE"/>
          </w:tcPr>
          <w:p>
            <w:pPr>
              <w:spacing w:after="0"/>
              <w:rPr>
                <w:sz w:val="14"/>
                <w:szCs w:val="14"/>
                <w:color w:val="auto"/>
              </w:rPr>
            </w:pPr>
          </w:p>
        </w:tc>
        <w:tc>
          <w:tcPr>
            <w:tcW w:w="540" w:type="dxa"/>
            <w:vAlign w:val="bottom"/>
            <w:tcBorders>
              <w:top w:val="single" w:sz="8" w:color="auto"/>
            </w:tcBorders>
            <w:shd w:val="clear" w:color="auto" w:fill="DEDEDE"/>
          </w:tcPr>
          <w:p>
            <w:pPr>
              <w:spacing w:after="0"/>
              <w:rPr>
                <w:sz w:val="14"/>
                <w:szCs w:val="14"/>
                <w:color w:val="auto"/>
              </w:rPr>
            </w:pPr>
          </w:p>
        </w:tc>
        <w:tc>
          <w:tcPr>
            <w:tcW w:w="180" w:type="dxa"/>
            <w:vAlign w:val="bottom"/>
            <w:tcBorders>
              <w:top w:val="single" w:sz="8" w:color="DEDEDE"/>
            </w:tcBorders>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0" w:type="dxa"/>
            <w:vAlign w:val="bottom"/>
            <w:tcBorders>
              <w:top w:val="single" w:sz="8" w:color="auto"/>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1860" w:type="dxa"/>
            <w:vAlign w:val="bottom"/>
            <w:tcBorders>
              <w:top w:val="single" w:sz="8" w:color="DEDEDE"/>
            </w:tcBorders>
            <w:shd w:val="clear" w:color="auto" w:fill="DEDEDE"/>
          </w:tcPr>
          <w:p>
            <w:pPr>
              <w:spacing w:after="0" w:line="20" w:lineRule="exact"/>
              <w:rPr>
                <w:sz w:val="1"/>
                <w:szCs w:val="1"/>
                <w:color w:val="auto"/>
              </w:rPr>
            </w:pPr>
          </w:p>
        </w:tc>
        <w:tc>
          <w:tcPr>
            <w:tcW w:w="18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820" w:type="dxa"/>
            <w:vAlign w:val="bottom"/>
            <w:tcBorders>
              <w:top w:val="single" w:sz="8" w:color="DEDEDE"/>
            </w:tcBorders>
            <w:shd w:val="clear" w:color="auto" w:fill="DEDEDE"/>
          </w:tcPr>
          <w:p>
            <w:pPr>
              <w:spacing w:after="0" w:line="20" w:lineRule="exact"/>
              <w:rPr>
                <w:sz w:val="1"/>
                <w:szCs w:val="1"/>
                <w:color w:val="auto"/>
              </w:rPr>
            </w:pPr>
          </w:p>
        </w:tc>
        <w:tc>
          <w:tcPr>
            <w:tcW w:w="26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820" w:type="dxa"/>
            <w:vAlign w:val="bottom"/>
            <w:tcBorders>
              <w:top w:val="single" w:sz="8" w:color="DEDEDE"/>
            </w:tcBorders>
            <w:shd w:val="clear" w:color="auto" w:fill="DEDEDE"/>
          </w:tcPr>
          <w:p>
            <w:pPr>
              <w:spacing w:after="0" w:line="20" w:lineRule="exact"/>
              <w:rPr>
                <w:sz w:val="1"/>
                <w:szCs w:val="1"/>
                <w:color w:val="auto"/>
              </w:rPr>
            </w:pPr>
          </w:p>
        </w:tc>
        <w:tc>
          <w:tcPr>
            <w:tcW w:w="280" w:type="dxa"/>
            <w:vAlign w:val="bottom"/>
            <w:tcBorders>
              <w:top w:val="single" w:sz="8" w:color="DEDEDE"/>
            </w:tcBorders>
            <w:shd w:val="clear" w:color="auto" w:fill="DEDEDE"/>
          </w:tcPr>
          <w:p>
            <w:pPr>
              <w:spacing w:after="0" w:line="20" w:lineRule="exact"/>
              <w:rPr>
                <w:sz w:val="1"/>
                <w:szCs w:val="1"/>
                <w:color w:val="auto"/>
              </w:rPr>
            </w:pPr>
          </w:p>
        </w:tc>
        <w:tc>
          <w:tcPr>
            <w:tcW w:w="80" w:type="dxa"/>
            <w:vAlign w:val="bottom"/>
            <w:tcBorders>
              <w:top w:val="single" w:sz="8" w:color="DEDEDE"/>
            </w:tcBorders>
            <w:shd w:val="clear" w:color="auto" w:fill="DEDEDE"/>
          </w:tcPr>
          <w:p>
            <w:pPr>
              <w:spacing w:after="0" w:line="20" w:lineRule="exact"/>
              <w:rPr>
                <w:sz w:val="1"/>
                <w:szCs w:val="1"/>
                <w:color w:val="auto"/>
              </w:rPr>
            </w:pPr>
          </w:p>
        </w:tc>
        <w:tc>
          <w:tcPr>
            <w:tcW w:w="820" w:type="dxa"/>
            <w:vAlign w:val="bottom"/>
            <w:tcBorders>
              <w:top w:val="single" w:sz="8" w:color="DEDEDE"/>
            </w:tcBorders>
            <w:shd w:val="clear" w:color="auto" w:fill="DEDEDE"/>
          </w:tcPr>
          <w:p>
            <w:pPr>
              <w:spacing w:after="0" w:line="20" w:lineRule="exact"/>
              <w:rPr>
                <w:sz w:val="1"/>
                <w:szCs w:val="1"/>
                <w:color w:val="auto"/>
              </w:rPr>
            </w:pPr>
          </w:p>
        </w:tc>
        <w:tc>
          <w:tcPr>
            <w:tcW w:w="28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600" w:type="dxa"/>
            <w:vAlign w:val="bottom"/>
            <w:tcBorders>
              <w:top w:val="single" w:sz="8" w:color="DEDEDE"/>
            </w:tcBorders>
            <w:shd w:val="clear" w:color="auto" w:fill="DEDEDE"/>
          </w:tcPr>
          <w:p>
            <w:pPr>
              <w:spacing w:after="0" w:line="20" w:lineRule="exact"/>
              <w:rPr>
                <w:sz w:val="1"/>
                <w:szCs w:val="1"/>
                <w:color w:val="auto"/>
              </w:rPr>
            </w:pPr>
          </w:p>
        </w:tc>
        <w:tc>
          <w:tcPr>
            <w:tcW w:w="28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720" w:type="dxa"/>
            <w:vAlign w:val="bottom"/>
            <w:tcBorders>
              <w:top w:val="single" w:sz="8" w:color="DEDEDE"/>
            </w:tcBorders>
            <w:shd w:val="clear" w:color="auto" w:fill="DEDEDE"/>
          </w:tcPr>
          <w:p>
            <w:pPr>
              <w:spacing w:after="0" w:line="20" w:lineRule="exact"/>
              <w:rPr>
                <w:sz w:val="1"/>
                <w:szCs w:val="1"/>
                <w:color w:val="auto"/>
              </w:rPr>
            </w:pPr>
          </w:p>
        </w:tc>
        <w:tc>
          <w:tcPr>
            <w:tcW w:w="280" w:type="dxa"/>
            <w:vAlign w:val="bottom"/>
            <w:tcBorders>
              <w:top w:val="single" w:sz="8" w:color="DEDEDE"/>
            </w:tcBorders>
            <w:shd w:val="clear" w:color="auto" w:fill="DEDEDE"/>
          </w:tcPr>
          <w:p>
            <w:pPr>
              <w:spacing w:after="0" w:line="20" w:lineRule="exact"/>
              <w:rPr>
                <w:sz w:val="1"/>
                <w:szCs w:val="1"/>
                <w:color w:val="auto"/>
              </w:rPr>
            </w:pPr>
          </w:p>
        </w:tc>
        <w:tc>
          <w:tcPr>
            <w:tcW w:w="840" w:type="dxa"/>
            <w:vAlign w:val="bottom"/>
            <w:tcBorders>
              <w:top w:val="single" w:sz="8" w:color="DEDEDE"/>
            </w:tcBorders>
            <w:shd w:val="clear" w:color="auto" w:fill="DEDEDE"/>
          </w:tcPr>
          <w:p>
            <w:pPr>
              <w:spacing w:after="0" w:line="20" w:lineRule="exact"/>
              <w:rPr>
                <w:sz w:val="1"/>
                <w:szCs w:val="1"/>
                <w:color w:val="auto"/>
              </w:rPr>
            </w:pPr>
          </w:p>
        </w:tc>
        <w:tc>
          <w:tcPr>
            <w:tcW w:w="260" w:type="dxa"/>
            <w:vAlign w:val="bottom"/>
            <w:tcBorders>
              <w:top w:val="single" w:sz="8" w:color="DEDEDE"/>
            </w:tcBorders>
            <w:shd w:val="clear" w:color="auto" w:fill="DEDEDE"/>
          </w:tcPr>
          <w:p>
            <w:pPr>
              <w:spacing w:after="0" w:line="20" w:lineRule="exact"/>
              <w:rPr>
                <w:sz w:val="1"/>
                <w:szCs w:val="1"/>
                <w:color w:val="auto"/>
              </w:rPr>
            </w:pPr>
          </w:p>
        </w:tc>
        <w:tc>
          <w:tcPr>
            <w:tcW w:w="920" w:type="dxa"/>
            <w:vAlign w:val="bottom"/>
            <w:tcBorders>
              <w:top w:val="single" w:sz="8" w:color="DEDEDE"/>
            </w:tcBorders>
            <w:shd w:val="clear" w:color="auto" w:fill="DEDEDE"/>
          </w:tcPr>
          <w:p>
            <w:pPr>
              <w:spacing w:after="0" w:line="20" w:lineRule="exact"/>
              <w:rPr>
                <w:sz w:val="1"/>
                <w:szCs w:val="1"/>
                <w:color w:val="auto"/>
              </w:rPr>
            </w:pPr>
          </w:p>
        </w:tc>
        <w:tc>
          <w:tcPr>
            <w:tcW w:w="280" w:type="dxa"/>
            <w:vAlign w:val="bottom"/>
            <w:tcBorders>
              <w:top w:val="single" w:sz="8" w:color="DEDEDE"/>
            </w:tcBorders>
            <w:shd w:val="clear" w:color="auto" w:fill="DEDEDE"/>
          </w:tcPr>
          <w:p>
            <w:pPr>
              <w:spacing w:after="0" w:line="20" w:lineRule="exact"/>
              <w:rPr>
                <w:sz w:val="1"/>
                <w:szCs w:val="1"/>
                <w:color w:val="auto"/>
              </w:rPr>
            </w:pPr>
          </w:p>
        </w:tc>
        <w:tc>
          <w:tcPr>
            <w:tcW w:w="80" w:type="dxa"/>
            <w:vAlign w:val="bottom"/>
            <w:tcBorders>
              <w:top w:val="single" w:sz="8" w:color="DEDEDE"/>
            </w:tcBorders>
            <w:shd w:val="clear" w:color="auto" w:fill="DEDEDE"/>
          </w:tcPr>
          <w:p>
            <w:pPr>
              <w:spacing w:after="0" w:line="20" w:lineRule="exact"/>
              <w:rPr>
                <w:sz w:val="1"/>
                <w:szCs w:val="1"/>
                <w:color w:val="auto"/>
              </w:rPr>
            </w:pPr>
          </w:p>
        </w:tc>
        <w:tc>
          <w:tcPr>
            <w:tcW w:w="540" w:type="dxa"/>
            <w:vAlign w:val="bottom"/>
            <w:tcBorders>
              <w:top w:val="single" w:sz="8" w:color="DEDEDE"/>
            </w:tcBorders>
            <w:shd w:val="clear" w:color="auto" w:fill="DEDEDE"/>
          </w:tcPr>
          <w:p>
            <w:pPr>
              <w:spacing w:after="0" w:line="20" w:lineRule="exact"/>
              <w:rPr>
                <w:sz w:val="1"/>
                <w:szCs w:val="1"/>
                <w:color w:val="auto"/>
              </w:rPr>
            </w:pPr>
          </w:p>
        </w:tc>
        <w:tc>
          <w:tcPr>
            <w:tcW w:w="180" w:type="dxa"/>
            <w:vAlign w:val="bottom"/>
            <w:tcBorders>
              <w:top w:val="single" w:sz="8" w:color="DEDEDE"/>
            </w:tcBorders>
            <w:shd w:val="clear" w:color="auto" w:fill="DED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34,518,653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3,890,144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15,600,000</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462,761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810,696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$ 8,299,883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$63,582,137</w:t>
            </w:r>
          </w:p>
        </w:tc>
        <w:tc>
          <w:tcPr>
            <w:tcW w:w="2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65% to 80%</w:t>
            </w:r>
          </w:p>
        </w:tc>
        <w:tc>
          <w:tcPr>
            <w:tcW w:w="1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3,525,554</w:t>
            </w:r>
          </w:p>
        </w:tc>
        <w:tc>
          <w:tcPr>
            <w:tcW w:w="2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10,432,942</w:t>
            </w:r>
          </w:p>
        </w:tc>
        <w:tc>
          <w:tcPr>
            <w:tcW w:w="28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1,000,776</w:t>
            </w:r>
          </w:p>
        </w:tc>
        <w:tc>
          <w:tcPr>
            <w:tcW w:w="2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6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9"/>
              </w:rPr>
              <w:t>293,872</w:t>
            </w:r>
          </w:p>
        </w:tc>
        <w:tc>
          <w:tcPr>
            <w:tcW w:w="2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15,253,144</w:t>
            </w:r>
          </w:p>
        </w:tc>
        <w:tc>
          <w:tcPr>
            <w:tcW w:w="280" w:type="dxa"/>
            <w:vAlign w:val="bottom"/>
            <w:shd w:val="clear" w:color="auto" w:fill="DEDEDE"/>
          </w:tcPr>
          <w:p>
            <w:pPr>
              <w:spacing w:after="0"/>
              <w:rPr>
                <w:sz w:val="18"/>
                <w:szCs w:val="18"/>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19.25%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396,505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396,505</w:t>
            </w:r>
          </w:p>
        </w:tc>
        <w:tc>
          <w:tcPr>
            <w:tcW w:w="28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186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820" w:type="dxa"/>
            <w:vAlign w:val="bottom"/>
            <w:tcBorders>
              <w:top w:val="single" w:sz="8" w:color="auto"/>
            </w:tcBorders>
            <w:shd w:val="clear" w:color="auto" w:fill="DEDEDE"/>
          </w:tcPr>
          <w:p>
            <w:pPr>
              <w:spacing w:after="0"/>
              <w:rPr>
                <w:sz w:val="18"/>
                <w:szCs w:val="18"/>
                <w:color w:val="auto"/>
              </w:rPr>
            </w:pPr>
          </w:p>
        </w:tc>
        <w:tc>
          <w:tcPr>
            <w:tcW w:w="26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820" w:type="dxa"/>
            <w:vAlign w:val="bottom"/>
            <w:tcBorders>
              <w:top w:val="single" w:sz="8" w:color="auto"/>
            </w:tcBorders>
            <w:shd w:val="clear" w:color="auto" w:fill="DEDEDE"/>
          </w:tcPr>
          <w:p>
            <w:pPr>
              <w:spacing w:after="0"/>
              <w:rPr>
                <w:sz w:val="18"/>
                <w:szCs w:val="18"/>
                <w:color w:val="auto"/>
              </w:rPr>
            </w:pPr>
          </w:p>
        </w:tc>
        <w:tc>
          <w:tcPr>
            <w:tcW w:w="280" w:type="dxa"/>
            <w:vAlign w:val="bottom"/>
            <w:tcBorders>
              <w:top w:val="single" w:sz="8" w:color="DEDEDE"/>
            </w:tcBorders>
            <w:shd w:val="clear" w:color="auto" w:fill="DEDEDE"/>
          </w:tcPr>
          <w:p>
            <w:pPr>
              <w:spacing w:after="0"/>
              <w:rPr>
                <w:sz w:val="18"/>
                <w:szCs w:val="18"/>
                <w:color w:val="auto"/>
              </w:rPr>
            </w:pPr>
          </w:p>
        </w:tc>
        <w:tc>
          <w:tcPr>
            <w:tcW w:w="80" w:type="dxa"/>
            <w:vAlign w:val="bottom"/>
            <w:tcBorders>
              <w:top w:val="single" w:sz="8" w:color="auto"/>
            </w:tcBorders>
            <w:shd w:val="clear" w:color="auto" w:fill="DEDEDE"/>
          </w:tcPr>
          <w:p>
            <w:pPr>
              <w:spacing w:after="0"/>
              <w:rPr>
                <w:sz w:val="18"/>
                <w:szCs w:val="18"/>
                <w:color w:val="auto"/>
              </w:rPr>
            </w:pPr>
          </w:p>
        </w:tc>
        <w:tc>
          <w:tcPr>
            <w:tcW w:w="820" w:type="dxa"/>
            <w:vAlign w:val="bottom"/>
            <w:tcBorders>
              <w:top w:val="single" w:sz="8" w:color="auto"/>
            </w:tcBorders>
            <w:shd w:val="clear" w:color="auto" w:fill="DEDEDE"/>
          </w:tcPr>
          <w:p>
            <w:pPr>
              <w:spacing w:after="0"/>
              <w:rPr>
                <w:sz w:val="18"/>
                <w:szCs w:val="18"/>
                <w:color w:val="auto"/>
              </w:rPr>
            </w:pPr>
          </w:p>
        </w:tc>
        <w:tc>
          <w:tcPr>
            <w:tcW w:w="28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600" w:type="dxa"/>
            <w:vAlign w:val="bottom"/>
            <w:tcBorders>
              <w:top w:val="single" w:sz="8" w:color="auto"/>
            </w:tcBorders>
            <w:shd w:val="clear" w:color="auto" w:fill="DEDEDE"/>
          </w:tcPr>
          <w:p>
            <w:pPr>
              <w:spacing w:after="0"/>
              <w:rPr>
                <w:sz w:val="18"/>
                <w:szCs w:val="18"/>
                <w:color w:val="auto"/>
              </w:rPr>
            </w:pPr>
          </w:p>
        </w:tc>
        <w:tc>
          <w:tcPr>
            <w:tcW w:w="28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720" w:type="dxa"/>
            <w:vAlign w:val="bottom"/>
            <w:tcBorders>
              <w:top w:val="single" w:sz="8" w:color="auto"/>
            </w:tcBorders>
            <w:shd w:val="clear" w:color="auto" w:fill="DEDEDE"/>
          </w:tcPr>
          <w:p>
            <w:pPr>
              <w:spacing w:after="0"/>
              <w:rPr>
                <w:sz w:val="18"/>
                <w:szCs w:val="18"/>
                <w:color w:val="auto"/>
              </w:rPr>
            </w:pPr>
          </w:p>
        </w:tc>
        <w:tc>
          <w:tcPr>
            <w:tcW w:w="280" w:type="dxa"/>
            <w:vAlign w:val="bottom"/>
            <w:tcBorders>
              <w:top w:val="single" w:sz="8" w:color="DEDEDE"/>
            </w:tcBorders>
            <w:shd w:val="clear" w:color="auto" w:fill="DEDEDE"/>
          </w:tcPr>
          <w:p>
            <w:pPr>
              <w:spacing w:after="0"/>
              <w:rPr>
                <w:sz w:val="18"/>
                <w:szCs w:val="18"/>
                <w:color w:val="auto"/>
              </w:rPr>
            </w:pPr>
          </w:p>
        </w:tc>
        <w:tc>
          <w:tcPr>
            <w:tcW w:w="840" w:type="dxa"/>
            <w:vAlign w:val="bottom"/>
            <w:tcBorders>
              <w:top w:val="single" w:sz="8" w:color="auto"/>
            </w:tcBorders>
            <w:shd w:val="clear" w:color="auto" w:fill="DEDEDE"/>
          </w:tcPr>
          <w:p>
            <w:pPr>
              <w:spacing w:after="0"/>
              <w:rPr>
                <w:sz w:val="18"/>
                <w:szCs w:val="18"/>
                <w:color w:val="auto"/>
              </w:rPr>
            </w:pPr>
          </w:p>
        </w:tc>
        <w:tc>
          <w:tcPr>
            <w:tcW w:w="260" w:type="dxa"/>
            <w:vAlign w:val="bottom"/>
            <w:tcBorders>
              <w:top w:val="single" w:sz="8" w:color="DEDEDE"/>
            </w:tcBorders>
            <w:shd w:val="clear" w:color="auto" w:fill="DEDEDE"/>
          </w:tcPr>
          <w:p>
            <w:pPr>
              <w:spacing w:after="0"/>
              <w:rPr>
                <w:sz w:val="18"/>
                <w:szCs w:val="18"/>
                <w:color w:val="auto"/>
              </w:rPr>
            </w:pPr>
          </w:p>
        </w:tc>
        <w:tc>
          <w:tcPr>
            <w:tcW w:w="920" w:type="dxa"/>
            <w:vAlign w:val="bottom"/>
            <w:tcBorders>
              <w:top w:val="single" w:sz="8" w:color="auto"/>
            </w:tcBorders>
            <w:shd w:val="clear" w:color="auto" w:fill="DEDEDE"/>
          </w:tcPr>
          <w:p>
            <w:pPr>
              <w:spacing w:after="0"/>
              <w:rPr>
                <w:sz w:val="18"/>
                <w:szCs w:val="18"/>
                <w:color w:val="auto"/>
              </w:rPr>
            </w:pPr>
          </w:p>
        </w:tc>
        <w:tc>
          <w:tcPr>
            <w:tcW w:w="280" w:type="dxa"/>
            <w:vAlign w:val="bottom"/>
            <w:tcBorders>
              <w:top w:val="single" w:sz="8" w:color="DEDEDE"/>
            </w:tcBorders>
            <w:shd w:val="clear" w:color="auto" w:fill="DEDEDE"/>
          </w:tcPr>
          <w:p>
            <w:pPr>
              <w:spacing w:after="0"/>
              <w:rPr>
                <w:sz w:val="18"/>
                <w:szCs w:val="18"/>
                <w:color w:val="auto"/>
              </w:rPr>
            </w:pPr>
          </w:p>
        </w:tc>
        <w:tc>
          <w:tcPr>
            <w:tcW w:w="80" w:type="dxa"/>
            <w:vAlign w:val="bottom"/>
            <w:tcBorders>
              <w:top w:val="single" w:sz="8" w:color="DEDEDE"/>
            </w:tcBorders>
            <w:shd w:val="clear" w:color="auto" w:fill="DEDEDE"/>
          </w:tcPr>
          <w:p>
            <w:pPr>
              <w:spacing w:after="0"/>
              <w:rPr>
                <w:sz w:val="18"/>
                <w:szCs w:val="18"/>
                <w:color w:val="auto"/>
              </w:rPr>
            </w:pPr>
          </w:p>
        </w:tc>
        <w:tc>
          <w:tcPr>
            <w:tcW w:w="540" w:type="dxa"/>
            <w:vAlign w:val="bottom"/>
            <w:tcBorders>
              <w:top w:val="single" w:sz="8" w:color="auto"/>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38,044,207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14,323,086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16,600,776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756,633</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1,207,201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$ 8,299,883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79,231,786</w:t>
            </w:r>
          </w:p>
        </w:tc>
        <w:tc>
          <w:tcPr>
            <w:tcW w:w="28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Borders>
              <w:top w:val="single" w:sz="8" w:color="DEDEDE"/>
            </w:tcBorders>
            <w:shd w:val="clear" w:color="auto" w:fill="DEDEDE"/>
          </w:tcPr>
          <w:p>
            <w:pPr>
              <w:spacing w:after="0"/>
              <w:rPr>
                <w:sz w:val="17"/>
                <w:szCs w:val="17"/>
                <w:color w:val="auto"/>
              </w:rPr>
            </w:pPr>
          </w:p>
        </w:tc>
        <w:tc>
          <w:tcPr>
            <w:tcW w:w="100" w:type="dxa"/>
            <w:vAlign w:val="bottom"/>
            <w:tcBorders>
              <w:top w:val="single" w:sz="8" w:color="DEDEDE"/>
            </w:tcBorders>
            <w:shd w:val="clear" w:color="auto" w:fill="DEDEDE"/>
          </w:tcPr>
          <w:p>
            <w:pPr>
              <w:spacing w:after="0"/>
              <w:rPr>
                <w:sz w:val="17"/>
                <w:szCs w:val="17"/>
                <w:color w:val="auto"/>
              </w:rPr>
            </w:pPr>
          </w:p>
        </w:tc>
        <w:tc>
          <w:tcPr>
            <w:tcW w:w="18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00" w:type="dxa"/>
            <w:vAlign w:val="bottom"/>
            <w:tcBorders>
              <w:top w:val="single" w:sz="8" w:color="auto"/>
            </w:tcBorders>
            <w:shd w:val="clear" w:color="auto" w:fill="DEDEDE"/>
          </w:tcPr>
          <w:p>
            <w:pPr>
              <w:spacing w:after="0"/>
              <w:rPr>
                <w:sz w:val="17"/>
                <w:szCs w:val="17"/>
                <w:color w:val="auto"/>
              </w:rPr>
            </w:pPr>
          </w:p>
        </w:tc>
        <w:tc>
          <w:tcPr>
            <w:tcW w:w="820" w:type="dxa"/>
            <w:vAlign w:val="bottom"/>
            <w:tcBorders>
              <w:top w:val="single" w:sz="8" w:color="auto"/>
            </w:tcBorders>
            <w:shd w:val="clear" w:color="auto" w:fill="DEDEDE"/>
          </w:tcPr>
          <w:p>
            <w:pPr>
              <w:spacing w:after="0"/>
              <w:rPr>
                <w:sz w:val="17"/>
                <w:szCs w:val="17"/>
                <w:color w:val="auto"/>
              </w:rPr>
            </w:pPr>
          </w:p>
        </w:tc>
        <w:tc>
          <w:tcPr>
            <w:tcW w:w="260" w:type="dxa"/>
            <w:vAlign w:val="bottom"/>
            <w:tcBorders>
              <w:top w:val="single" w:sz="8" w:color="DEDEDE"/>
            </w:tcBorders>
            <w:shd w:val="clear" w:color="auto" w:fill="DEDEDE"/>
          </w:tcPr>
          <w:p>
            <w:pPr>
              <w:spacing w:after="0"/>
              <w:rPr>
                <w:sz w:val="17"/>
                <w:szCs w:val="17"/>
                <w:color w:val="auto"/>
              </w:rPr>
            </w:pPr>
          </w:p>
        </w:tc>
        <w:tc>
          <w:tcPr>
            <w:tcW w:w="100" w:type="dxa"/>
            <w:vAlign w:val="bottom"/>
            <w:tcBorders>
              <w:top w:val="single" w:sz="8" w:color="auto"/>
            </w:tcBorders>
            <w:shd w:val="clear" w:color="auto" w:fill="DEDEDE"/>
          </w:tcPr>
          <w:p>
            <w:pPr>
              <w:spacing w:after="0"/>
              <w:rPr>
                <w:sz w:val="17"/>
                <w:szCs w:val="17"/>
                <w:color w:val="auto"/>
              </w:rPr>
            </w:pPr>
          </w:p>
        </w:tc>
        <w:tc>
          <w:tcPr>
            <w:tcW w:w="820" w:type="dxa"/>
            <w:vAlign w:val="bottom"/>
            <w:tcBorders>
              <w:top w:val="single" w:sz="8" w:color="auto"/>
            </w:tcBorders>
            <w:shd w:val="clear" w:color="auto" w:fill="DEDEDE"/>
          </w:tcPr>
          <w:p>
            <w:pPr>
              <w:spacing w:after="0"/>
              <w:rPr>
                <w:sz w:val="17"/>
                <w:szCs w:val="17"/>
                <w:color w:val="auto"/>
              </w:rPr>
            </w:pPr>
          </w:p>
        </w:tc>
        <w:tc>
          <w:tcPr>
            <w:tcW w:w="280" w:type="dxa"/>
            <w:vAlign w:val="bottom"/>
            <w:tcBorders>
              <w:top w:val="single" w:sz="8" w:color="DEDEDE"/>
            </w:tcBorders>
            <w:shd w:val="clear" w:color="auto" w:fill="DEDEDE"/>
          </w:tcPr>
          <w:p>
            <w:pPr>
              <w:spacing w:after="0"/>
              <w:rPr>
                <w:sz w:val="17"/>
                <w:szCs w:val="17"/>
                <w:color w:val="auto"/>
              </w:rPr>
            </w:pPr>
          </w:p>
        </w:tc>
        <w:tc>
          <w:tcPr>
            <w:tcW w:w="80" w:type="dxa"/>
            <w:vAlign w:val="bottom"/>
            <w:tcBorders>
              <w:top w:val="single" w:sz="8" w:color="auto"/>
            </w:tcBorders>
            <w:shd w:val="clear" w:color="auto" w:fill="DEDEDE"/>
          </w:tcPr>
          <w:p>
            <w:pPr>
              <w:spacing w:after="0"/>
              <w:rPr>
                <w:sz w:val="17"/>
                <w:szCs w:val="17"/>
                <w:color w:val="auto"/>
              </w:rPr>
            </w:pPr>
          </w:p>
        </w:tc>
        <w:tc>
          <w:tcPr>
            <w:tcW w:w="820" w:type="dxa"/>
            <w:vAlign w:val="bottom"/>
            <w:tcBorders>
              <w:top w:val="single" w:sz="8" w:color="auto"/>
            </w:tcBorders>
            <w:shd w:val="clear" w:color="auto" w:fill="DEDEDE"/>
          </w:tcPr>
          <w:p>
            <w:pPr>
              <w:spacing w:after="0"/>
              <w:rPr>
                <w:sz w:val="17"/>
                <w:szCs w:val="17"/>
                <w:color w:val="auto"/>
              </w:rPr>
            </w:pPr>
          </w:p>
        </w:tc>
        <w:tc>
          <w:tcPr>
            <w:tcW w:w="280" w:type="dxa"/>
            <w:vAlign w:val="bottom"/>
            <w:tcBorders>
              <w:top w:val="single" w:sz="8" w:color="DEDEDE"/>
            </w:tcBorders>
            <w:shd w:val="clear" w:color="auto" w:fill="DEDEDE"/>
          </w:tcPr>
          <w:p>
            <w:pPr>
              <w:spacing w:after="0"/>
              <w:rPr>
                <w:sz w:val="17"/>
                <w:szCs w:val="17"/>
                <w:color w:val="auto"/>
              </w:rPr>
            </w:pPr>
          </w:p>
        </w:tc>
        <w:tc>
          <w:tcPr>
            <w:tcW w:w="100" w:type="dxa"/>
            <w:vAlign w:val="bottom"/>
            <w:tcBorders>
              <w:top w:val="single" w:sz="8" w:color="auto"/>
            </w:tcBorders>
            <w:shd w:val="clear" w:color="auto" w:fill="DEDEDE"/>
          </w:tcPr>
          <w:p>
            <w:pPr>
              <w:spacing w:after="0"/>
              <w:rPr>
                <w:sz w:val="17"/>
                <w:szCs w:val="17"/>
                <w:color w:val="auto"/>
              </w:rPr>
            </w:pPr>
          </w:p>
        </w:tc>
        <w:tc>
          <w:tcPr>
            <w:tcW w:w="600" w:type="dxa"/>
            <w:vAlign w:val="bottom"/>
            <w:tcBorders>
              <w:top w:val="single" w:sz="8" w:color="auto"/>
            </w:tcBorders>
            <w:shd w:val="clear" w:color="auto" w:fill="DEDEDE"/>
          </w:tcPr>
          <w:p>
            <w:pPr>
              <w:spacing w:after="0"/>
              <w:rPr>
                <w:sz w:val="17"/>
                <w:szCs w:val="17"/>
                <w:color w:val="auto"/>
              </w:rPr>
            </w:pPr>
          </w:p>
        </w:tc>
        <w:tc>
          <w:tcPr>
            <w:tcW w:w="280" w:type="dxa"/>
            <w:vAlign w:val="bottom"/>
            <w:tcBorders>
              <w:top w:val="single" w:sz="8" w:color="DEDEDE"/>
            </w:tcBorders>
            <w:shd w:val="clear" w:color="auto" w:fill="DEDEDE"/>
          </w:tcPr>
          <w:p>
            <w:pPr>
              <w:spacing w:after="0"/>
              <w:rPr>
                <w:sz w:val="17"/>
                <w:szCs w:val="17"/>
                <w:color w:val="auto"/>
              </w:rPr>
            </w:pPr>
          </w:p>
        </w:tc>
        <w:tc>
          <w:tcPr>
            <w:tcW w:w="100" w:type="dxa"/>
            <w:vAlign w:val="bottom"/>
            <w:tcBorders>
              <w:top w:val="single" w:sz="8" w:color="auto"/>
            </w:tcBorders>
            <w:shd w:val="clear" w:color="auto" w:fill="DEDEDE"/>
          </w:tcPr>
          <w:p>
            <w:pPr>
              <w:spacing w:after="0"/>
              <w:rPr>
                <w:sz w:val="17"/>
                <w:szCs w:val="17"/>
                <w:color w:val="auto"/>
              </w:rPr>
            </w:pPr>
          </w:p>
        </w:tc>
        <w:tc>
          <w:tcPr>
            <w:tcW w:w="720" w:type="dxa"/>
            <w:vAlign w:val="bottom"/>
            <w:tcBorders>
              <w:top w:val="single" w:sz="8" w:color="auto"/>
            </w:tcBorders>
            <w:shd w:val="clear" w:color="auto" w:fill="DEDEDE"/>
          </w:tcPr>
          <w:p>
            <w:pPr>
              <w:spacing w:after="0"/>
              <w:rPr>
                <w:sz w:val="17"/>
                <w:szCs w:val="17"/>
                <w:color w:val="auto"/>
              </w:rPr>
            </w:pPr>
          </w:p>
        </w:tc>
        <w:tc>
          <w:tcPr>
            <w:tcW w:w="280" w:type="dxa"/>
            <w:vAlign w:val="bottom"/>
            <w:tcBorders>
              <w:top w:val="single" w:sz="8" w:color="DEDEDE"/>
            </w:tcBorders>
            <w:shd w:val="clear" w:color="auto" w:fill="DEDEDE"/>
          </w:tcPr>
          <w:p>
            <w:pPr>
              <w:spacing w:after="0"/>
              <w:rPr>
                <w:sz w:val="17"/>
                <w:szCs w:val="17"/>
                <w:color w:val="auto"/>
              </w:rPr>
            </w:pPr>
          </w:p>
        </w:tc>
        <w:tc>
          <w:tcPr>
            <w:tcW w:w="840" w:type="dxa"/>
            <w:vAlign w:val="bottom"/>
            <w:tcBorders>
              <w:top w:val="single" w:sz="8" w:color="auto"/>
            </w:tcBorders>
            <w:shd w:val="clear" w:color="auto" w:fill="DEDEDE"/>
          </w:tcPr>
          <w:p>
            <w:pPr>
              <w:spacing w:after="0"/>
              <w:rPr>
                <w:sz w:val="17"/>
                <w:szCs w:val="17"/>
                <w:color w:val="auto"/>
              </w:rPr>
            </w:pPr>
          </w:p>
        </w:tc>
        <w:tc>
          <w:tcPr>
            <w:tcW w:w="260" w:type="dxa"/>
            <w:vAlign w:val="bottom"/>
            <w:tcBorders>
              <w:top w:val="single" w:sz="8" w:color="DEDEDE"/>
            </w:tcBorders>
            <w:shd w:val="clear" w:color="auto" w:fill="DEDEDE"/>
          </w:tcPr>
          <w:p>
            <w:pPr>
              <w:spacing w:after="0"/>
              <w:rPr>
                <w:sz w:val="17"/>
                <w:szCs w:val="17"/>
                <w:color w:val="auto"/>
              </w:rPr>
            </w:pPr>
          </w:p>
        </w:tc>
        <w:tc>
          <w:tcPr>
            <w:tcW w:w="920" w:type="dxa"/>
            <w:vAlign w:val="bottom"/>
            <w:tcBorders>
              <w:top w:val="single" w:sz="8" w:color="auto"/>
            </w:tcBorders>
            <w:shd w:val="clear" w:color="auto" w:fill="DEDEDE"/>
          </w:tcPr>
          <w:p>
            <w:pPr>
              <w:spacing w:after="0"/>
              <w:rPr>
                <w:sz w:val="17"/>
                <w:szCs w:val="17"/>
                <w:color w:val="auto"/>
              </w:rPr>
            </w:pPr>
          </w:p>
        </w:tc>
        <w:tc>
          <w:tcPr>
            <w:tcW w:w="280" w:type="dxa"/>
            <w:vAlign w:val="bottom"/>
            <w:tcBorders>
              <w:top w:val="single" w:sz="8" w:color="DEDEDE"/>
            </w:tcBorders>
            <w:shd w:val="clear" w:color="auto" w:fill="DEDEDE"/>
          </w:tcPr>
          <w:p>
            <w:pPr>
              <w:spacing w:after="0"/>
              <w:rPr>
                <w:sz w:val="17"/>
                <w:szCs w:val="17"/>
                <w:color w:val="auto"/>
              </w:rPr>
            </w:pPr>
          </w:p>
        </w:tc>
        <w:tc>
          <w:tcPr>
            <w:tcW w:w="80" w:type="dxa"/>
            <w:vAlign w:val="bottom"/>
            <w:tcBorders>
              <w:top w:val="single" w:sz="8" w:color="auto"/>
            </w:tcBorders>
            <w:shd w:val="clear" w:color="auto" w:fill="DEDEDE"/>
          </w:tcPr>
          <w:p>
            <w:pPr>
              <w:spacing w:after="0"/>
              <w:rPr>
                <w:sz w:val="17"/>
                <w:szCs w:val="17"/>
                <w:color w:val="auto"/>
              </w:rPr>
            </w:pPr>
          </w:p>
        </w:tc>
        <w:tc>
          <w:tcPr>
            <w:tcW w:w="540" w:type="dxa"/>
            <w:vAlign w:val="bottom"/>
            <w:tcBorders>
              <w:top w:val="single" w:sz="8" w:color="auto"/>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&gt;1.20x</w:t>
            </w:r>
          </w:p>
        </w:tc>
        <w:tc>
          <w:tcPr>
            <w:tcW w:w="28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7,519,000</w:t>
            </w:r>
          </w:p>
        </w:tc>
        <w:tc>
          <w:tcPr>
            <w:tcW w:w="3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10,000,000</w:t>
            </w:r>
          </w:p>
        </w:tc>
        <w:tc>
          <w:tcPr>
            <w:tcW w:w="3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7,500,000</w:t>
            </w:r>
          </w:p>
        </w:tc>
        <w:tc>
          <w:tcPr>
            <w:tcW w:w="38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$ 5,292,385</w:t>
            </w:r>
          </w:p>
        </w:tc>
        <w:tc>
          <w:tcPr>
            <w:tcW w:w="11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$ 30,311,385</w:t>
            </w:r>
          </w:p>
        </w:tc>
        <w:tc>
          <w:tcPr>
            <w:tcW w:w="280" w:type="dxa"/>
            <w:vAlign w:val="bottom"/>
            <w:shd w:val="clear" w:color="auto" w:fill="DEDEDE"/>
          </w:tcPr>
          <w:p>
            <w:pPr>
              <w:spacing w:after="0"/>
              <w:rPr>
                <w:sz w:val="18"/>
                <w:szCs w:val="18"/>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38.26%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1.00x - 1.20x</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28,300,207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4,323,086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9,100,776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756,633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1,207,201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3,007,498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46,695,401</w:t>
            </w:r>
          </w:p>
        </w:tc>
        <w:tc>
          <w:tcPr>
            <w:tcW w:w="2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58.94%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&lt;1.00x</w:t>
            </w:r>
          </w:p>
        </w:tc>
        <w:tc>
          <w:tcPr>
            <w:tcW w:w="18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2,225,000</w:t>
            </w:r>
          </w:p>
        </w:tc>
        <w:tc>
          <w:tcPr>
            <w:tcW w:w="26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6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2,225,000</w:t>
            </w:r>
          </w:p>
        </w:tc>
        <w:tc>
          <w:tcPr>
            <w:tcW w:w="280" w:type="dxa"/>
            <w:vAlign w:val="bottom"/>
            <w:shd w:val="clear" w:color="auto" w:fill="DEDEDE"/>
          </w:tcPr>
          <w:p>
            <w:pPr>
              <w:spacing w:after="0"/>
              <w:rPr>
                <w:sz w:val="19"/>
                <w:szCs w:val="19"/>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3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38,044,207</w:t>
            </w:r>
          </w:p>
        </w:tc>
        <w:tc>
          <w:tcPr>
            <w:tcW w:w="3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14,323,086</w:t>
            </w:r>
          </w:p>
        </w:tc>
        <w:tc>
          <w:tcPr>
            <w:tcW w:w="3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16,600,776</w:t>
            </w:r>
          </w:p>
        </w:tc>
        <w:tc>
          <w:tcPr>
            <w:tcW w:w="38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9"/>
              </w:rPr>
              <w:t>756,633</w:t>
            </w:r>
          </w:p>
        </w:tc>
        <w:tc>
          <w:tcPr>
            <w:tcW w:w="38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7"/>
              </w:rPr>
              <w:t>1,207,201</w:t>
            </w:r>
          </w:p>
        </w:tc>
        <w:tc>
          <w:tcPr>
            <w:tcW w:w="1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$ 8,299,883</w:t>
            </w:r>
          </w:p>
        </w:tc>
        <w:tc>
          <w:tcPr>
            <w:tcW w:w="11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79,231,786</w:t>
            </w:r>
          </w:p>
        </w:tc>
        <w:tc>
          <w:tcPr>
            <w:tcW w:w="280" w:type="dxa"/>
            <w:vAlign w:val="bottom"/>
            <w:shd w:val="clear" w:color="auto" w:fill="DEDEDE"/>
          </w:tcPr>
          <w:p>
            <w:pPr>
              <w:spacing w:after="0"/>
              <w:rPr>
                <w:sz w:val="21"/>
                <w:szCs w:val="21"/>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186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EDED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EDEDE"/>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EDED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aggregate unpaid principal balance of commercial mortgage loans by credit quality indicator and origination year was as follows as of December 31, 2024:</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28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0"/>
                <w:szCs w:val="20"/>
                <w:color w:val="auto"/>
              </w:rPr>
            </w:pPr>
          </w:p>
        </w:tc>
        <w:tc>
          <w:tcPr>
            <w:tcW w:w="8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Prior</w:t>
            </w:r>
          </w:p>
        </w:tc>
        <w:tc>
          <w:tcPr>
            <w:tcW w:w="260" w:type="dxa"/>
            <w:vAlign w:val="bottom"/>
          </w:tcPr>
          <w:p>
            <w:pPr>
              <w:spacing w:after="0"/>
              <w:rPr>
                <w:sz w:val="20"/>
                <w:szCs w:val="20"/>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80" w:type="dxa"/>
            <w:vAlign w:val="bottom"/>
            <w:tcBorders>
              <w:top w:val="single" w:sz="8" w:color="auto"/>
            </w:tcBorders>
            <w:gridSpan w:val="3"/>
            <w:shd w:val="clear" w:color="auto" w:fill="DEDEDE"/>
          </w:tcPr>
          <w:p>
            <w:pPr>
              <w:spacing w:after="0" w:line="170" w:lineRule="exact"/>
              <w:rPr>
                <w:sz w:val="20"/>
                <w:szCs w:val="20"/>
                <w:color w:val="auto"/>
              </w:rPr>
            </w:pPr>
            <w:r>
              <w:rPr>
                <w:rFonts w:ascii="Times New Roman" w:cs="Times New Roman" w:eastAsia="Times New Roman" w:hAnsi="Times New Roman"/>
                <w:sz w:val="18"/>
                <w:szCs w:val="18"/>
                <w:color w:val="auto"/>
              </w:rPr>
              <w:t>LTV:</w:t>
            </w:r>
          </w:p>
        </w:tc>
        <w:tc>
          <w:tcPr>
            <w:tcW w:w="16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820" w:type="dxa"/>
            <w:vAlign w:val="bottom"/>
            <w:tcBorders>
              <w:top w:val="single" w:sz="8" w:color="auto"/>
            </w:tcBorders>
            <w:shd w:val="clear" w:color="auto" w:fill="DEDEDE"/>
          </w:tcPr>
          <w:p>
            <w:pPr>
              <w:spacing w:after="0"/>
              <w:rPr>
                <w:sz w:val="14"/>
                <w:szCs w:val="14"/>
                <w:color w:val="auto"/>
              </w:rPr>
            </w:pPr>
          </w:p>
        </w:tc>
        <w:tc>
          <w:tcPr>
            <w:tcW w:w="240" w:type="dxa"/>
            <w:vAlign w:val="bottom"/>
            <w:tcBorders>
              <w:top w:val="single" w:sz="8" w:color="DEDEDE"/>
            </w:tcBorders>
            <w:shd w:val="clear" w:color="auto" w:fill="DEDEDE"/>
          </w:tcPr>
          <w:p>
            <w:pPr>
              <w:spacing w:after="0"/>
              <w:rPr>
                <w:sz w:val="14"/>
                <w:szCs w:val="14"/>
                <w:color w:val="auto"/>
              </w:rPr>
            </w:pPr>
          </w:p>
        </w:tc>
        <w:tc>
          <w:tcPr>
            <w:tcW w:w="920" w:type="dxa"/>
            <w:vAlign w:val="bottom"/>
            <w:tcBorders>
              <w:top w:val="single" w:sz="8" w:color="auto"/>
            </w:tcBorders>
            <w:shd w:val="clear" w:color="auto" w:fill="DEDEDE"/>
          </w:tcPr>
          <w:p>
            <w:pPr>
              <w:spacing w:after="0"/>
              <w:rPr>
                <w:sz w:val="14"/>
                <w:szCs w:val="14"/>
                <w:color w:val="auto"/>
              </w:rPr>
            </w:pPr>
          </w:p>
        </w:tc>
        <w:tc>
          <w:tcPr>
            <w:tcW w:w="280" w:type="dxa"/>
            <w:vAlign w:val="bottom"/>
            <w:tcBorders>
              <w:top w:val="single" w:sz="8" w:color="DEDEDE"/>
            </w:tcBorders>
            <w:shd w:val="clear" w:color="auto" w:fill="DEDEDE"/>
          </w:tcPr>
          <w:p>
            <w:pPr>
              <w:spacing w:after="0"/>
              <w:rPr>
                <w:sz w:val="14"/>
                <w:szCs w:val="14"/>
                <w:color w:val="auto"/>
              </w:rPr>
            </w:pPr>
          </w:p>
        </w:tc>
        <w:tc>
          <w:tcPr>
            <w:tcW w:w="840" w:type="dxa"/>
            <w:vAlign w:val="bottom"/>
            <w:tcBorders>
              <w:top w:val="single" w:sz="8" w:color="auto"/>
            </w:tcBorders>
            <w:shd w:val="clear" w:color="auto" w:fill="DEDEDE"/>
          </w:tcPr>
          <w:p>
            <w:pPr>
              <w:spacing w:after="0"/>
              <w:rPr>
                <w:sz w:val="14"/>
                <w:szCs w:val="14"/>
                <w:color w:val="auto"/>
              </w:rPr>
            </w:pPr>
          </w:p>
        </w:tc>
        <w:tc>
          <w:tcPr>
            <w:tcW w:w="26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740" w:type="dxa"/>
            <w:vAlign w:val="bottom"/>
            <w:tcBorders>
              <w:top w:val="single" w:sz="8" w:color="auto"/>
            </w:tcBorders>
            <w:shd w:val="clear" w:color="auto" w:fill="DEDEDE"/>
          </w:tcPr>
          <w:p>
            <w:pPr>
              <w:spacing w:after="0"/>
              <w:rPr>
                <w:sz w:val="14"/>
                <w:szCs w:val="14"/>
                <w:color w:val="auto"/>
              </w:rPr>
            </w:pPr>
          </w:p>
        </w:tc>
        <w:tc>
          <w:tcPr>
            <w:tcW w:w="28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720" w:type="dxa"/>
            <w:vAlign w:val="bottom"/>
            <w:tcBorders>
              <w:top w:val="single" w:sz="8" w:color="auto"/>
            </w:tcBorders>
            <w:shd w:val="clear" w:color="auto" w:fill="DEDEDE"/>
          </w:tcPr>
          <w:p>
            <w:pPr>
              <w:spacing w:after="0"/>
              <w:rPr>
                <w:sz w:val="14"/>
                <w:szCs w:val="14"/>
                <w:color w:val="auto"/>
              </w:rPr>
            </w:pPr>
          </w:p>
        </w:tc>
        <w:tc>
          <w:tcPr>
            <w:tcW w:w="280" w:type="dxa"/>
            <w:vAlign w:val="bottom"/>
            <w:tcBorders>
              <w:top w:val="single" w:sz="8" w:color="DEDEDE"/>
            </w:tcBorders>
            <w:shd w:val="clear" w:color="auto" w:fill="DEDEDE"/>
          </w:tcPr>
          <w:p>
            <w:pPr>
              <w:spacing w:after="0"/>
              <w:rPr>
                <w:sz w:val="14"/>
                <w:szCs w:val="14"/>
                <w:color w:val="auto"/>
              </w:rPr>
            </w:pPr>
          </w:p>
        </w:tc>
        <w:tc>
          <w:tcPr>
            <w:tcW w:w="840" w:type="dxa"/>
            <w:vAlign w:val="bottom"/>
            <w:tcBorders>
              <w:top w:val="single" w:sz="8" w:color="auto"/>
            </w:tcBorders>
            <w:shd w:val="clear" w:color="auto" w:fill="DEDEDE"/>
          </w:tcPr>
          <w:p>
            <w:pPr>
              <w:spacing w:after="0"/>
              <w:rPr>
                <w:sz w:val="14"/>
                <w:szCs w:val="14"/>
                <w:color w:val="auto"/>
              </w:rPr>
            </w:pPr>
          </w:p>
        </w:tc>
        <w:tc>
          <w:tcPr>
            <w:tcW w:w="260" w:type="dxa"/>
            <w:vAlign w:val="bottom"/>
            <w:tcBorders>
              <w:top w:val="single" w:sz="8" w:color="DEDEDE"/>
            </w:tcBorders>
            <w:shd w:val="clear" w:color="auto" w:fill="DEDEDE"/>
          </w:tcPr>
          <w:p>
            <w:pPr>
              <w:spacing w:after="0"/>
              <w:rPr>
                <w:sz w:val="14"/>
                <w:szCs w:val="14"/>
                <w:color w:val="auto"/>
              </w:rPr>
            </w:pPr>
          </w:p>
        </w:tc>
        <w:tc>
          <w:tcPr>
            <w:tcW w:w="920" w:type="dxa"/>
            <w:vAlign w:val="bottom"/>
            <w:tcBorders>
              <w:top w:val="single" w:sz="8" w:color="auto"/>
            </w:tcBorders>
            <w:shd w:val="clear" w:color="auto" w:fill="DEDEDE"/>
          </w:tcPr>
          <w:p>
            <w:pPr>
              <w:spacing w:after="0"/>
              <w:rPr>
                <w:sz w:val="14"/>
                <w:szCs w:val="14"/>
                <w:color w:val="auto"/>
              </w:rPr>
            </w:pPr>
          </w:p>
        </w:tc>
        <w:tc>
          <w:tcPr>
            <w:tcW w:w="280" w:type="dxa"/>
            <w:vAlign w:val="bottom"/>
            <w:tcBorders>
              <w:top w:val="single" w:sz="8" w:color="DEDEDE"/>
            </w:tcBorders>
            <w:shd w:val="clear" w:color="auto" w:fill="DEDEDE"/>
          </w:tcPr>
          <w:p>
            <w:pPr>
              <w:spacing w:after="0"/>
              <w:rPr>
                <w:sz w:val="14"/>
                <w:szCs w:val="14"/>
                <w:color w:val="auto"/>
              </w:rPr>
            </w:pPr>
          </w:p>
        </w:tc>
        <w:tc>
          <w:tcPr>
            <w:tcW w:w="80" w:type="dxa"/>
            <w:vAlign w:val="bottom"/>
            <w:tcBorders>
              <w:top w:val="single" w:sz="8" w:color="auto"/>
            </w:tcBorders>
            <w:shd w:val="clear" w:color="auto" w:fill="DEDEDE"/>
          </w:tcPr>
          <w:p>
            <w:pPr>
              <w:spacing w:after="0"/>
              <w:rPr>
                <w:sz w:val="14"/>
                <w:szCs w:val="14"/>
                <w:color w:val="auto"/>
              </w:rPr>
            </w:pPr>
          </w:p>
        </w:tc>
        <w:tc>
          <w:tcPr>
            <w:tcW w:w="540" w:type="dxa"/>
            <w:vAlign w:val="bottom"/>
            <w:tcBorders>
              <w:top w:val="single" w:sz="8" w:color="auto"/>
            </w:tcBorders>
            <w:shd w:val="clear" w:color="auto" w:fill="DEDEDE"/>
          </w:tcPr>
          <w:p>
            <w:pPr>
              <w:spacing w:after="0"/>
              <w:rPr>
                <w:sz w:val="14"/>
                <w:szCs w:val="14"/>
                <w:color w:val="auto"/>
              </w:rPr>
            </w:pPr>
          </w:p>
        </w:tc>
        <w:tc>
          <w:tcPr>
            <w:tcW w:w="180" w:type="dxa"/>
            <w:vAlign w:val="bottom"/>
            <w:tcBorders>
              <w:top w:val="single" w:sz="8" w:color="DEDEDE"/>
            </w:tcBorders>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1840" w:type="dxa"/>
            <w:vAlign w:val="bottom"/>
            <w:tcBorders>
              <w:top w:val="single" w:sz="8" w:color="DEDEDE"/>
            </w:tcBorders>
            <w:shd w:val="clear" w:color="auto" w:fill="DEDEDE"/>
          </w:tcPr>
          <w:p>
            <w:pPr>
              <w:spacing w:after="0" w:line="20" w:lineRule="exact"/>
              <w:rPr>
                <w:sz w:val="1"/>
                <w:szCs w:val="1"/>
                <w:color w:val="auto"/>
              </w:rPr>
            </w:pPr>
          </w:p>
        </w:tc>
        <w:tc>
          <w:tcPr>
            <w:tcW w:w="16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820" w:type="dxa"/>
            <w:vAlign w:val="bottom"/>
            <w:tcBorders>
              <w:top w:val="single" w:sz="8" w:color="DEDEDE"/>
            </w:tcBorders>
            <w:shd w:val="clear" w:color="auto" w:fill="DEDEDE"/>
          </w:tcPr>
          <w:p>
            <w:pPr>
              <w:spacing w:after="0" w:line="20" w:lineRule="exact"/>
              <w:rPr>
                <w:sz w:val="1"/>
                <w:szCs w:val="1"/>
                <w:color w:val="auto"/>
              </w:rPr>
            </w:pPr>
          </w:p>
        </w:tc>
        <w:tc>
          <w:tcPr>
            <w:tcW w:w="240" w:type="dxa"/>
            <w:vAlign w:val="bottom"/>
            <w:tcBorders>
              <w:top w:val="single" w:sz="8" w:color="DEDEDE"/>
            </w:tcBorders>
            <w:shd w:val="clear" w:color="auto" w:fill="DEDEDE"/>
          </w:tcPr>
          <w:p>
            <w:pPr>
              <w:spacing w:after="0" w:line="20" w:lineRule="exact"/>
              <w:rPr>
                <w:sz w:val="1"/>
                <w:szCs w:val="1"/>
                <w:color w:val="auto"/>
              </w:rPr>
            </w:pPr>
          </w:p>
        </w:tc>
        <w:tc>
          <w:tcPr>
            <w:tcW w:w="920" w:type="dxa"/>
            <w:vAlign w:val="bottom"/>
            <w:tcBorders>
              <w:top w:val="single" w:sz="8" w:color="DEDEDE"/>
            </w:tcBorders>
            <w:shd w:val="clear" w:color="auto" w:fill="DEDEDE"/>
          </w:tcPr>
          <w:p>
            <w:pPr>
              <w:spacing w:after="0" w:line="20" w:lineRule="exact"/>
              <w:rPr>
                <w:sz w:val="1"/>
                <w:szCs w:val="1"/>
                <w:color w:val="auto"/>
              </w:rPr>
            </w:pPr>
          </w:p>
        </w:tc>
        <w:tc>
          <w:tcPr>
            <w:tcW w:w="280" w:type="dxa"/>
            <w:vAlign w:val="bottom"/>
            <w:tcBorders>
              <w:top w:val="single" w:sz="8" w:color="DEDEDE"/>
            </w:tcBorders>
            <w:shd w:val="clear" w:color="auto" w:fill="DEDEDE"/>
          </w:tcPr>
          <w:p>
            <w:pPr>
              <w:spacing w:after="0" w:line="20" w:lineRule="exact"/>
              <w:rPr>
                <w:sz w:val="1"/>
                <w:szCs w:val="1"/>
                <w:color w:val="auto"/>
              </w:rPr>
            </w:pPr>
          </w:p>
        </w:tc>
        <w:tc>
          <w:tcPr>
            <w:tcW w:w="840" w:type="dxa"/>
            <w:vAlign w:val="bottom"/>
            <w:tcBorders>
              <w:top w:val="single" w:sz="8" w:color="DEDEDE"/>
            </w:tcBorders>
            <w:shd w:val="clear" w:color="auto" w:fill="DEDEDE"/>
          </w:tcPr>
          <w:p>
            <w:pPr>
              <w:spacing w:after="0" w:line="20" w:lineRule="exact"/>
              <w:rPr>
                <w:sz w:val="1"/>
                <w:szCs w:val="1"/>
                <w:color w:val="auto"/>
              </w:rPr>
            </w:pPr>
          </w:p>
        </w:tc>
        <w:tc>
          <w:tcPr>
            <w:tcW w:w="26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740" w:type="dxa"/>
            <w:vAlign w:val="bottom"/>
            <w:tcBorders>
              <w:top w:val="single" w:sz="8" w:color="DEDEDE"/>
            </w:tcBorders>
            <w:shd w:val="clear" w:color="auto" w:fill="DEDEDE"/>
          </w:tcPr>
          <w:p>
            <w:pPr>
              <w:spacing w:after="0" w:line="20" w:lineRule="exact"/>
              <w:rPr>
                <w:sz w:val="1"/>
                <w:szCs w:val="1"/>
                <w:color w:val="auto"/>
              </w:rPr>
            </w:pPr>
          </w:p>
        </w:tc>
        <w:tc>
          <w:tcPr>
            <w:tcW w:w="28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720" w:type="dxa"/>
            <w:vAlign w:val="bottom"/>
            <w:tcBorders>
              <w:top w:val="single" w:sz="8" w:color="DEDEDE"/>
            </w:tcBorders>
            <w:shd w:val="clear" w:color="auto" w:fill="DEDEDE"/>
          </w:tcPr>
          <w:p>
            <w:pPr>
              <w:spacing w:after="0" w:line="20" w:lineRule="exact"/>
              <w:rPr>
                <w:sz w:val="1"/>
                <w:szCs w:val="1"/>
                <w:color w:val="auto"/>
              </w:rPr>
            </w:pPr>
          </w:p>
        </w:tc>
        <w:tc>
          <w:tcPr>
            <w:tcW w:w="280" w:type="dxa"/>
            <w:vAlign w:val="bottom"/>
            <w:tcBorders>
              <w:top w:val="single" w:sz="8" w:color="DEDEDE"/>
            </w:tcBorders>
            <w:shd w:val="clear" w:color="auto" w:fill="DEDEDE"/>
          </w:tcPr>
          <w:p>
            <w:pPr>
              <w:spacing w:after="0" w:line="20" w:lineRule="exact"/>
              <w:rPr>
                <w:sz w:val="1"/>
                <w:szCs w:val="1"/>
                <w:color w:val="auto"/>
              </w:rPr>
            </w:pPr>
          </w:p>
        </w:tc>
        <w:tc>
          <w:tcPr>
            <w:tcW w:w="840" w:type="dxa"/>
            <w:vAlign w:val="bottom"/>
            <w:tcBorders>
              <w:top w:val="single" w:sz="8" w:color="DEDEDE"/>
            </w:tcBorders>
            <w:shd w:val="clear" w:color="auto" w:fill="DEDEDE"/>
          </w:tcPr>
          <w:p>
            <w:pPr>
              <w:spacing w:after="0" w:line="20" w:lineRule="exact"/>
              <w:rPr>
                <w:sz w:val="1"/>
                <w:szCs w:val="1"/>
                <w:color w:val="auto"/>
              </w:rPr>
            </w:pPr>
          </w:p>
        </w:tc>
        <w:tc>
          <w:tcPr>
            <w:tcW w:w="260" w:type="dxa"/>
            <w:vAlign w:val="bottom"/>
            <w:tcBorders>
              <w:top w:val="single" w:sz="8" w:color="DEDEDE"/>
            </w:tcBorders>
            <w:shd w:val="clear" w:color="auto" w:fill="DEDEDE"/>
          </w:tcPr>
          <w:p>
            <w:pPr>
              <w:spacing w:after="0" w:line="20" w:lineRule="exact"/>
              <w:rPr>
                <w:sz w:val="1"/>
                <w:szCs w:val="1"/>
                <w:color w:val="auto"/>
              </w:rPr>
            </w:pPr>
          </w:p>
        </w:tc>
        <w:tc>
          <w:tcPr>
            <w:tcW w:w="920" w:type="dxa"/>
            <w:vAlign w:val="bottom"/>
            <w:tcBorders>
              <w:top w:val="single" w:sz="8" w:color="DEDEDE"/>
            </w:tcBorders>
            <w:shd w:val="clear" w:color="auto" w:fill="DEDEDE"/>
          </w:tcPr>
          <w:p>
            <w:pPr>
              <w:spacing w:after="0" w:line="20" w:lineRule="exact"/>
              <w:rPr>
                <w:sz w:val="1"/>
                <w:szCs w:val="1"/>
                <w:color w:val="auto"/>
              </w:rPr>
            </w:pPr>
          </w:p>
        </w:tc>
        <w:tc>
          <w:tcPr>
            <w:tcW w:w="280" w:type="dxa"/>
            <w:vAlign w:val="bottom"/>
            <w:tcBorders>
              <w:top w:val="single" w:sz="8" w:color="DEDEDE"/>
            </w:tcBorders>
            <w:shd w:val="clear" w:color="auto" w:fill="DEDEDE"/>
          </w:tcPr>
          <w:p>
            <w:pPr>
              <w:spacing w:after="0" w:line="20" w:lineRule="exact"/>
              <w:rPr>
                <w:sz w:val="1"/>
                <w:szCs w:val="1"/>
                <w:color w:val="auto"/>
              </w:rPr>
            </w:pPr>
          </w:p>
        </w:tc>
        <w:tc>
          <w:tcPr>
            <w:tcW w:w="80" w:type="dxa"/>
            <w:vAlign w:val="bottom"/>
            <w:tcBorders>
              <w:top w:val="single" w:sz="8" w:color="DEDEDE"/>
            </w:tcBorders>
            <w:shd w:val="clear" w:color="auto" w:fill="DEDEDE"/>
          </w:tcPr>
          <w:p>
            <w:pPr>
              <w:spacing w:after="0" w:line="20" w:lineRule="exact"/>
              <w:rPr>
                <w:sz w:val="1"/>
                <w:szCs w:val="1"/>
                <w:color w:val="auto"/>
              </w:rPr>
            </w:pPr>
          </w:p>
        </w:tc>
        <w:tc>
          <w:tcPr>
            <w:tcW w:w="540" w:type="dxa"/>
            <w:vAlign w:val="bottom"/>
            <w:tcBorders>
              <w:top w:val="single" w:sz="8" w:color="DEDEDE"/>
            </w:tcBorders>
            <w:shd w:val="clear" w:color="auto" w:fill="DEDEDE"/>
          </w:tcPr>
          <w:p>
            <w:pPr>
              <w:spacing w:after="0" w:line="20" w:lineRule="exact"/>
              <w:rPr>
                <w:sz w:val="1"/>
                <w:szCs w:val="1"/>
                <w:color w:val="auto"/>
              </w:rPr>
            </w:pPr>
          </w:p>
        </w:tc>
        <w:tc>
          <w:tcPr>
            <w:tcW w:w="180" w:type="dxa"/>
            <w:vAlign w:val="bottom"/>
            <w:tcBorders>
              <w:top w:val="single" w:sz="8" w:color="DEDEDE"/>
            </w:tcBorders>
            <w:shd w:val="clear" w:color="auto" w:fill="DED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7,653,600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$24,600,000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$ 2,352,150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864,128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$ 8,867,779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$44,337,657</w:t>
            </w:r>
          </w:p>
        </w:tc>
        <w:tc>
          <w:tcPr>
            <w:tcW w:w="2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65% to 80%</w:t>
            </w:r>
          </w:p>
        </w:tc>
        <w:tc>
          <w:tcPr>
            <w:tcW w:w="1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10,432,942</w:t>
            </w:r>
          </w:p>
        </w:tc>
        <w:tc>
          <w:tcPr>
            <w:tcW w:w="11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1,840,776</w:t>
            </w:r>
          </w:p>
        </w:tc>
        <w:tc>
          <w:tcPr>
            <w:tcW w:w="1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823,397</w:t>
            </w:r>
          </w:p>
        </w:tc>
        <w:tc>
          <w:tcPr>
            <w:tcW w:w="2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7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7"/>
              </w:rPr>
              <w:t>4,913,313</w:t>
            </w:r>
          </w:p>
        </w:tc>
        <w:tc>
          <w:tcPr>
            <w:tcW w:w="1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18,010,428</w:t>
            </w:r>
          </w:p>
        </w:tc>
        <w:tc>
          <w:tcPr>
            <w:tcW w:w="280" w:type="dxa"/>
            <w:vAlign w:val="bottom"/>
            <w:shd w:val="clear" w:color="auto" w:fill="DEDEDE"/>
          </w:tcPr>
          <w:p>
            <w:pPr>
              <w:spacing w:after="0"/>
              <w:rPr>
                <w:sz w:val="18"/>
                <w:szCs w:val="18"/>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28.70%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405,000</w:t>
            </w:r>
          </w:p>
        </w:tc>
        <w:tc>
          <w:tcPr>
            <w:tcW w:w="280" w:type="dxa"/>
            <w:vAlign w:val="bottom"/>
          </w:tcPr>
          <w:p>
            <w:pPr>
              <w:spacing w:after="0"/>
              <w:rPr>
                <w:sz w:val="19"/>
                <w:szCs w:val="19"/>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184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820" w:type="dxa"/>
            <w:vAlign w:val="bottom"/>
            <w:tcBorders>
              <w:top w:val="single" w:sz="8" w:color="auto"/>
            </w:tcBorders>
            <w:shd w:val="clear" w:color="auto" w:fill="DEDEDE"/>
          </w:tcPr>
          <w:p>
            <w:pPr>
              <w:spacing w:after="0"/>
              <w:rPr>
                <w:sz w:val="18"/>
                <w:szCs w:val="18"/>
                <w:color w:val="auto"/>
              </w:rPr>
            </w:pPr>
          </w:p>
        </w:tc>
        <w:tc>
          <w:tcPr>
            <w:tcW w:w="240" w:type="dxa"/>
            <w:vAlign w:val="bottom"/>
            <w:tcBorders>
              <w:top w:val="single" w:sz="8" w:color="DEDEDE"/>
            </w:tcBorders>
            <w:shd w:val="clear" w:color="auto" w:fill="DEDEDE"/>
          </w:tcPr>
          <w:p>
            <w:pPr>
              <w:spacing w:after="0"/>
              <w:rPr>
                <w:sz w:val="18"/>
                <w:szCs w:val="18"/>
                <w:color w:val="auto"/>
              </w:rPr>
            </w:pPr>
          </w:p>
        </w:tc>
        <w:tc>
          <w:tcPr>
            <w:tcW w:w="920" w:type="dxa"/>
            <w:vAlign w:val="bottom"/>
            <w:tcBorders>
              <w:top w:val="single" w:sz="8" w:color="auto"/>
            </w:tcBorders>
            <w:shd w:val="clear" w:color="auto" w:fill="DEDEDE"/>
          </w:tcPr>
          <w:p>
            <w:pPr>
              <w:spacing w:after="0"/>
              <w:rPr>
                <w:sz w:val="18"/>
                <w:szCs w:val="18"/>
                <w:color w:val="auto"/>
              </w:rPr>
            </w:pPr>
          </w:p>
        </w:tc>
        <w:tc>
          <w:tcPr>
            <w:tcW w:w="280" w:type="dxa"/>
            <w:vAlign w:val="bottom"/>
            <w:tcBorders>
              <w:top w:val="single" w:sz="8" w:color="DEDEDE"/>
            </w:tcBorders>
            <w:shd w:val="clear" w:color="auto" w:fill="DEDEDE"/>
          </w:tcPr>
          <w:p>
            <w:pPr>
              <w:spacing w:after="0"/>
              <w:rPr>
                <w:sz w:val="18"/>
                <w:szCs w:val="18"/>
                <w:color w:val="auto"/>
              </w:rPr>
            </w:pPr>
          </w:p>
        </w:tc>
        <w:tc>
          <w:tcPr>
            <w:tcW w:w="840" w:type="dxa"/>
            <w:vAlign w:val="bottom"/>
            <w:tcBorders>
              <w:top w:val="single" w:sz="8" w:color="auto"/>
            </w:tcBorders>
            <w:shd w:val="clear" w:color="auto" w:fill="DEDEDE"/>
          </w:tcPr>
          <w:p>
            <w:pPr>
              <w:spacing w:after="0"/>
              <w:rPr>
                <w:sz w:val="18"/>
                <w:szCs w:val="18"/>
                <w:color w:val="auto"/>
              </w:rPr>
            </w:pPr>
          </w:p>
        </w:tc>
        <w:tc>
          <w:tcPr>
            <w:tcW w:w="26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740" w:type="dxa"/>
            <w:vAlign w:val="bottom"/>
            <w:tcBorders>
              <w:top w:val="single" w:sz="8" w:color="auto"/>
            </w:tcBorders>
            <w:shd w:val="clear" w:color="auto" w:fill="DEDEDE"/>
          </w:tcPr>
          <w:p>
            <w:pPr>
              <w:spacing w:after="0"/>
              <w:rPr>
                <w:sz w:val="18"/>
                <w:szCs w:val="18"/>
                <w:color w:val="auto"/>
              </w:rPr>
            </w:pPr>
          </w:p>
        </w:tc>
        <w:tc>
          <w:tcPr>
            <w:tcW w:w="28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720" w:type="dxa"/>
            <w:vAlign w:val="bottom"/>
            <w:tcBorders>
              <w:top w:val="single" w:sz="8" w:color="auto"/>
            </w:tcBorders>
            <w:shd w:val="clear" w:color="auto" w:fill="DEDEDE"/>
          </w:tcPr>
          <w:p>
            <w:pPr>
              <w:spacing w:after="0"/>
              <w:rPr>
                <w:sz w:val="18"/>
                <w:szCs w:val="18"/>
                <w:color w:val="auto"/>
              </w:rPr>
            </w:pPr>
          </w:p>
        </w:tc>
        <w:tc>
          <w:tcPr>
            <w:tcW w:w="280" w:type="dxa"/>
            <w:vAlign w:val="bottom"/>
            <w:tcBorders>
              <w:top w:val="single" w:sz="8" w:color="DEDEDE"/>
            </w:tcBorders>
            <w:shd w:val="clear" w:color="auto" w:fill="DEDEDE"/>
          </w:tcPr>
          <w:p>
            <w:pPr>
              <w:spacing w:after="0"/>
              <w:rPr>
                <w:sz w:val="18"/>
                <w:szCs w:val="18"/>
                <w:color w:val="auto"/>
              </w:rPr>
            </w:pPr>
          </w:p>
        </w:tc>
        <w:tc>
          <w:tcPr>
            <w:tcW w:w="840" w:type="dxa"/>
            <w:vAlign w:val="bottom"/>
            <w:tcBorders>
              <w:top w:val="single" w:sz="8" w:color="auto"/>
            </w:tcBorders>
            <w:shd w:val="clear" w:color="auto" w:fill="DEDEDE"/>
          </w:tcPr>
          <w:p>
            <w:pPr>
              <w:spacing w:after="0"/>
              <w:rPr>
                <w:sz w:val="18"/>
                <w:szCs w:val="18"/>
                <w:color w:val="auto"/>
              </w:rPr>
            </w:pPr>
          </w:p>
        </w:tc>
        <w:tc>
          <w:tcPr>
            <w:tcW w:w="260" w:type="dxa"/>
            <w:vAlign w:val="bottom"/>
            <w:tcBorders>
              <w:top w:val="single" w:sz="8" w:color="DEDEDE"/>
            </w:tcBorders>
            <w:shd w:val="clear" w:color="auto" w:fill="DEDEDE"/>
          </w:tcPr>
          <w:p>
            <w:pPr>
              <w:spacing w:after="0"/>
              <w:rPr>
                <w:sz w:val="18"/>
                <w:szCs w:val="18"/>
                <w:color w:val="auto"/>
              </w:rPr>
            </w:pPr>
          </w:p>
        </w:tc>
        <w:tc>
          <w:tcPr>
            <w:tcW w:w="920" w:type="dxa"/>
            <w:vAlign w:val="bottom"/>
            <w:tcBorders>
              <w:top w:val="single" w:sz="8" w:color="auto"/>
            </w:tcBorders>
            <w:shd w:val="clear" w:color="auto" w:fill="DEDEDE"/>
          </w:tcPr>
          <w:p>
            <w:pPr>
              <w:spacing w:after="0"/>
              <w:rPr>
                <w:sz w:val="18"/>
                <w:szCs w:val="18"/>
                <w:color w:val="auto"/>
              </w:rPr>
            </w:pPr>
          </w:p>
        </w:tc>
        <w:tc>
          <w:tcPr>
            <w:tcW w:w="280" w:type="dxa"/>
            <w:vAlign w:val="bottom"/>
            <w:tcBorders>
              <w:top w:val="single" w:sz="8" w:color="DEDEDE"/>
            </w:tcBorders>
            <w:shd w:val="clear" w:color="auto" w:fill="DEDEDE"/>
          </w:tcPr>
          <w:p>
            <w:pPr>
              <w:spacing w:after="0"/>
              <w:rPr>
                <w:sz w:val="18"/>
                <w:szCs w:val="18"/>
                <w:color w:val="auto"/>
              </w:rPr>
            </w:pPr>
          </w:p>
        </w:tc>
        <w:tc>
          <w:tcPr>
            <w:tcW w:w="80" w:type="dxa"/>
            <w:vAlign w:val="bottom"/>
            <w:tcBorders>
              <w:top w:val="single" w:sz="8" w:color="DEDEDE"/>
            </w:tcBorders>
            <w:shd w:val="clear" w:color="auto" w:fill="DEDEDE"/>
          </w:tcPr>
          <w:p>
            <w:pPr>
              <w:spacing w:after="0"/>
              <w:rPr>
                <w:sz w:val="18"/>
                <w:szCs w:val="18"/>
                <w:color w:val="auto"/>
              </w:rPr>
            </w:pPr>
          </w:p>
        </w:tc>
        <w:tc>
          <w:tcPr>
            <w:tcW w:w="540" w:type="dxa"/>
            <w:vAlign w:val="bottom"/>
            <w:tcBorders>
              <w:top w:val="single" w:sz="8" w:color="auto"/>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18,086,542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26,440,776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$ 3,175,547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1,269,128</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4,913,313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$ 8,867,779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62,753,085</w:t>
            </w:r>
          </w:p>
        </w:tc>
        <w:tc>
          <w:tcPr>
            <w:tcW w:w="280" w:type="dxa"/>
            <w:vAlign w:val="bottom"/>
          </w:tcPr>
          <w:p>
            <w:pPr>
              <w:spacing w:after="0"/>
              <w:rPr>
                <w:sz w:val="24"/>
                <w:szCs w:val="24"/>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Borders>
              <w:top w:val="single" w:sz="8" w:color="DEDEDE"/>
            </w:tcBorders>
            <w:shd w:val="clear" w:color="auto" w:fill="DEDEDE"/>
          </w:tcPr>
          <w:p>
            <w:pPr>
              <w:spacing w:after="0"/>
              <w:rPr>
                <w:sz w:val="17"/>
                <w:szCs w:val="17"/>
                <w:color w:val="auto"/>
              </w:rPr>
            </w:pPr>
          </w:p>
        </w:tc>
        <w:tc>
          <w:tcPr>
            <w:tcW w:w="100" w:type="dxa"/>
            <w:vAlign w:val="bottom"/>
            <w:tcBorders>
              <w:top w:val="single" w:sz="8" w:color="DEDEDE"/>
            </w:tcBorders>
            <w:shd w:val="clear" w:color="auto" w:fill="DEDEDE"/>
          </w:tcPr>
          <w:p>
            <w:pPr>
              <w:spacing w:after="0"/>
              <w:rPr>
                <w:sz w:val="17"/>
                <w:szCs w:val="17"/>
                <w:color w:val="auto"/>
              </w:rPr>
            </w:pPr>
          </w:p>
        </w:tc>
        <w:tc>
          <w:tcPr>
            <w:tcW w:w="184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00" w:type="dxa"/>
            <w:vAlign w:val="bottom"/>
            <w:tcBorders>
              <w:top w:val="single" w:sz="8" w:color="auto"/>
            </w:tcBorders>
            <w:shd w:val="clear" w:color="auto" w:fill="DEDEDE"/>
          </w:tcPr>
          <w:p>
            <w:pPr>
              <w:spacing w:after="0"/>
              <w:rPr>
                <w:sz w:val="17"/>
                <w:szCs w:val="17"/>
                <w:color w:val="auto"/>
              </w:rPr>
            </w:pPr>
          </w:p>
        </w:tc>
        <w:tc>
          <w:tcPr>
            <w:tcW w:w="820" w:type="dxa"/>
            <w:vAlign w:val="bottom"/>
            <w:tcBorders>
              <w:top w:val="single" w:sz="8" w:color="auto"/>
            </w:tcBorders>
            <w:shd w:val="clear" w:color="auto" w:fill="DEDEDE"/>
          </w:tcPr>
          <w:p>
            <w:pPr>
              <w:spacing w:after="0"/>
              <w:rPr>
                <w:sz w:val="17"/>
                <w:szCs w:val="17"/>
                <w:color w:val="auto"/>
              </w:rPr>
            </w:pPr>
          </w:p>
        </w:tc>
        <w:tc>
          <w:tcPr>
            <w:tcW w:w="240" w:type="dxa"/>
            <w:vAlign w:val="bottom"/>
            <w:tcBorders>
              <w:top w:val="single" w:sz="8" w:color="DEDEDE"/>
            </w:tcBorders>
            <w:shd w:val="clear" w:color="auto" w:fill="DEDEDE"/>
          </w:tcPr>
          <w:p>
            <w:pPr>
              <w:spacing w:after="0"/>
              <w:rPr>
                <w:sz w:val="17"/>
                <w:szCs w:val="17"/>
                <w:color w:val="auto"/>
              </w:rPr>
            </w:pPr>
          </w:p>
        </w:tc>
        <w:tc>
          <w:tcPr>
            <w:tcW w:w="920" w:type="dxa"/>
            <w:vAlign w:val="bottom"/>
            <w:tcBorders>
              <w:top w:val="single" w:sz="8" w:color="auto"/>
            </w:tcBorders>
            <w:shd w:val="clear" w:color="auto" w:fill="DEDEDE"/>
          </w:tcPr>
          <w:p>
            <w:pPr>
              <w:spacing w:after="0"/>
              <w:rPr>
                <w:sz w:val="17"/>
                <w:szCs w:val="17"/>
                <w:color w:val="auto"/>
              </w:rPr>
            </w:pPr>
          </w:p>
        </w:tc>
        <w:tc>
          <w:tcPr>
            <w:tcW w:w="280" w:type="dxa"/>
            <w:vAlign w:val="bottom"/>
            <w:tcBorders>
              <w:top w:val="single" w:sz="8" w:color="DEDEDE"/>
            </w:tcBorders>
            <w:shd w:val="clear" w:color="auto" w:fill="DEDEDE"/>
          </w:tcPr>
          <w:p>
            <w:pPr>
              <w:spacing w:after="0"/>
              <w:rPr>
                <w:sz w:val="17"/>
                <w:szCs w:val="17"/>
                <w:color w:val="auto"/>
              </w:rPr>
            </w:pPr>
          </w:p>
        </w:tc>
        <w:tc>
          <w:tcPr>
            <w:tcW w:w="840" w:type="dxa"/>
            <w:vAlign w:val="bottom"/>
            <w:tcBorders>
              <w:top w:val="single" w:sz="8" w:color="auto"/>
            </w:tcBorders>
            <w:shd w:val="clear" w:color="auto" w:fill="DEDEDE"/>
          </w:tcPr>
          <w:p>
            <w:pPr>
              <w:spacing w:after="0"/>
              <w:rPr>
                <w:sz w:val="17"/>
                <w:szCs w:val="17"/>
                <w:color w:val="auto"/>
              </w:rPr>
            </w:pPr>
          </w:p>
        </w:tc>
        <w:tc>
          <w:tcPr>
            <w:tcW w:w="260" w:type="dxa"/>
            <w:vAlign w:val="bottom"/>
            <w:tcBorders>
              <w:top w:val="single" w:sz="8" w:color="DEDEDE"/>
            </w:tcBorders>
            <w:shd w:val="clear" w:color="auto" w:fill="DEDEDE"/>
          </w:tcPr>
          <w:p>
            <w:pPr>
              <w:spacing w:after="0"/>
              <w:rPr>
                <w:sz w:val="17"/>
                <w:szCs w:val="17"/>
                <w:color w:val="auto"/>
              </w:rPr>
            </w:pPr>
          </w:p>
        </w:tc>
        <w:tc>
          <w:tcPr>
            <w:tcW w:w="100" w:type="dxa"/>
            <w:vAlign w:val="bottom"/>
            <w:tcBorders>
              <w:top w:val="single" w:sz="8" w:color="auto"/>
            </w:tcBorders>
            <w:shd w:val="clear" w:color="auto" w:fill="DEDEDE"/>
          </w:tcPr>
          <w:p>
            <w:pPr>
              <w:spacing w:after="0"/>
              <w:rPr>
                <w:sz w:val="17"/>
                <w:szCs w:val="17"/>
                <w:color w:val="auto"/>
              </w:rPr>
            </w:pPr>
          </w:p>
        </w:tc>
        <w:tc>
          <w:tcPr>
            <w:tcW w:w="740" w:type="dxa"/>
            <w:vAlign w:val="bottom"/>
            <w:tcBorders>
              <w:top w:val="single" w:sz="8" w:color="auto"/>
            </w:tcBorders>
            <w:shd w:val="clear" w:color="auto" w:fill="DEDEDE"/>
          </w:tcPr>
          <w:p>
            <w:pPr>
              <w:spacing w:after="0"/>
              <w:rPr>
                <w:sz w:val="17"/>
                <w:szCs w:val="17"/>
                <w:color w:val="auto"/>
              </w:rPr>
            </w:pPr>
          </w:p>
        </w:tc>
        <w:tc>
          <w:tcPr>
            <w:tcW w:w="280" w:type="dxa"/>
            <w:vAlign w:val="bottom"/>
            <w:tcBorders>
              <w:top w:val="single" w:sz="8" w:color="DEDEDE"/>
            </w:tcBorders>
            <w:shd w:val="clear" w:color="auto" w:fill="DEDEDE"/>
          </w:tcPr>
          <w:p>
            <w:pPr>
              <w:spacing w:after="0"/>
              <w:rPr>
                <w:sz w:val="17"/>
                <w:szCs w:val="17"/>
                <w:color w:val="auto"/>
              </w:rPr>
            </w:pPr>
          </w:p>
        </w:tc>
        <w:tc>
          <w:tcPr>
            <w:tcW w:w="100" w:type="dxa"/>
            <w:vAlign w:val="bottom"/>
            <w:tcBorders>
              <w:top w:val="single" w:sz="8" w:color="auto"/>
            </w:tcBorders>
            <w:shd w:val="clear" w:color="auto" w:fill="DEDEDE"/>
          </w:tcPr>
          <w:p>
            <w:pPr>
              <w:spacing w:after="0"/>
              <w:rPr>
                <w:sz w:val="17"/>
                <w:szCs w:val="17"/>
                <w:color w:val="auto"/>
              </w:rPr>
            </w:pPr>
          </w:p>
        </w:tc>
        <w:tc>
          <w:tcPr>
            <w:tcW w:w="720" w:type="dxa"/>
            <w:vAlign w:val="bottom"/>
            <w:tcBorders>
              <w:top w:val="single" w:sz="8" w:color="auto"/>
            </w:tcBorders>
            <w:shd w:val="clear" w:color="auto" w:fill="DEDEDE"/>
          </w:tcPr>
          <w:p>
            <w:pPr>
              <w:spacing w:after="0"/>
              <w:rPr>
                <w:sz w:val="17"/>
                <w:szCs w:val="17"/>
                <w:color w:val="auto"/>
              </w:rPr>
            </w:pPr>
          </w:p>
        </w:tc>
        <w:tc>
          <w:tcPr>
            <w:tcW w:w="280" w:type="dxa"/>
            <w:vAlign w:val="bottom"/>
            <w:tcBorders>
              <w:top w:val="single" w:sz="8" w:color="DEDEDE"/>
            </w:tcBorders>
            <w:shd w:val="clear" w:color="auto" w:fill="DEDEDE"/>
          </w:tcPr>
          <w:p>
            <w:pPr>
              <w:spacing w:after="0"/>
              <w:rPr>
                <w:sz w:val="17"/>
                <w:szCs w:val="17"/>
                <w:color w:val="auto"/>
              </w:rPr>
            </w:pPr>
          </w:p>
        </w:tc>
        <w:tc>
          <w:tcPr>
            <w:tcW w:w="840" w:type="dxa"/>
            <w:vAlign w:val="bottom"/>
            <w:tcBorders>
              <w:top w:val="single" w:sz="8" w:color="auto"/>
            </w:tcBorders>
            <w:shd w:val="clear" w:color="auto" w:fill="DEDEDE"/>
          </w:tcPr>
          <w:p>
            <w:pPr>
              <w:spacing w:after="0"/>
              <w:rPr>
                <w:sz w:val="17"/>
                <w:szCs w:val="17"/>
                <w:color w:val="auto"/>
              </w:rPr>
            </w:pPr>
          </w:p>
        </w:tc>
        <w:tc>
          <w:tcPr>
            <w:tcW w:w="260" w:type="dxa"/>
            <w:vAlign w:val="bottom"/>
            <w:tcBorders>
              <w:top w:val="single" w:sz="8" w:color="DEDEDE"/>
            </w:tcBorders>
            <w:shd w:val="clear" w:color="auto" w:fill="DEDEDE"/>
          </w:tcPr>
          <w:p>
            <w:pPr>
              <w:spacing w:after="0"/>
              <w:rPr>
                <w:sz w:val="17"/>
                <w:szCs w:val="17"/>
                <w:color w:val="auto"/>
              </w:rPr>
            </w:pPr>
          </w:p>
        </w:tc>
        <w:tc>
          <w:tcPr>
            <w:tcW w:w="920" w:type="dxa"/>
            <w:vAlign w:val="bottom"/>
            <w:tcBorders>
              <w:top w:val="single" w:sz="8" w:color="auto"/>
            </w:tcBorders>
            <w:shd w:val="clear" w:color="auto" w:fill="DEDEDE"/>
          </w:tcPr>
          <w:p>
            <w:pPr>
              <w:spacing w:after="0"/>
              <w:rPr>
                <w:sz w:val="17"/>
                <w:szCs w:val="17"/>
                <w:color w:val="auto"/>
              </w:rPr>
            </w:pPr>
          </w:p>
        </w:tc>
        <w:tc>
          <w:tcPr>
            <w:tcW w:w="280" w:type="dxa"/>
            <w:vAlign w:val="bottom"/>
            <w:tcBorders>
              <w:top w:val="single" w:sz="8" w:color="DEDEDE"/>
            </w:tcBorders>
            <w:shd w:val="clear" w:color="auto" w:fill="DEDEDE"/>
          </w:tcPr>
          <w:p>
            <w:pPr>
              <w:spacing w:after="0"/>
              <w:rPr>
                <w:sz w:val="17"/>
                <w:szCs w:val="17"/>
                <w:color w:val="auto"/>
              </w:rPr>
            </w:pPr>
          </w:p>
        </w:tc>
        <w:tc>
          <w:tcPr>
            <w:tcW w:w="80" w:type="dxa"/>
            <w:vAlign w:val="bottom"/>
            <w:tcBorders>
              <w:top w:val="single" w:sz="8" w:color="auto"/>
            </w:tcBorders>
            <w:shd w:val="clear" w:color="auto" w:fill="DEDEDE"/>
          </w:tcPr>
          <w:p>
            <w:pPr>
              <w:spacing w:after="0"/>
              <w:rPr>
                <w:sz w:val="17"/>
                <w:szCs w:val="17"/>
                <w:color w:val="auto"/>
              </w:rPr>
            </w:pPr>
          </w:p>
        </w:tc>
        <w:tc>
          <w:tcPr>
            <w:tcW w:w="540" w:type="dxa"/>
            <w:vAlign w:val="bottom"/>
            <w:tcBorders>
              <w:top w:val="single" w:sz="8" w:color="auto"/>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DSCR</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&gt;1.20x</w:t>
            </w:r>
          </w:p>
        </w:tc>
        <w:tc>
          <w:tcPr>
            <w:tcW w:w="2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16,300,000</w:t>
            </w:r>
          </w:p>
        </w:tc>
        <w:tc>
          <w:tcPr>
            <w:tcW w:w="11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$20,990,000</w:t>
            </w:r>
          </w:p>
        </w:tc>
        <w:tc>
          <w:tcPr>
            <w:tcW w:w="1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$ 1,000,000</w:t>
            </w:r>
          </w:p>
        </w:tc>
        <w:tc>
          <w:tcPr>
            <w:tcW w:w="3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7"/>
              </w:rPr>
              <w:t>4,913,313</w:t>
            </w:r>
          </w:p>
        </w:tc>
        <w:tc>
          <w:tcPr>
            <w:tcW w:w="1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$ 5,414,274</w:t>
            </w:r>
          </w:p>
        </w:tc>
        <w:tc>
          <w:tcPr>
            <w:tcW w:w="11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$48,617,587</w:t>
            </w:r>
          </w:p>
        </w:tc>
        <w:tc>
          <w:tcPr>
            <w:tcW w:w="280" w:type="dxa"/>
            <w:vAlign w:val="bottom"/>
            <w:shd w:val="clear" w:color="auto" w:fill="DEDEDE"/>
          </w:tcPr>
          <w:p>
            <w:pPr>
              <w:spacing w:after="0"/>
              <w:rPr>
                <w:sz w:val="18"/>
                <w:szCs w:val="18"/>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1.00x - 1.20x</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432,942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5,450,776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2,175,547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1,269,128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3,453,505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12,781,898</w:t>
            </w:r>
          </w:p>
        </w:tc>
        <w:tc>
          <w:tcPr>
            <w:tcW w:w="28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&lt;1.00x</w:t>
            </w:r>
          </w:p>
        </w:tc>
        <w:tc>
          <w:tcPr>
            <w:tcW w:w="16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1,353,600</w:t>
            </w:r>
          </w:p>
        </w:tc>
        <w:tc>
          <w:tcPr>
            <w:tcW w:w="11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7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1,353,600</w:t>
            </w:r>
          </w:p>
        </w:tc>
        <w:tc>
          <w:tcPr>
            <w:tcW w:w="280" w:type="dxa"/>
            <w:vAlign w:val="bottom"/>
            <w:shd w:val="clear" w:color="auto" w:fill="DEDEDE"/>
          </w:tcPr>
          <w:p>
            <w:pPr>
              <w:spacing w:after="0"/>
              <w:rPr>
                <w:sz w:val="19"/>
                <w:szCs w:val="19"/>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2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18,086,542</w:t>
            </w:r>
          </w:p>
        </w:tc>
        <w:tc>
          <w:tcPr>
            <w:tcW w:w="11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26,440,776</w:t>
            </w:r>
          </w:p>
        </w:tc>
        <w:tc>
          <w:tcPr>
            <w:tcW w:w="1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$ 3,175,547</w:t>
            </w:r>
          </w:p>
        </w:tc>
        <w:tc>
          <w:tcPr>
            <w:tcW w:w="3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9"/>
              </w:rPr>
              <w:t>1,269,128</w:t>
            </w:r>
          </w:p>
        </w:tc>
        <w:tc>
          <w:tcPr>
            <w:tcW w:w="38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7"/>
              </w:rPr>
              <w:t>4,913,313</w:t>
            </w:r>
          </w:p>
        </w:tc>
        <w:tc>
          <w:tcPr>
            <w:tcW w:w="1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$ 8,867,779</w:t>
            </w:r>
          </w:p>
        </w:tc>
        <w:tc>
          <w:tcPr>
            <w:tcW w:w="11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62,753,085</w:t>
            </w:r>
          </w:p>
        </w:tc>
        <w:tc>
          <w:tcPr>
            <w:tcW w:w="280" w:type="dxa"/>
            <w:vAlign w:val="bottom"/>
            <w:shd w:val="clear" w:color="auto" w:fill="DEDEDE"/>
          </w:tcPr>
          <w:p>
            <w:pPr>
              <w:spacing w:after="0"/>
              <w:rPr>
                <w:sz w:val="21"/>
                <w:szCs w:val="21"/>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184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EDEDE"/>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EDEDE"/>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EDED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43</w:t>
      </w:r>
    </w:p>
    <w:p>
      <w:pPr>
        <w:sectPr>
          <w:pgSz w:w="12240" w:h="15840" w:orient="portrait"/>
          <w:cols w:equalWidth="0" w:num="1">
            <w:col w:w="11242"/>
          </w:cols>
          <w:pgMar w:left="498" w:top="687" w:right="500" w:bottom="0" w:gutter="0" w:footer="0" w:header="0"/>
        </w:sectPr>
      </w:pPr>
    </w:p>
    <w:bookmarkStart w:id="71" w:name="page72"/>
    <w:bookmarkEnd w:id="71"/>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mortgage loans by analyzing LTV and loan performance. The Company defines non-performing mortgage loans as loans more than 90 days past due and on a non-accrual status. Monitoring a residential mortgage loan increases when the loan is delinquent or earlier if there is an indication of impairment.</w:t>
      </w:r>
    </w:p>
    <w:p>
      <w:pPr>
        <w:spacing w:after="0" w:line="176"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December 31, 2025:</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1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Prior</w:t>
            </w:r>
          </w:p>
        </w:tc>
        <w:tc>
          <w:tcPr>
            <w:tcW w:w="260" w:type="dxa"/>
            <w:vAlign w:val="bottom"/>
          </w:tcPr>
          <w:p>
            <w:pPr>
              <w:spacing w:after="0"/>
              <w:rPr>
                <w:sz w:val="20"/>
                <w:szCs w:val="20"/>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tcBorders>
              <w:top w:val="single" w:sz="8" w:color="auto"/>
              <w:bottom w:val="single" w:sz="8" w:color="auto"/>
            </w:tcBorders>
            <w:shd w:val="clear" w:color="auto" w:fill="DEDEDE"/>
          </w:tcPr>
          <w:p>
            <w:pPr>
              <w:spacing w:after="0" w:line="170" w:lineRule="exact"/>
              <w:rPr>
                <w:sz w:val="20"/>
                <w:szCs w:val="20"/>
                <w:color w:val="auto"/>
              </w:rPr>
            </w:pPr>
            <w:r>
              <w:rPr>
                <w:rFonts w:ascii="Times New Roman" w:cs="Times New Roman" w:eastAsia="Times New Roman" w:hAnsi="Times New Roman"/>
                <w:sz w:val="18"/>
                <w:szCs w:val="18"/>
                <w:color w:val="auto"/>
                <w:w w:val="97"/>
              </w:rPr>
              <w:t>Performance Indicators:</w:t>
            </w:r>
          </w:p>
        </w:tc>
        <w:tc>
          <w:tcPr>
            <w:tcW w:w="440" w:type="dxa"/>
            <w:vAlign w:val="bottom"/>
            <w:tcBorders>
              <w:top w:val="single" w:sz="8" w:color="auto"/>
              <w:bottom w:val="single" w:sz="8" w:color="DEDEDE"/>
            </w:tcBorders>
            <w:gridSpan w:val="2"/>
            <w:shd w:val="clear" w:color="auto" w:fill="DEDEDE"/>
          </w:tcPr>
          <w:p>
            <w:pPr>
              <w:spacing w:after="0"/>
              <w:rPr>
                <w:sz w:val="16"/>
                <w:szCs w:val="16"/>
                <w:color w:val="auto"/>
              </w:rPr>
            </w:pPr>
          </w:p>
        </w:tc>
        <w:tc>
          <w:tcPr>
            <w:tcW w:w="120" w:type="dxa"/>
            <w:vAlign w:val="bottom"/>
            <w:tcBorders>
              <w:top w:val="single" w:sz="8" w:color="DEDEDE"/>
              <w:bottom w:val="single" w:sz="8" w:color="DEDEDE"/>
            </w:tcBorders>
            <w:shd w:val="clear" w:color="auto" w:fill="DEDEDE"/>
          </w:tcPr>
          <w:p>
            <w:pPr>
              <w:spacing w:after="0"/>
              <w:rPr>
                <w:sz w:val="16"/>
                <w:szCs w:val="16"/>
                <w:color w:val="auto"/>
              </w:rPr>
            </w:pPr>
          </w:p>
        </w:tc>
        <w:tc>
          <w:tcPr>
            <w:tcW w:w="2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380" w:type="dxa"/>
            <w:vAlign w:val="bottom"/>
            <w:tcBorders>
              <w:top w:val="single" w:sz="8" w:color="auto"/>
              <w:bottom w:val="single" w:sz="8" w:color="DEDEDE"/>
            </w:tcBorders>
            <w:shd w:val="clear" w:color="auto" w:fill="DEDEDE"/>
          </w:tcPr>
          <w:p>
            <w:pPr>
              <w:spacing w:after="0"/>
              <w:rPr>
                <w:sz w:val="16"/>
                <w:szCs w:val="16"/>
                <w:color w:val="auto"/>
              </w:rPr>
            </w:pPr>
          </w:p>
        </w:tc>
        <w:tc>
          <w:tcPr>
            <w:tcW w:w="420" w:type="dxa"/>
            <w:vAlign w:val="bottom"/>
            <w:tcBorders>
              <w:top w:val="single" w:sz="8" w:color="auto"/>
              <w:bottom w:val="single" w:sz="8" w:color="DEDEDE"/>
            </w:tcBorders>
            <w:shd w:val="clear" w:color="auto" w:fill="DEDEDE"/>
          </w:tcPr>
          <w:p>
            <w:pPr>
              <w:spacing w:after="0"/>
              <w:rPr>
                <w:sz w:val="16"/>
                <w:szCs w:val="16"/>
                <w:color w:val="auto"/>
              </w:rPr>
            </w:pPr>
          </w:p>
        </w:tc>
        <w:tc>
          <w:tcPr>
            <w:tcW w:w="20" w:type="dxa"/>
            <w:vAlign w:val="bottom"/>
            <w:tcBorders>
              <w:top w:val="single" w:sz="8" w:color="auto"/>
              <w:bottom w:val="single" w:sz="8" w:color="DEDEDE"/>
            </w:tcBorders>
            <w:shd w:val="clear" w:color="auto" w:fill="DEDEDE"/>
          </w:tcPr>
          <w:p>
            <w:pPr>
              <w:spacing w:after="0"/>
              <w:rPr>
                <w:sz w:val="16"/>
                <w:szCs w:val="16"/>
                <w:color w:val="auto"/>
              </w:rPr>
            </w:pPr>
          </w:p>
        </w:tc>
        <w:tc>
          <w:tcPr>
            <w:tcW w:w="12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DEDEDE"/>
              <w:bottom w:val="single" w:sz="8" w:color="DEDEDE"/>
            </w:tcBorders>
            <w:shd w:val="clear" w:color="auto" w:fill="DEDEDE"/>
          </w:tcPr>
          <w:p>
            <w:pPr>
              <w:spacing w:after="0"/>
              <w:rPr>
                <w:sz w:val="16"/>
                <w:szCs w:val="16"/>
                <w:color w:val="auto"/>
              </w:rPr>
            </w:pPr>
          </w:p>
        </w:tc>
        <w:tc>
          <w:tcPr>
            <w:tcW w:w="2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800" w:type="dxa"/>
            <w:vAlign w:val="bottom"/>
            <w:tcBorders>
              <w:top w:val="single" w:sz="8" w:color="auto"/>
              <w:bottom w:val="single" w:sz="8" w:color="DEDEDE"/>
            </w:tcBorders>
            <w:shd w:val="clear" w:color="auto" w:fill="DEDEDE"/>
          </w:tcPr>
          <w:p>
            <w:pPr>
              <w:spacing w:after="0"/>
              <w:rPr>
                <w:sz w:val="16"/>
                <w:szCs w:val="16"/>
                <w:color w:val="auto"/>
              </w:rPr>
            </w:pPr>
          </w:p>
        </w:tc>
        <w:tc>
          <w:tcPr>
            <w:tcW w:w="20" w:type="dxa"/>
            <w:vAlign w:val="bottom"/>
            <w:tcBorders>
              <w:top w:val="single" w:sz="8" w:color="auto"/>
              <w:bottom w:val="single" w:sz="8" w:color="DEDEDE"/>
            </w:tcBorders>
            <w:shd w:val="clear" w:color="auto" w:fill="DEDEDE"/>
          </w:tcPr>
          <w:p>
            <w:pPr>
              <w:spacing w:after="0"/>
              <w:rPr>
                <w:sz w:val="16"/>
                <w:szCs w:val="16"/>
                <w:color w:val="auto"/>
              </w:rPr>
            </w:pPr>
          </w:p>
        </w:tc>
        <w:tc>
          <w:tcPr>
            <w:tcW w:w="24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820" w:type="dxa"/>
            <w:vAlign w:val="bottom"/>
            <w:tcBorders>
              <w:top w:val="single" w:sz="8" w:color="auto"/>
              <w:bottom w:val="single" w:sz="8" w:color="DEDEDE"/>
            </w:tcBorders>
            <w:shd w:val="clear" w:color="auto" w:fill="DEDEDE"/>
          </w:tcPr>
          <w:p>
            <w:pPr>
              <w:spacing w:after="0"/>
              <w:rPr>
                <w:sz w:val="16"/>
                <w:szCs w:val="16"/>
                <w:color w:val="auto"/>
              </w:rPr>
            </w:pPr>
          </w:p>
        </w:tc>
        <w:tc>
          <w:tcPr>
            <w:tcW w:w="26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820" w:type="dxa"/>
            <w:vAlign w:val="bottom"/>
            <w:tcBorders>
              <w:top w:val="single" w:sz="8" w:color="auto"/>
              <w:bottom w:val="single" w:sz="8" w:color="DEDEDE"/>
            </w:tcBorders>
            <w:shd w:val="clear" w:color="auto" w:fill="DEDEDE"/>
          </w:tcPr>
          <w:p>
            <w:pPr>
              <w:spacing w:after="0"/>
              <w:rPr>
                <w:sz w:val="16"/>
                <w:szCs w:val="16"/>
                <w:color w:val="auto"/>
              </w:rPr>
            </w:pPr>
          </w:p>
        </w:tc>
        <w:tc>
          <w:tcPr>
            <w:tcW w:w="26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720" w:type="dxa"/>
            <w:vAlign w:val="bottom"/>
            <w:tcBorders>
              <w:top w:val="single" w:sz="8" w:color="auto"/>
              <w:bottom w:val="single" w:sz="8" w:color="DEDEDE"/>
            </w:tcBorders>
            <w:shd w:val="clear" w:color="auto" w:fill="DEDEDE"/>
          </w:tcPr>
          <w:p>
            <w:pPr>
              <w:spacing w:after="0"/>
              <w:rPr>
                <w:sz w:val="16"/>
                <w:szCs w:val="16"/>
                <w:color w:val="auto"/>
              </w:rPr>
            </w:pPr>
          </w:p>
        </w:tc>
        <w:tc>
          <w:tcPr>
            <w:tcW w:w="26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820" w:type="dxa"/>
            <w:vAlign w:val="bottom"/>
            <w:tcBorders>
              <w:top w:val="single" w:sz="8" w:color="auto"/>
              <w:bottom w:val="single" w:sz="8" w:color="DEDEDE"/>
            </w:tcBorders>
            <w:shd w:val="clear" w:color="auto" w:fill="DEDEDE"/>
          </w:tcPr>
          <w:p>
            <w:pPr>
              <w:spacing w:after="0"/>
              <w:rPr>
                <w:sz w:val="16"/>
                <w:szCs w:val="16"/>
                <w:color w:val="auto"/>
              </w:rPr>
            </w:pPr>
          </w:p>
        </w:tc>
        <w:tc>
          <w:tcPr>
            <w:tcW w:w="260" w:type="dxa"/>
            <w:vAlign w:val="bottom"/>
            <w:tcBorders>
              <w:top w:val="single" w:sz="8" w:color="DEDEDE"/>
              <w:bottom w:val="single" w:sz="8" w:color="DEDEDE"/>
            </w:tcBorders>
            <w:shd w:val="clear" w:color="auto" w:fill="DEDEDE"/>
          </w:tcPr>
          <w:p>
            <w:pPr>
              <w:spacing w:after="0"/>
              <w:rPr>
                <w:sz w:val="16"/>
                <w:szCs w:val="16"/>
                <w:color w:val="auto"/>
              </w:rPr>
            </w:pPr>
          </w:p>
        </w:tc>
        <w:tc>
          <w:tcPr>
            <w:tcW w:w="920" w:type="dxa"/>
            <w:vAlign w:val="bottom"/>
            <w:tcBorders>
              <w:top w:val="single" w:sz="8" w:color="auto"/>
              <w:bottom w:val="single" w:sz="8" w:color="DEDEDE"/>
            </w:tcBorders>
            <w:shd w:val="clear" w:color="auto" w:fill="DEDEDE"/>
          </w:tcPr>
          <w:p>
            <w:pPr>
              <w:spacing w:after="0"/>
              <w:rPr>
                <w:sz w:val="16"/>
                <w:szCs w:val="16"/>
                <w:color w:val="auto"/>
              </w:rPr>
            </w:pPr>
          </w:p>
        </w:tc>
        <w:tc>
          <w:tcPr>
            <w:tcW w:w="260" w:type="dxa"/>
            <w:vAlign w:val="bottom"/>
            <w:tcBorders>
              <w:top w:val="single" w:sz="8" w:color="DEDEDE"/>
              <w:bottom w:val="single" w:sz="8" w:color="DEDEDE"/>
            </w:tcBorders>
            <w:shd w:val="clear" w:color="auto" w:fill="DEDEDE"/>
          </w:tcPr>
          <w:p>
            <w:pPr>
              <w:spacing w:after="0"/>
              <w:rPr>
                <w:sz w:val="16"/>
                <w:szCs w:val="16"/>
                <w:color w:val="auto"/>
              </w:rPr>
            </w:pPr>
          </w:p>
        </w:tc>
        <w:tc>
          <w:tcPr>
            <w:tcW w:w="80" w:type="dxa"/>
            <w:vAlign w:val="bottom"/>
            <w:tcBorders>
              <w:top w:val="single" w:sz="8" w:color="auto"/>
              <w:bottom w:val="single" w:sz="8" w:color="DEDEDE"/>
            </w:tcBorders>
            <w:shd w:val="clear" w:color="auto" w:fill="DEDEDE"/>
          </w:tcPr>
          <w:p>
            <w:pPr>
              <w:spacing w:after="0"/>
              <w:rPr>
                <w:sz w:val="16"/>
                <w:szCs w:val="16"/>
                <w:color w:val="auto"/>
              </w:rPr>
            </w:pPr>
          </w:p>
        </w:tc>
        <w:tc>
          <w:tcPr>
            <w:tcW w:w="540" w:type="dxa"/>
            <w:vAlign w:val="bottom"/>
            <w:tcBorders>
              <w:top w:val="single" w:sz="8" w:color="auto"/>
              <w:bottom w:val="single" w:sz="8" w:color="DEDEDE"/>
            </w:tcBorders>
            <w:shd w:val="clear" w:color="auto" w:fill="DEDEDE"/>
          </w:tcPr>
          <w:p>
            <w:pPr>
              <w:spacing w:after="0"/>
              <w:rPr>
                <w:sz w:val="16"/>
                <w:szCs w:val="16"/>
                <w:color w:val="auto"/>
              </w:rPr>
            </w:pPr>
          </w:p>
        </w:tc>
        <w:tc>
          <w:tcPr>
            <w:tcW w:w="180" w:type="dxa"/>
            <w:vAlign w:val="bottom"/>
            <w:tcBorders>
              <w:top w:val="single" w:sz="8" w:color="DEDEDE"/>
              <w:bottom w:val="single" w:sz="8" w:color="DEDEDE"/>
            </w:tcBorders>
            <w:shd w:val="clear" w:color="auto" w:fill="DEDED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Performing</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w w:val="98"/>
              </w:rPr>
              <w:t>10,946,252</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11,711,336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10,177,427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39,714,697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2,264,902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12,734,067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$87,548,681</w:t>
            </w:r>
          </w:p>
        </w:tc>
        <w:tc>
          <w:tcPr>
            <w:tcW w:w="2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96.58%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12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546,602</w:t>
            </w:r>
          </w:p>
        </w:tc>
        <w:tc>
          <w:tcPr>
            <w:tcW w:w="1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927,255</w:t>
            </w:r>
          </w:p>
        </w:tc>
        <w:tc>
          <w:tcPr>
            <w:tcW w:w="24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616,430</w:t>
            </w:r>
          </w:p>
        </w:tc>
        <w:tc>
          <w:tcPr>
            <w:tcW w:w="26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255,544</w:t>
            </w:r>
          </w:p>
        </w:tc>
        <w:tc>
          <w:tcPr>
            <w:tcW w:w="26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750,078</w:t>
            </w:r>
          </w:p>
        </w:tc>
        <w:tc>
          <w:tcPr>
            <w:tcW w:w="11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3,095,909</w:t>
            </w:r>
          </w:p>
        </w:tc>
        <w:tc>
          <w:tcPr>
            <w:tcW w:w="260" w:type="dxa"/>
            <w:vAlign w:val="bottom"/>
            <w:shd w:val="clear" w:color="auto" w:fill="DEDEDE"/>
          </w:tcPr>
          <w:p>
            <w:pPr>
              <w:spacing w:after="0"/>
              <w:rPr>
                <w:sz w:val="19"/>
                <w:szCs w:val="19"/>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3.42%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16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11,492,854</w:t>
            </w:r>
          </w:p>
        </w:tc>
        <w:tc>
          <w:tcPr>
            <w:tcW w:w="120" w:type="dxa"/>
            <w:vAlign w:val="bottom"/>
            <w:shd w:val="clear" w:color="auto" w:fill="DEDEDE"/>
          </w:tcPr>
          <w:p>
            <w:pPr>
              <w:spacing w:after="0"/>
              <w:rPr>
                <w:sz w:val="21"/>
                <w:szCs w:val="21"/>
                <w:color w:val="auto"/>
              </w:rPr>
            </w:pPr>
          </w:p>
        </w:tc>
        <w:tc>
          <w:tcPr>
            <w:tcW w:w="22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12,638,591</w:t>
            </w:r>
          </w:p>
        </w:tc>
        <w:tc>
          <w:tcPr>
            <w:tcW w:w="3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10,793,857</w:t>
            </w:r>
          </w:p>
        </w:tc>
        <w:tc>
          <w:tcPr>
            <w:tcW w:w="3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39,970,241</w:t>
            </w:r>
          </w:p>
        </w:tc>
        <w:tc>
          <w:tcPr>
            <w:tcW w:w="3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7"/>
              </w:rPr>
              <w:t>2,264,902</w:t>
            </w:r>
          </w:p>
        </w:tc>
        <w:tc>
          <w:tcPr>
            <w:tcW w:w="3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13,484,145</w:t>
            </w:r>
          </w:p>
        </w:tc>
        <w:tc>
          <w:tcPr>
            <w:tcW w:w="11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90,644,590</w:t>
            </w:r>
          </w:p>
        </w:tc>
        <w:tc>
          <w:tcPr>
            <w:tcW w:w="260" w:type="dxa"/>
            <w:vAlign w:val="bottom"/>
            <w:shd w:val="clear" w:color="auto" w:fill="DEDEDE"/>
          </w:tcPr>
          <w:p>
            <w:pPr>
              <w:spacing w:after="0"/>
              <w:rPr>
                <w:sz w:val="21"/>
                <w:szCs w:val="21"/>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gridSpan w:val="2"/>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DEDE"/>
            </w:tcBorders>
            <w:gridSpan w:val="2"/>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gridSpan w:val="2"/>
          </w:tcPr>
          <w:p>
            <w:pPr>
              <w:spacing w:after="0"/>
              <w:rPr>
                <w:sz w:val="17"/>
                <w:szCs w:val="17"/>
                <w:color w:val="auto"/>
              </w:rPr>
            </w:pPr>
          </w:p>
        </w:tc>
        <w:tc>
          <w:tcPr>
            <w:tcW w:w="920" w:type="dxa"/>
            <w:vAlign w:val="bottom"/>
            <w:gridSpan w:val="4"/>
          </w:tcPr>
          <w:p>
            <w:pPr>
              <w:spacing w:after="0"/>
              <w:rPr>
                <w:sz w:val="17"/>
                <w:szCs w:val="17"/>
                <w:color w:val="auto"/>
              </w:rPr>
            </w:pPr>
          </w:p>
        </w:tc>
        <w:tc>
          <w:tcPr>
            <w:tcW w:w="240" w:type="dxa"/>
            <w:vAlign w:val="bottom"/>
            <w:gridSpan w:val="3"/>
          </w:tcPr>
          <w:p>
            <w:pPr>
              <w:spacing w:after="0"/>
              <w:rPr>
                <w:sz w:val="17"/>
                <w:szCs w:val="17"/>
                <w:color w:val="auto"/>
              </w:rPr>
            </w:pPr>
          </w:p>
        </w:tc>
        <w:tc>
          <w:tcPr>
            <w:tcW w:w="920" w:type="dxa"/>
            <w:vAlign w:val="bottom"/>
            <w:gridSpan w:val="3"/>
          </w:tcPr>
          <w:p>
            <w:pPr>
              <w:spacing w:after="0"/>
              <w:rPr>
                <w:sz w:val="17"/>
                <w:szCs w:val="17"/>
                <w:color w:val="auto"/>
              </w:rPr>
            </w:pPr>
          </w:p>
        </w:tc>
        <w:tc>
          <w:tcPr>
            <w:tcW w:w="154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8"/>
              </w:rPr>
              <w:t>(1) Includes residential mortgage loans</w:t>
            </w:r>
          </w:p>
        </w:tc>
        <w:tc>
          <w:tcPr>
            <w:tcW w:w="3120" w:type="dxa"/>
            <w:vAlign w:val="bottom"/>
            <w:gridSpan w:val="13"/>
          </w:tcPr>
          <w:p>
            <w:pPr>
              <w:jc w:val="right"/>
              <w:ind w:right="40"/>
              <w:spacing w:after="0"/>
              <w:rPr>
                <w:sz w:val="20"/>
                <w:szCs w:val="20"/>
                <w:color w:val="auto"/>
              </w:rPr>
            </w:pPr>
            <w:r>
              <w:rPr>
                <w:rFonts w:ascii="Times New Roman" w:cs="Times New Roman" w:eastAsia="Times New Roman" w:hAnsi="Times New Roman"/>
                <w:sz w:val="18"/>
                <w:szCs w:val="18"/>
                <w:color w:val="auto"/>
              </w:rPr>
              <w:t>in the process of foreclosure of $616,430</w:t>
            </w: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LTV:</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20" w:type="dxa"/>
            <w:vAlign w:val="bottom"/>
            <w:tcBorders>
              <w:top w:val="single" w:sz="8" w:color="auto"/>
            </w:tcBorders>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40" w:type="dxa"/>
            <w:vAlign w:val="bottom"/>
            <w:tcBorders>
              <w:top w:val="single" w:sz="8" w:color="DEDEDE"/>
            </w:tcBorders>
            <w:shd w:val="clear" w:color="auto" w:fill="DEDEDE"/>
          </w:tcPr>
          <w:p>
            <w:pPr>
              <w:spacing w:after="0"/>
              <w:rPr>
                <w:sz w:val="18"/>
                <w:szCs w:val="18"/>
                <w:color w:val="auto"/>
              </w:rPr>
            </w:pPr>
          </w:p>
        </w:tc>
        <w:tc>
          <w:tcPr>
            <w:tcW w:w="240" w:type="dxa"/>
            <w:vAlign w:val="bottom"/>
            <w:tcBorders>
              <w:top w:val="single" w:sz="8" w:color="DEDEDE"/>
            </w:tcBorders>
            <w:gridSpan w:val="3"/>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DEDEDE"/>
            </w:tcBorders>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4,382,324</w:t>
            </w:r>
          </w:p>
        </w:tc>
        <w:tc>
          <w:tcPr>
            <w:tcW w:w="2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220" w:type="dxa"/>
            <w:vAlign w:val="bottom"/>
            <w:tcBorders>
              <w:top w:val="single" w:sz="8" w:color="DEDEDE"/>
            </w:tcBorders>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6,054,903</w:t>
            </w:r>
          </w:p>
        </w:tc>
        <w:tc>
          <w:tcPr>
            <w:tcW w:w="20" w:type="dxa"/>
            <w:vAlign w:val="bottom"/>
            <w:tcBorders>
              <w:top w:val="single" w:sz="8" w:color="DEDEDE"/>
            </w:tcBorders>
            <w:shd w:val="clear" w:color="auto" w:fill="DEDEDE"/>
          </w:tcPr>
          <w:p>
            <w:pPr>
              <w:spacing w:after="0"/>
              <w:rPr>
                <w:sz w:val="18"/>
                <w:szCs w:val="18"/>
                <w:color w:val="auto"/>
              </w:rPr>
            </w:pPr>
          </w:p>
        </w:tc>
        <w:tc>
          <w:tcPr>
            <w:tcW w:w="340" w:type="dxa"/>
            <w:vAlign w:val="bottom"/>
            <w:tcBorders>
              <w:top w:val="single" w:sz="8" w:color="DEDEDE"/>
            </w:tcBorders>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4,118,599</w:t>
            </w:r>
          </w:p>
        </w:tc>
        <w:tc>
          <w:tcPr>
            <w:tcW w:w="360" w:type="dxa"/>
            <w:vAlign w:val="bottom"/>
            <w:tcBorders>
              <w:top w:val="single" w:sz="8" w:color="DEDEDE"/>
            </w:tcBorders>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5,710,475</w:t>
            </w:r>
          </w:p>
        </w:tc>
        <w:tc>
          <w:tcPr>
            <w:tcW w:w="360" w:type="dxa"/>
            <w:vAlign w:val="bottom"/>
            <w:tcBorders>
              <w:top w:val="single" w:sz="8" w:color="DEDEDE"/>
            </w:tcBorders>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968,377</w:t>
            </w:r>
          </w:p>
        </w:tc>
        <w:tc>
          <w:tcPr>
            <w:tcW w:w="360" w:type="dxa"/>
            <w:vAlign w:val="bottom"/>
            <w:tcBorders>
              <w:top w:val="single" w:sz="8" w:color="DEDEDE"/>
            </w:tcBorders>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7,259,011</w:t>
            </w:r>
          </w:p>
        </w:tc>
        <w:tc>
          <w:tcPr>
            <w:tcW w:w="1180" w:type="dxa"/>
            <w:vAlign w:val="bottom"/>
            <w:tcBorders>
              <w:top w:val="single" w:sz="8" w:color="DEDEDE"/>
            </w:tcBorders>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$28,493,689</w:t>
            </w:r>
          </w:p>
        </w:tc>
        <w:tc>
          <w:tcPr>
            <w:tcW w:w="260" w:type="dxa"/>
            <w:vAlign w:val="bottom"/>
            <w:tcBorders>
              <w:top w:val="single" w:sz="8" w:color="DEDEDE"/>
            </w:tcBorders>
            <w:shd w:val="clear" w:color="auto" w:fill="DEDEDE"/>
          </w:tcPr>
          <w:p>
            <w:pPr>
              <w:spacing w:after="0"/>
              <w:rPr>
                <w:sz w:val="18"/>
                <w:szCs w:val="18"/>
                <w:color w:val="auto"/>
              </w:rPr>
            </w:pPr>
          </w:p>
        </w:tc>
        <w:tc>
          <w:tcPr>
            <w:tcW w:w="800" w:type="dxa"/>
            <w:vAlign w:val="bottom"/>
            <w:tcBorders>
              <w:top w:val="single" w:sz="8" w:color="DEDEDE"/>
            </w:tcBorders>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65% to 80%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6,673,602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6,428,826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6,380,363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32,514,676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1,296,525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5,688,715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58,982,707</w:t>
            </w:r>
          </w:p>
        </w:tc>
        <w:tc>
          <w:tcPr>
            <w:tcW w:w="2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16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2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436,928</w:t>
            </w:r>
          </w:p>
        </w:tc>
        <w:tc>
          <w:tcPr>
            <w:tcW w:w="2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154,862</w:t>
            </w:r>
          </w:p>
        </w:tc>
        <w:tc>
          <w:tcPr>
            <w:tcW w:w="20" w:type="dxa"/>
            <w:vAlign w:val="bottom"/>
            <w:shd w:val="clear" w:color="auto" w:fill="DEDEDE"/>
          </w:tcPr>
          <w:p>
            <w:pPr>
              <w:spacing w:after="0"/>
              <w:rPr>
                <w:sz w:val="19"/>
                <w:szCs w:val="19"/>
                <w:color w:val="auto"/>
              </w:rPr>
            </w:pPr>
          </w:p>
        </w:tc>
        <w:tc>
          <w:tcPr>
            <w:tcW w:w="24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294,895</w:t>
            </w:r>
          </w:p>
        </w:tc>
        <w:tc>
          <w:tcPr>
            <w:tcW w:w="26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1,745,090</w:t>
            </w:r>
          </w:p>
        </w:tc>
        <w:tc>
          <w:tcPr>
            <w:tcW w:w="26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536,419</w:t>
            </w:r>
          </w:p>
        </w:tc>
        <w:tc>
          <w:tcPr>
            <w:tcW w:w="11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3,168,194</w:t>
            </w:r>
          </w:p>
        </w:tc>
        <w:tc>
          <w:tcPr>
            <w:tcW w:w="260" w:type="dxa"/>
            <w:vAlign w:val="bottom"/>
            <w:shd w:val="clear" w:color="auto" w:fill="DEDEDE"/>
          </w:tcPr>
          <w:p>
            <w:pPr>
              <w:spacing w:after="0"/>
              <w:rPr>
                <w:sz w:val="19"/>
                <w:szCs w:val="19"/>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16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gridSpan w:val="5"/>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$ 11,492,854</w:t>
            </w:r>
          </w:p>
        </w:tc>
        <w:tc>
          <w:tcPr>
            <w:tcW w:w="2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22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6"/>
              </w:rPr>
              <w:t>12,638,591</w:t>
            </w:r>
          </w:p>
        </w:tc>
        <w:tc>
          <w:tcPr>
            <w:tcW w:w="20" w:type="dxa"/>
            <w:vAlign w:val="bottom"/>
            <w:shd w:val="clear" w:color="auto" w:fill="DEDEDE"/>
          </w:tcPr>
          <w:p>
            <w:pPr>
              <w:spacing w:after="0"/>
              <w:rPr>
                <w:sz w:val="21"/>
                <w:szCs w:val="21"/>
                <w:color w:val="auto"/>
              </w:rPr>
            </w:pPr>
          </w:p>
        </w:tc>
        <w:tc>
          <w:tcPr>
            <w:tcW w:w="34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10,793,857</w:t>
            </w:r>
          </w:p>
        </w:tc>
        <w:tc>
          <w:tcPr>
            <w:tcW w:w="3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39,970,241</w:t>
            </w:r>
          </w:p>
        </w:tc>
        <w:tc>
          <w:tcPr>
            <w:tcW w:w="3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7"/>
              </w:rPr>
              <w:t>2,264,902</w:t>
            </w:r>
          </w:p>
        </w:tc>
        <w:tc>
          <w:tcPr>
            <w:tcW w:w="3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13,484,145</w:t>
            </w:r>
          </w:p>
        </w:tc>
        <w:tc>
          <w:tcPr>
            <w:tcW w:w="11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90,644,590</w:t>
            </w:r>
          </w:p>
        </w:tc>
        <w:tc>
          <w:tcPr>
            <w:tcW w:w="260" w:type="dxa"/>
            <w:vAlign w:val="bottom"/>
            <w:shd w:val="clear" w:color="auto" w:fill="DEDEDE"/>
          </w:tcPr>
          <w:p>
            <w:pPr>
              <w:spacing w:after="0"/>
              <w:rPr>
                <w:sz w:val="21"/>
                <w:szCs w:val="21"/>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DEDEDE"/>
            </w:tcBorders>
          </w:tcPr>
          <w:p>
            <w:pPr>
              <w:spacing w:after="0" w:line="20" w:lineRule="exact"/>
              <w:rPr>
                <w:sz w:val="1"/>
                <w:szCs w:val="1"/>
                <w:color w:val="auto"/>
              </w:rPr>
            </w:pPr>
          </w:p>
        </w:tc>
        <w:tc>
          <w:tcPr>
            <w:tcW w:w="400" w:type="dxa"/>
            <w:vAlign w:val="bottom"/>
            <w:tcBorders>
              <w:top w:val="single" w:sz="8" w:color="DEDEDE"/>
            </w:tcBorders>
          </w:tcPr>
          <w:p>
            <w:pPr>
              <w:spacing w:after="0" w:line="20" w:lineRule="exact"/>
              <w:rPr>
                <w:sz w:val="1"/>
                <w:szCs w:val="1"/>
                <w:color w:val="auto"/>
              </w:rPr>
            </w:pPr>
          </w:p>
        </w:tc>
        <w:tc>
          <w:tcPr>
            <w:tcW w:w="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aggregate unpaid principal balance of residential mortgage loans by credit quality indicator and origination year was as follows as of December 31, 2024:</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8"/>
                <w:szCs w:val="18"/>
                <w:color w:val="auto"/>
              </w:rPr>
            </w:pPr>
          </w:p>
        </w:tc>
        <w:tc>
          <w:tcPr>
            <w:tcW w:w="108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18"/>
                <w:szCs w:val="18"/>
                <w:color w:val="auto"/>
              </w:rPr>
            </w:pPr>
          </w:p>
        </w:tc>
        <w:tc>
          <w:tcPr>
            <w:tcW w:w="10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2020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Prior</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20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tcBorders>
              <w:top w:val="single" w:sz="8" w:color="auto"/>
              <w:bottom w:val="single" w:sz="8" w:color="auto"/>
            </w:tcBorders>
            <w:shd w:val="clear" w:color="auto" w:fill="DEDEDE"/>
          </w:tcPr>
          <w:p>
            <w:pPr>
              <w:spacing w:after="0" w:line="170" w:lineRule="exact"/>
              <w:rPr>
                <w:sz w:val="20"/>
                <w:szCs w:val="20"/>
                <w:color w:val="auto"/>
              </w:rPr>
            </w:pPr>
            <w:r>
              <w:rPr>
                <w:rFonts w:ascii="Times New Roman" w:cs="Times New Roman" w:eastAsia="Times New Roman" w:hAnsi="Times New Roman"/>
                <w:sz w:val="18"/>
                <w:szCs w:val="18"/>
                <w:color w:val="auto"/>
                <w:w w:val="97"/>
              </w:rPr>
              <w:t>Performance Indicators:</w:t>
            </w:r>
          </w:p>
        </w:tc>
        <w:tc>
          <w:tcPr>
            <w:tcW w:w="480" w:type="dxa"/>
            <w:vAlign w:val="bottom"/>
            <w:tcBorders>
              <w:top w:val="single" w:sz="8" w:color="auto"/>
              <w:bottom w:val="single" w:sz="8" w:color="DEDEDE"/>
            </w:tcBorders>
            <w:gridSpan w:val="2"/>
            <w:shd w:val="clear" w:color="auto" w:fill="DEDEDE"/>
          </w:tcPr>
          <w:p>
            <w:pPr>
              <w:spacing w:after="0"/>
              <w:rPr>
                <w:sz w:val="16"/>
                <w:szCs w:val="16"/>
                <w:color w:val="auto"/>
              </w:rPr>
            </w:pPr>
          </w:p>
        </w:tc>
        <w:tc>
          <w:tcPr>
            <w:tcW w:w="140" w:type="dxa"/>
            <w:vAlign w:val="bottom"/>
            <w:tcBorders>
              <w:top w:val="single" w:sz="8" w:color="DEDEDE"/>
              <w:bottom w:val="single" w:sz="8" w:color="DEDEDE"/>
            </w:tcBorders>
            <w:shd w:val="clear" w:color="auto" w:fill="DEDEDE"/>
          </w:tcPr>
          <w:p>
            <w:pPr>
              <w:spacing w:after="0"/>
              <w:rPr>
                <w:sz w:val="16"/>
                <w:szCs w:val="16"/>
                <w:color w:val="auto"/>
              </w:rPr>
            </w:pPr>
          </w:p>
        </w:tc>
        <w:tc>
          <w:tcPr>
            <w:tcW w:w="20" w:type="dxa"/>
            <w:vAlign w:val="bottom"/>
            <w:tcBorders>
              <w:top w:val="single" w:sz="8" w:color="DEDEDE"/>
              <w:bottom w:val="single" w:sz="8" w:color="DEDEDE"/>
            </w:tcBorders>
            <w:shd w:val="clear" w:color="auto" w:fill="DEDEDE"/>
          </w:tcPr>
          <w:p>
            <w:pPr>
              <w:spacing w:after="0"/>
              <w:rPr>
                <w:sz w:val="16"/>
                <w:szCs w:val="16"/>
                <w:color w:val="auto"/>
              </w:rPr>
            </w:pPr>
          </w:p>
        </w:tc>
        <w:tc>
          <w:tcPr>
            <w:tcW w:w="80" w:type="dxa"/>
            <w:vAlign w:val="bottom"/>
            <w:tcBorders>
              <w:top w:val="single" w:sz="8" w:color="auto"/>
              <w:bottom w:val="single" w:sz="8" w:color="DEDEDE"/>
            </w:tcBorders>
            <w:shd w:val="clear" w:color="auto" w:fill="DEDEDE"/>
          </w:tcPr>
          <w:p>
            <w:pPr>
              <w:spacing w:after="0"/>
              <w:rPr>
                <w:sz w:val="16"/>
                <w:szCs w:val="16"/>
                <w:color w:val="auto"/>
              </w:rPr>
            </w:pPr>
          </w:p>
        </w:tc>
        <w:tc>
          <w:tcPr>
            <w:tcW w:w="340" w:type="dxa"/>
            <w:vAlign w:val="bottom"/>
            <w:tcBorders>
              <w:top w:val="single" w:sz="8" w:color="auto"/>
              <w:bottom w:val="single" w:sz="8" w:color="DEDEDE"/>
            </w:tcBorders>
            <w:shd w:val="clear" w:color="auto" w:fill="DEDEDE"/>
          </w:tcPr>
          <w:p>
            <w:pPr>
              <w:spacing w:after="0"/>
              <w:rPr>
                <w:sz w:val="16"/>
                <w:szCs w:val="16"/>
                <w:color w:val="auto"/>
              </w:rPr>
            </w:pPr>
          </w:p>
        </w:tc>
        <w:tc>
          <w:tcPr>
            <w:tcW w:w="480" w:type="dxa"/>
            <w:vAlign w:val="bottom"/>
            <w:tcBorders>
              <w:top w:val="single" w:sz="8" w:color="auto"/>
              <w:bottom w:val="single" w:sz="8" w:color="DEDEDE"/>
            </w:tcBorders>
            <w:shd w:val="clear" w:color="auto" w:fill="DEDEDE"/>
          </w:tcPr>
          <w:p>
            <w:pPr>
              <w:spacing w:after="0"/>
              <w:rPr>
                <w:sz w:val="16"/>
                <w:szCs w:val="16"/>
                <w:color w:val="auto"/>
              </w:rPr>
            </w:pPr>
          </w:p>
        </w:tc>
        <w:tc>
          <w:tcPr>
            <w:tcW w:w="20" w:type="dxa"/>
            <w:vAlign w:val="bottom"/>
            <w:tcBorders>
              <w:top w:val="single" w:sz="8" w:color="auto"/>
              <w:bottom w:val="single" w:sz="8" w:color="DEDEDE"/>
            </w:tcBorders>
            <w:shd w:val="clear" w:color="auto" w:fill="DEDEDE"/>
          </w:tcPr>
          <w:p>
            <w:pPr>
              <w:spacing w:after="0"/>
              <w:rPr>
                <w:sz w:val="16"/>
                <w:szCs w:val="16"/>
                <w:color w:val="auto"/>
              </w:rPr>
            </w:pPr>
          </w:p>
        </w:tc>
        <w:tc>
          <w:tcPr>
            <w:tcW w:w="24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820" w:type="dxa"/>
            <w:vAlign w:val="bottom"/>
            <w:tcBorders>
              <w:top w:val="single" w:sz="8" w:color="auto"/>
              <w:bottom w:val="single" w:sz="8" w:color="DEDEDE"/>
            </w:tcBorders>
            <w:shd w:val="clear" w:color="auto" w:fill="DEDEDE"/>
          </w:tcPr>
          <w:p>
            <w:pPr>
              <w:spacing w:after="0"/>
              <w:rPr>
                <w:sz w:val="16"/>
                <w:szCs w:val="16"/>
                <w:color w:val="auto"/>
              </w:rPr>
            </w:pPr>
          </w:p>
        </w:tc>
        <w:tc>
          <w:tcPr>
            <w:tcW w:w="240" w:type="dxa"/>
            <w:vAlign w:val="bottom"/>
            <w:tcBorders>
              <w:top w:val="single" w:sz="8" w:color="DEDEDE"/>
              <w:bottom w:val="single" w:sz="8" w:color="DEDEDE"/>
            </w:tcBorders>
            <w:shd w:val="clear" w:color="auto" w:fill="DEDEDE"/>
          </w:tcPr>
          <w:p>
            <w:pPr>
              <w:spacing w:after="0"/>
              <w:rPr>
                <w:sz w:val="16"/>
                <w:szCs w:val="16"/>
                <w:color w:val="auto"/>
              </w:rPr>
            </w:pPr>
          </w:p>
        </w:tc>
        <w:tc>
          <w:tcPr>
            <w:tcW w:w="2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800" w:type="dxa"/>
            <w:vAlign w:val="bottom"/>
            <w:tcBorders>
              <w:top w:val="single" w:sz="8" w:color="auto"/>
              <w:bottom w:val="single" w:sz="8" w:color="DEDEDE"/>
            </w:tcBorders>
            <w:shd w:val="clear" w:color="auto" w:fill="DEDEDE"/>
          </w:tcPr>
          <w:p>
            <w:pPr>
              <w:spacing w:after="0"/>
              <w:rPr>
                <w:sz w:val="16"/>
                <w:szCs w:val="16"/>
                <w:color w:val="auto"/>
              </w:rPr>
            </w:pPr>
          </w:p>
        </w:tc>
        <w:tc>
          <w:tcPr>
            <w:tcW w:w="20" w:type="dxa"/>
            <w:vAlign w:val="bottom"/>
            <w:tcBorders>
              <w:top w:val="single" w:sz="8" w:color="auto"/>
              <w:bottom w:val="single" w:sz="8" w:color="DEDEDE"/>
            </w:tcBorders>
            <w:shd w:val="clear" w:color="auto" w:fill="DEDEDE"/>
          </w:tcPr>
          <w:p>
            <w:pPr>
              <w:spacing w:after="0"/>
              <w:rPr>
                <w:sz w:val="16"/>
                <w:szCs w:val="16"/>
                <w:color w:val="auto"/>
              </w:rPr>
            </w:pPr>
          </w:p>
        </w:tc>
        <w:tc>
          <w:tcPr>
            <w:tcW w:w="240" w:type="dxa"/>
            <w:vAlign w:val="bottom"/>
            <w:tcBorders>
              <w:top w:val="single" w:sz="8" w:color="DEDEDE"/>
              <w:bottom w:val="single" w:sz="8" w:color="DEDEDE"/>
            </w:tcBorders>
            <w:shd w:val="clear" w:color="auto" w:fill="DEDEDE"/>
          </w:tcPr>
          <w:p>
            <w:pPr>
              <w:spacing w:after="0"/>
              <w:rPr>
                <w:sz w:val="16"/>
                <w:szCs w:val="16"/>
                <w:color w:val="auto"/>
              </w:rPr>
            </w:pPr>
          </w:p>
        </w:tc>
        <w:tc>
          <w:tcPr>
            <w:tcW w:w="20" w:type="dxa"/>
            <w:vAlign w:val="bottom"/>
            <w:tcBorders>
              <w:top w:val="single" w:sz="8" w:color="DEDEDE"/>
              <w:bottom w:val="single" w:sz="8" w:color="DEDEDE"/>
            </w:tcBorders>
            <w:shd w:val="clear" w:color="auto" w:fill="DEDEDE"/>
          </w:tcPr>
          <w:p>
            <w:pPr>
              <w:spacing w:after="0"/>
              <w:rPr>
                <w:sz w:val="16"/>
                <w:szCs w:val="16"/>
                <w:color w:val="auto"/>
              </w:rPr>
            </w:pPr>
          </w:p>
        </w:tc>
        <w:tc>
          <w:tcPr>
            <w:tcW w:w="820" w:type="dxa"/>
            <w:vAlign w:val="bottom"/>
            <w:tcBorders>
              <w:top w:val="single" w:sz="8" w:color="auto"/>
              <w:bottom w:val="single" w:sz="8" w:color="DEDEDE"/>
            </w:tcBorders>
            <w:shd w:val="clear" w:color="auto" w:fill="DEDEDE"/>
          </w:tcPr>
          <w:p>
            <w:pPr>
              <w:spacing w:after="0"/>
              <w:rPr>
                <w:sz w:val="16"/>
                <w:szCs w:val="16"/>
                <w:color w:val="auto"/>
              </w:rPr>
            </w:pPr>
          </w:p>
        </w:tc>
        <w:tc>
          <w:tcPr>
            <w:tcW w:w="20" w:type="dxa"/>
            <w:vAlign w:val="bottom"/>
            <w:tcBorders>
              <w:top w:val="single" w:sz="8" w:color="auto"/>
              <w:bottom w:val="single" w:sz="8" w:color="DEDEDE"/>
            </w:tcBorders>
            <w:shd w:val="clear" w:color="auto" w:fill="DEDEDE"/>
          </w:tcPr>
          <w:p>
            <w:pPr>
              <w:spacing w:after="0"/>
              <w:rPr>
                <w:sz w:val="16"/>
                <w:szCs w:val="16"/>
                <w:color w:val="auto"/>
              </w:rPr>
            </w:pPr>
          </w:p>
        </w:tc>
        <w:tc>
          <w:tcPr>
            <w:tcW w:w="240" w:type="dxa"/>
            <w:vAlign w:val="bottom"/>
            <w:tcBorders>
              <w:top w:val="single" w:sz="8" w:color="DEDEDE"/>
              <w:bottom w:val="single" w:sz="8" w:color="DEDEDE"/>
            </w:tcBorders>
            <w:shd w:val="clear" w:color="auto" w:fill="DEDEDE"/>
          </w:tcPr>
          <w:p>
            <w:pPr>
              <w:spacing w:after="0"/>
              <w:rPr>
                <w:sz w:val="16"/>
                <w:szCs w:val="16"/>
                <w:color w:val="auto"/>
              </w:rPr>
            </w:pPr>
          </w:p>
        </w:tc>
        <w:tc>
          <w:tcPr>
            <w:tcW w:w="20" w:type="dxa"/>
            <w:vAlign w:val="bottom"/>
            <w:tcBorders>
              <w:top w:val="single" w:sz="8" w:color="DEDEDE"/>
              <w:bottom w:val="single" w:sz="8" w:color="DEDEDE"/>
            </w:tcBorders>
            <w:shd w:val="clear" w:color="auto" w:fill="DEDEDE"/>
          </w:tcPr>
          <w:p>
            <w:pPr>
              <w:spacing w:after="0"/>
              <w:rPr>
                <w:sz w:val="16"/>
                <w:szCs w:val="16"/>
                <w:color w:val="auto"/>
              </w:rPr>
            </w:pPr>
          </w:p>
        </w:tc>
        <w:tc>
          <w:tcPr>
            <w:tcW w:w="820" w:type="dxa"/>
            <w:vAlign w:val="bottom"/>
            <w:tcBorders>
              <w:top w:val="single" w:sz="8" w:color="auto"/>
              <w:bottom w:val="single" w:sz="8" w:color="DEDEDE"/>
            </w:tcBorders>
            <w:shd w:val="clear" w:color="auto" w:fill="DEDEDE"/>
          </w:tcPr>
          <w:p>
            <w:pPr>
              <w:spacing w:after="0"/>
              <w:rPr>
                <w:sz w:val="16"/>
                <w:szCs w:val="16"/>
                <w:color w:val="auto"/>
              </w:rPr>
            </w:pPr>
          </w:p>
        </w:tc>
        <w:tc>
          <w:tcPr>
            <w:tcW w:w="26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800" w:type="dxa"/>
            <w:vAlign w:val="bottom"/>
            <w:tcBorders>
              <w:top w:val="single" w:sz="8" w:color="auto"/>
              <w:bottom w:val="single" w:sz="8" w:color="DEDEDE"/>
            </w:tcBorders>
            <w:shd w:val="clear" w:color="auto" w:fill="DEDEDE"/>
          </w:tcPr>
          <w:p>
            <w:pPr>
              <w:spacing w:after="0"/>
              <w:rPr>
                <w:sz w:val="16"/>
                <w:szCs w:val="16"/>
                <w:color w:val="auto"/>
              </w:rPr>
            </w:pPr>
          </w:p>
        </w:tc>
        <w:tc>
          <w:tcPr>
            <w:tcW w:w="20" w:type="dxa"/>
            <w:vAlign w:val="bottom"/>
            <w:tcBorders>
              <w:top w:val="single" w:sz="8" w:color="auto"/>
              <w:bottom w:val="single" w:sz="8" w:color="DEDEDE"/>
            </w:tcBorders>
            <w:shd w:val="clear" w:color="auto" w:fill="DEDEDE"/>
          </w:tcPr>
          <w:p>
            <w:pPr>
              <w:spacing w:after="0"/>
              <w:rPr>
                <w:sz w:val="16"/>
                <w:szCs w:val="16"/>
                <w:color w:val="auto"/>
              </w:rPr>
            </w:pPr>
          </w:p>
        </w:tc>
        <w:tc>
          <w:tcPr>
            <w:tcW w:w="240" w:type="dxa"/>
            <w:vAlign w:val="bottom"/>
            <w:tcBorders>
              <w:top w:val="single" w:sz="8" w:color="DEDEDE"/>
              <w:bottom w:val="single" w:sz="8" w:color="DEDEDE"/>
            </w:tcBorders>
            <w:shd w:val="clear" w:color="auto" w:fill="DEDEDE"/>
          </w:tcPr>
          <w:p>
            <w:pPr>
              <w:spacing w:after="0"/>
              <w:rPr>
                <w:sz w:val="16"/>
                <w:szCs w:val="16"/>
                <w:color w:val="auto"/>
              </w:rPr>
            </w:pPr>
          </w:p>
        </w:tc>
        <w:tc>
          <w:tcPr>
            <w:tcW w:w="20" w:type="dxa"/>
            <w:vAlign w:val="bottom"/>
            <w:tcBorders>
              <w:top w:val="single" w:sz="8" w:color="DEDEDE"/>
              <w:bottom w:val="single" w:sz="8" w:color="DEDEDE"/>
            </w:tcBorders>
            <w:shd w:val="clear" w:color="auto" w:fill="DEDEDE"/>
          </w:tcPr>
          <w:p>
            <w:pPr>
              <w:spacing w:after="0"/>
              <w:rPr>
                <w:sz w:val="16"/>
                <w:szCs w:val="16"/>
                <w:color w:val="auto"/>
              </w:rPr>
            </w:pPr>
          </w:p>
        </w:tc>
        <w:tc>
          <w:tcPr>
            <w:tcW w:w="900" w:type="dxa"/>
            <w:vAlign w:val="bottom"/>
            <w:tcBorders>
              <w:top w:val="single" w:sz="8" w:color="auto"/>
              <w:bottom w:val="single" w:sz="8" w:color="DEDEDE"/>
            </w:tcBorders>
            <w:shd w:val="clear" w:color="auto" w:fill="DEDEDE"/>
          </w:tcPr>
          <w:p>
            <w:pPr>
              <w:spacing w:after="0"/>
              <w:rPr>
                <w:sz w:val="16"/>
                <w:szCs w:val="16"/>
                <w:color w:val="auto"/>
              </w:rPr>
            </w:pPr>
          </w:p>
        </w:tc>
        <w:tc>
          <w:tcPr>
            <w:tcW w:w="20" w:type="dxa"/>
            <w:vAlign w:val="bottom"/>
            <w:tcBorders>
              <w:top w:val="single" w:sz="8" w:color="auto"/>
              <w:bottom w:val="single" w:sz="8" w:color="DEDEDE"/>
            </w:tcBorders>
            <w:shd w:val="clear" w:color="auto" w:fill="DEDEDE"/>
          </w:tcPr>
          <w:p>
            <w:pPr>
              <w:spacing w:after="0"/>
              <w:rPr>
                <w:sz w:val="16"/>
                <w:szCs w:val="16"/>
                <w:color w:val="auto"/>
              </w:rPr>
            </w:pPr>
          </w:p>
        </w:tc>
        <w:tc>
          <w:tcPr>
            <w:tcW w:w="260" w:type="dxa"/>
            <w:vAlign w:val="bottom"/>
            <w:tcBorders>
              <w:top w:val="single" w:sz="8" w:color="DEDEDE"/>
              <w:bottom w:val="single" w:sz="8" w:color="DEDEDE"/>
            </w:tcBorders>
            <w:shd w:val="clear" w:color="auto" w:fill="DEDEDE"/>
          </w:tcPr>
          <w:p>
            <w:pPr>
              <w:spacing w:after="0"/>
              <w:rPr>
                <w:sz w:val="16"/>
                <w:szCs w:val="16"/>
                <w:color w:val="auto"/>
              </w:rPr>
            </w:pPr>
          </w:p>
        </w:tc>
        <w:tc>
          <w:tcPr>
            <w:tcW w:w="80" w:type="dxa"/>
            <w:vAlign w:val="bottom"/>
            <w:tcBorders>
              <w:top w:val="single" w:sz="8" w:color="auto"/>
              <w:bottom w:val="single" w:sz="8" w:color="DEDEDE"/>
            </w:tcBorders>
            <w:shd w:val="clear" w:color="auto" w:fill="DEDEDE"/>
          </w:tcPr>
          <w:p>
            <w:pPr>
              <w:spacing w:after="0"/>
              <w:rPr>
                <w:sz w:val="16"/>
                <w:szCs w:val="16"/>
                <w:color w:val="auto"/>
              </w:rPr>
            </w:pPr>
          </w:p>
        </w:tc>
        <w:tc>
          <w:tcPr>
            <w:tcW w:w="540" w:type="dxa"/>
            <w:vAlign w:val="bottom"/>
            <w:tcBorders>
              <w:top w:val="single" w:sz="8" w:color="auto"/>
              <w:bottom w:val="single" w:sz="8" w:color="DEDEDE"/>
            </w:tcBorders>
            <w:shd w:val="clear" w:color="auto" w:fill="DEDEDE"/>
          </w:tcPr>
          <w:p>
            <w:pPr>
              <w:spacing w:after="0"/>
              <w:rPr>
                <w:sz w:val="16"/>
                <w:szCs w:val="16"/>
                <w:color w:val="auto"/>
              </w:rPr>
            </w:pPr>
          </w:p>
        </w:tc>
        <w:tc>
          <w:tcPr>
            <w:tcW w:w="180" w:type="dxa"/>
            <w:vAlign w:val="bottom"/>
            <w:tcBorders>
              <w:top w:val="single" w:sz="8" w:color="DEDEDE"/>
              <w:bottom w:val="single" w:sz="8" w:color="DEDEDE"/>
            </w:tcBorders>
            <w:shd w:val="clear" w:color="auto" w:fill="DEDED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Performing</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14,861,098</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10,030,848</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42,634,670</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$ 3,076,901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$ 5,513,462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8,940,966</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$85,057,945</w:t>
            </w:r>
          </w:p>
        </w:tc>
        <w:tc>
          <w:tcPr>
            <w:tcW w:w="2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92.39%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Non-performing (1)</w:t>
            </w:r>
          </w:p>
        </w:tc>
        <w:tc>
          <w:tcPr>
            <w:tcW w:w="1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84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3,442,992</w:t>
            </w:r>
          </w:p>
        </w:tc>
        <w:tc>
          <w:tcPr>
            <w:tcW w:w="2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1,451,039</w:t>
            </w:r>
          </w:p>
        </w:tc>
        <w:tc>
          <w:tcPr>
            <w:tcW w:w="1100" w:type="dxa"/>
            <w:vAlign w:val="bottom"/>
            <w:gridSpan w:val="4"/>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291,359</w:t>
            </w:r>
          </w:p>
        </w:tc>
        <w:tc>
          <w:tcPr>
            <w:tcW w:w="108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311,116</w:t>
            </w:r>
          </w:p>
        </w:tc>
        <w:tc>
          <w:tcPr>
            <w:tcW w:w="26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1,507,336</w:t>
            </w:r>
          </w:p>
        </w:tc>
        <w:tc>
          <w:tcPr>
            <w:tcW w:w="1180" w:type="dxa"/>
            <w:vAlign w:val="bottom"/>
            <w:gridSpan w:val="4"/>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7,003,842</w:t>
            </w:r>
          </w:p>
        </w:tc>
        <w:tc>
          <w:tcPr>
            <w:tcW w:w="260" w:type="dxa"/>
            <w:vAlign w:val="bottom"/>
            <w:shd w:val="clear" w:color="auto" w:fill="DEDEDE"/>
          </w:tcPr>
          <w:p>
            <w:pPr>
              <w:spacing w:after="0"/>
              <w:rPr>
                <w:sz w:val="19"/>
                <w:szCs w:val="19"/>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7.61%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2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4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14,861,098</w:t>
            </w:r>
          </w:p>
        </w:tc>
        <w:tc>
          <w:tcPr>
            <w:tcW w:w="3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13,473,840</w:t>
            </w:r>
          </w:p>
        </w:tc>
        <w:tc>
          <w:tcPr>
            <w:tcW w:w="36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44,085,709</w:t>
            </w:r>
          </w:p>
        </w:tc>
        <w:tc>
          <w:tcPr>
            <w:tcW w:w="1100" w:type="dxa"/>
            <w:vAlign w:val="bottom"/>
            <w:gridSpan w:val="4"/>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$ 3,368,260</w:t>
            </w:r>
          </w:p>
        </w:tc>
        <w:tc>
          <w:tcPr>
            <w:tcW w:w="108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$ 5,824,578</w:t>
            </w:r>
          </w:p>
        </w:tc>
        <w:tc>
          <w:tcPr>
            <w:tcW w:w="3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10,448,302</w:t>
            </w:r>
          </w:p>
        </w:tc>
        <w:tc>
          <w:tcPr>
            <w:tcW w:w="1180" w:type="dxa"/>
            <w:vAlign w:val="bottom"/>
            <w:gridSpan w:val="4"/>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92,061,787</w:t>
            </w:r>
          </w:p>
        </w:tc>
        <w:tc>
          <w:tcPr>
            <w:tcW w:w="260" w:type="dxa"/>
            <w:vAlign w:val="bottom"/>
            <w:shd w:val="clear" w:color="auto" w:fill="DEDEDE"/>
          </w:tcPr>
          <w:p>
            <w:pPr>
              <w:spacing w:after="0"/>
              <w:rPr>
                <w:sz w:val="21"/>
                <w:szCs w:val="21"/>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DEDEDE"/>
            </w:tcBorders>
          </w:tcPr>
          <w:p>
            <w:pPr>
              <w:spacing w:after="0" w:line="20" w:lineRule="exact"/>
              <w:rPr>
                <w:sz w:val="1"/>
                <w:szCs w:val="1"/>
                <w:color w:val="auto"/>
              </w:rPr>
            </w:pPr>
          </w:p>
        </w:tc>
        <w:tc>
          <w:tcPr>
            <w:tcW w:w="46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gridSpan w:val="2"/>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gridSpan w:val="2"/>
          </w:tcPr>
          <w:p>
            <w:pPr>
              <w:spacing w:after="0"/>
              <w:rPr>
                <w:sz w:val="17"/>
                <w:szCs w:val="17"/>
                <w:color w:val="auto"/>
              </w:rPr>
            </w:pPr>
          </w:p>
        </w:tc>
        <w:tc>
          <w:tcPr>
            <w:tcW w:w="440" w:type="dxa"/>
            <w:vAlign w:val="bottom"/>
            <w:tcBorders>
              <w:bottom w:val="single" w:sz="8" w:color="auto"/>
            </w:tcBorders>
            <w:gridSpan w:val="3"/>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92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3"/>
          </w:tcPr>
          <w:p>
            <w:pPr>
              <w:spacing w:after="0"/>
              <w:rPr>
                <w:sz w:val="17"/>
                <w:szCs w:val="17"/>
                <w:color w:val="auto"/>
              </w:rPr>
            </w:pPr>
          </w:p>
        </w:tc>
        <w:tc>
          <w:tcPr>
            <w:tcW w:w="260" w:type="dxa"/>
            <w:vAlign w:val="bottom"/>
            <w:gridSpan w:val="2"/>
          </w:tcPr>
          <w:p>
            <w:pPr>
              <w:spacing w:after="0"/>
              <w:rPr>
                <w:sz w:val="17"/>
                <w:szCs w:val="17"/>
                <w:color w:val="auto"/>
              </w:rPr>
            </w:pPr>
          </w:p>
        </w:tc>
        <w:tc>
          <w:tcPr>
            <w:tcW w:w="8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gridSpan w:val="21"/>
          </w:tcPr>
          <w:p>
            <w:pPr>
              <w:spacing w:after="0"/>
              <w:rPr>
                <w:sz w:val="20"/>
                <w:szCs w:val="20"/>
                <w:color w:val="auto"/>
              </w:rPr>
            </w:pPr>
            <w:r>
              <w:rPr>
                <w:rFonts w:ascii="Times New Roman" w:cs="Times New Roman" w:eastAsia="Times New Roman" w:hAnsi="Times New Roman"/>
                <w:sz w:val="18"/>
                <w:szCs w:val="18"/>
                <w:color w:val="auto"/>
              </w:rPr>
              <w:t>(1) Includes residential mortgage loans in the process of foreclosure of $3,942,392</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LTV:</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80" w:type="dxa"/>
            <w:vAlign w:val="bottom"/>
            <w:tcBorders>
              <w:top w:val="single" w:sz="8" w:color="auto"/>
            </w:tcBorders>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0" w:type="dxa"/>
            <w:vAlign w:val="bottom"/>
            <w:tcBorders>
              <w:top w:val="single" w:sz="8" w:color="DEDEDE"/>
            </w:tcBorders>
            <w:shd w:val="clear" w:color="auto" w:fill="DEDEDE"/>
          </w:tcPr>
          <w:p>
            <w:pPr>
              <w:spacing w:after="0"/>
              <w:rPr>
                <w:sz w:val="18"/>
                <w:szCs w:val="18"/>
                <w:color w:val="auto"/>
              </w:rPr>
            </w:pPr>
          </w:p>
        </w:tc>
        <w:tc>
          <w:tcPr>
            <w:tcW w:w="240" w:type="dxa"/>
            <w:vAlign w:val="bottom"/>
            <w:tcBorders>
              <w:top w:val="single" w:sz="8" w:color="DEDEDE"/>
            </w:tcBorders>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DEDEDE"/>
            </w:tcBorders>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6,241,730</w:t>
            </w:r>
          </w:p>
        </w:tc>
        <w:tc>
          <w:tcPr>
            <w:tcW w:w="20" w:type="dxa"/>
            <w:vAlign w:val="bottom"/>
            <w:tcBorders>
              <w:top w:val="single" w:sz="8" w:color="DEDEDE"/>
            </w:tcBorders>
            <w:shd w:val="clear" w:color="auto" w:fill="DEDEDE"/>
          </w:tcPr>
          <w:p>
            <w:pPr>
              <w:spacing w:after="0"/>
              <w:rPr>
                <w:sz w:val="18"/>
                <w:szCs w:val="18"/>
                <w:color w:val="auto"/>
              </w:rPr>
            </w:pPr>
          </w:p>
        </w:tc>
        <w:tc>
          <w:tcPr>
            <w:tcW w:w="340" w:type="dxa"/>
            <w:vAlign w:val="bottom"/>
            <w:tcBorders>
              <w:top w:val="single" w:sz="8" w:color="DEDEDE"/>
            </w:tcBorders>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4,931,376</w:t>
            </w:r>
          </w:p>
        </w:tc>
        <w:tc>
          <w:tcPr>
            <w:tcW w:w="360" w:type="dxa"/>
            <w:vAlign w:val="bottom"/>
            <w:tcBorders>
              <w:top w:val="single" w:sz="8" w:color="DEDEDE"/>
            </w:tcBorders>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5,488,954</w:t>
            </w:r>
          </w:p>
        </w:tc>
        <w:tc>
          <w:tcPr>
            <w:tcW w:w="20" w:type="dxa"/>
            <w:vAlign w:val="bottom"/>
            <w:tcBorders>
              <w:top w:val="single" w:sz="8" w:color="DEDEDE"/>
            </w:tcBorders>
            <w:shd w:val="clear" w:color="auto" w:fill="DEDEDE"/>
          </w:tcPr>
          <w:p>
            <w:pPr>
              <w:spacing w:after="0"/>
              <w:rPr>
                <w:sz w:val="18"/>
                <w:szCs w:val="18"/>
                <w:color w:val="auto"/>
              </w:rPr>
            </w:pPr>
          </w:p>
        </w:tc>
        <w:tc>
          <w:tcPr>
            <w:tcW w:w="1080" w:type="dxa"/>
            <w:vAlign w:val="bottom"/>
            <w:tcBorders>
              <w:top w:val="single" w:sz="8" w:color="DEDEDE"/>
            </w:tcBorders>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$ 1,790,036</w:t>
            </w:r>
          </w:p>
        </w:tc>
        <w:tc>
          <w:tcPr>
            <w:tcW w:w="20" w:type="dxa"/>
            <w:vAlign w:val="bottom"/>
            <w:tcBorders>
              <w:top w:val="single" w:sz="8" w:color="DEDEDE"/>
            </w:tcBorders>
            <w:shd w:val="clear" w:color="auto" w:fill="DEDEDE"/>
          </w:tcPr>
          <w:p>
            <w:pPr>
              <w:spacing w:after="0"/>
              <w:rPr>
                <w:sz w:val="18"/>
                <w:szCs w:val="18"/>
                <w:color w:val="auto"/>
              </w:rPr>
            </w:pPr>
          </w:p>
        </w:tc>
        <w:tc>
          <w:tcPr>
            <w:tcW w:w="1080" w:type="dxa"/>
            <w:vAlign w:val="bottom"/>
            <w:tcBorders>
              <w:top w:val="single" w:sz="8" w:color="DEDEDE"/>
            </w:tcBorders>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$ 2,440,002</w:t>
            </w:r>
          </w:p>
        </w:tc>
        <w:tc>
          <w:tcPr>
            <w:tcW w:w="360" w:type="dxa"/>
            <w:vAlign w:val="bottom"/>
            <w:tcBorders>
              <w:top w:val="single" w:sz="8" w:color="DEDEDE"/>
            </w:tcBorders>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5,273,672</w:t>
            </w:r>
          </w:p>
        </w:tc>
        <w:tc>
          <w:tcPr>
            <w:tcW w:w="20" w:type="dxa"/>
            <w:vAlign w:val="bottom"/>
            <w:tcBorders>
              <w:top w:val="single" w:sz="8" w:color="DEDEDE"/>
            </w:tcBorders>
            <w:shd w:val="clear" w:color="auto" w:fill="DEDEDE"/>
          </w:tcPr>
          <w:p>
            <w:pPr>
              <w:spacing w:after="0"/>
              <w:rPr>
                <w:sz w:val="18"/>
                <w:szCs w:val="18"/>
                <w:color w:val="auto"/>
              </w:rPr>
            </w:pPr>
          </w:p>
        </w:tc>
        <w:tc>
          <w:tcPr>
            <w:tcW w:w="1160" w:type="dxa"/>
            <w:vAlign w:val="bottom"/>
            <w:tcBorders>
              <w:top w:val="single" w:sz="8" w:color="DEDEDE"/>
            </w:tcBorders>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$26,165,770</w:t>
            </w:r>
          </w:p>
        </w:tc>
        <w:tc>
          <w:tcPr>
            <w:tcW w:w="20" w:type="dxa"/>
            <w:vAlign w:val="bottom"/>
            <w:tcBorders>
              <w:top w:val="single" w:sz="8" w:color="DEDEDE"/>
            </w:tcBorders>
            <w:shd w:val="clear" w:color="auto" w:fill="DEDEDE"/>
          </w:tcPr>
          <w:p>
            <w:pPr>
              <w:spacing w:after="0"/>
              <w:rPr>
                <w:sz w:val="18"/>
                <w:szCs w:val="18"/>
                <w:color w:val="auto"/>
              </w:rPr>
            </w:pPr>
          </w:p>
        </w:tc>
        <w:tc>
          <w:tcPr>
            <w:tcW w:w="260" w:type="dxa"/>
            <w:vAlign w:val="bottom"/>
            <w:tcBorders>
              <w:top w:val="single" w:sz="8" w:color="DEDEDE"/>
            </w:tcBorders>
            <w:shd w:val="clear" w:color="auto" w:fill="DEDEDE"/>
          </w:tcPr>
          <w:p>
            <w:pPr>
              <w:spacing w:after="0"/>
              <w:rPr>
                <w:sz w:val="18"/>
                <w:szCs w:val="18"/>
                <w:color w:val="auto"/>
              </w:rPr>
            </w:pPr>
          </w:p>
        </w:tc>
        <w:tc>
          <w:tcPr>
            <w:tcW w:w="800" w:type="dxa"/>
            <w:vAlign w:val="bottom"/>
            <w:tcBorders>
              <w:top w:val="single" w:sz="8" w:color="DEDEDE"/>
            </w:tcBorders>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65% to 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7,802,984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7,662,200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37,509,634</w:t>
            </w:r>
          </w:p>
        </w:tc>
        <w:tc>
          <w:tcPr>
            <w:tcW w:w="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1,578,224</w:t>
            </w:r>
          </w:p>
        </w:tc>
        <w:tc>
          <w:tcPr>
            <w:tcW w:w="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2,701,008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5,107,289</w:t>
            </w:r>
          </w:p>
        </w:tc>
        <w:tc>
          <w:tcPr>
            <w:tcW w:w="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62,361,339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8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816,384</w:t>
            </w:r>
          </w:p>
        </w:tc>
        <w:tc>
          <w:tcPr>
            <w:tcW w:w="20" w:type="dxa"/>
            <w:vAlign w:val="bottom"/>
            <w:shd w:val="clear" w:color="auto" w:fill="DEDEDE"/>
          </w:tcPr>
          <w:p>
            <w:pPr>
              <w:spacing w:after="0"/>
              <w:rPr>
                <w:sz w:val="19"/>
                <w:szCs w:val="19"/>
                <w:color w:val="auto"/>
              </w:rPr>
            </w:pPr>
          </w:p>
        </w:tc>
        <w:tc>
          <w:tcPr>
            <w:tcW w:w="24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880,264</w:t>
            </w:r>
          </w:p>
        </w:tc>
        <w:tc>
          <w:tcPr>
            <w:tcW w:w="2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1,087,121</w:t>
            </w:r>
          </w:p>
        </w:tc>
        <w:tc>
          <w:tcPr>
            <w:tcW w:w="20" w:type="dxa"/>
            <w:vAlign w:val="bottom"/>
            <w:shd w:val="clear" w:color="auto" w:fill="DEDEDE"/>
          </w:tcPr>
          <w:p>
            <w:pPr>
              <w:spacing w:after="0"/>
              <w:rPr>
                <w:sz w:val="19"/>
                <w:szCs w:val="19"/>
                <w:color w:val="auto"/>
              </w:rPr>
            </w:pPr>
          </w:p>
        </w:tc>
        <w:tc>
          <w:tcPr>
            <w:tcW w:w="108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EDEDE"/>
          </w:tcPr>
          <w:p>
            <w:pPr>
              <w:spacing w:after="0"/>
              <w:rPr>
                <w:sz w:val="19"/>
                <w:szCs w:val="19"/>
                <w:color w:val="auto"/>
              </w:rPr>
            </w:pPr>
          </w:p>
        </w:tc>
        <w:tc>
          <w:tcPr>
            <w:tcW w:w="108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683,568</w:t>
            </w:r>
          </w:p>
        </w:tc>
        <w:tc>
          <w:tcPr>
            <w:tcW w:w="26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67,341</w:t>
            </w:r>
          </w:p>
        </w:tc>
        <w:tc>
          <w:tcPr>
            <w:tcW w:w="20" w:type="dxa"/>
            <w:vAlign w:val="bottom"/>
            <w:shd w:val="clear" w:color="auto" w:fill="DEDEDE"/>
          </w:tcPr>
          <w:p>
            <w:pPr>
              <w:spacing w:after="0"/>
              <w:rPr>
                <w:sz w:val="19"/>
                <w:szCs w:val="19"/>
                <w:color w:val="auto"/>
              </w:rPr>
            </w:pPr>
          </w:p>
        </w:tc>
        <w:tc>
          <w:tcPr>
            <w:tcW w:w="116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3,534,678</w:t>
            </w:r>
          </w:p>
        </w:tc>
        <w:tc>
          <w:tcPr>
            <w:tcW w:w="20" w:type="dxa"/>
            <w:vAlign w:val="bottom"/>
            <w:shd w:val="clear" w:color="auto" w:fill="DEDEDE"/>
          </w:tcPr>
          <w:p>
            <w:pPr>
              <w:spacing w:after="0"/>
              <w:rPr>
                <w:sz w:val="19"/>
                <w:szCs w:val="19"/>
                <w:color w:val="auto"/>
              </w:rPr>
            </w:pPr>
          </w:p>
        </w:tc>
        <w:tc>
          <w:tcPr>
            <w:tcW w:w="260" w:type="dxa"/>
            <w:vAlign w:val="bottom"/>
            <w:shd w:val="clear" w:color="auto" w:fill="DEDEDE"/>
          </w:tcPr>
          <w:p>
            <w:pPr>
              <w:spacing w:after="0"/>
              <w:rPr>
                <w:sz w:val="19"/>
                <w:szCs w:val="19"/>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2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14,861,098</w:t>
            </w:r>
          </w:p>
        </w:tc>
        <w:tc>
          <w:tcPr>
            <w:tcW w:w="20" w:type="dxa"/>
            <w:vAlign w:val="bottom"/>
            <w:shd w:val="clear" w:color="auto" w:fill="DEDEDE"/>
          </w:tcPr>
          <w:p>
            <w:pPr>
              <w:spacing w:after="0"/>
              <w:rPr>
                <w:sz w:val="21"/>
                <w:szCs w:val="21"/>
                <w:color w:val="auto"/>
              </w:rPr>
            </w:pPr>
          </w:p>
        </w:tc>
        <w:tc>
          <w:tcPr>
            <w:tcW w:w="34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13,473,840</w:t>
            </w:r>
          </w:p>
        </w:tc>
        <w:tc>
          <w:tcPr>
            <w:tcW w:w="36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6"/>
              </w:rPr>
              <w:t>44,085,709</w:t>
            </w:r>
          </w:p>
        </w:tc>
        <w:tc>
          <w:tcPr>
            <w:tcW w:w="20" w:type="dxa"/>
            <w:vAlign w:val="bottom"/>
            <w:shd w:val="clear" w:color="auto" w:fill="DEDEDE"/>
          </w:tcPr>
          <w:p>
            <w:pPr>
              <w:spacing w:after="0"/>
              <w:rPr>
                <w:sz w:val="21"/>
                <w:szCs w:val="21"/>
                <w:color w:val="auto"/>
              </w:rPr>
            </w:pPr>
          </w:p>
        </w:tc>
        <w:tc>
          <w:tcPr>
            <w:tcW w:w="108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$ 3,368,260</w:t>
            </w:r>
          </w:p>
        </w:tc>
        <w:tc>
          <w:tcPr>
            <w:tcW w:w="20" w:type="dxa"/>
            <w:vAlign w:val="bottom"/>
            <w:shd w:val="clear" w:color="auto" w:fill="DEDEDE"/>
          </w:tcPr>
          <w:p>
            <w:pPr>
              <w:spacing w:after="0"/>
              <w:rPr>
                <w:sz w:val="21"/>
                <w:szCs w:val="21"/>
                <w:color w:val="auto"/>
              </w:rPr>
            </w:pPr>
          </w:p>
        </w:tc>
        <w:tc>
          <w:tcPr>
            <w:tcW w:w="108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$ 5,824,578</w:t>
            </w:r>
          </w:p>
        </w:tc>
        <w:tc>
          <w:tcPr>
            <w:tcW w:w="3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6"/>
              </w:rPr>
              <w:t>10,448,302</w:t>
            </w:r>
          </w:p>
        </w:tc>
        <w:tc>
          <w:tcPr>
            <w:tcW w:w="20" w:type="dxa"/>
            <w:vAlign w:val="bottom"/>
            <w:shd w:val="clear" w:color="auto" w:fill="DEDEDE"/>
          </w:tcPr>
          <w:p>
            <w:pPr>
              <w:spacing w:after="0"/>
              <w:rPr>
                <w:sz w:val="21"/>
                <w:szCs w:val="21"/>
                <w:color w:val="auto"/>
              </w:rPr>
            </w:pPr>
          </w:p>
        </w:tc>
        <w:tc>
          <w:tcPr>
            <w:tcW w:w="116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92,061,787</w:t>
            </w:r>
          </w:p>
        </w:tc>
        <w:tc>
          <w:tcPr>
            <w:tcW w:w="20" w:type="dxa"/>
            <w:vAlign w:val="bottom"/>
            <w:shd w:val="clear" w:color="auto" w:fill="DEDEDE"/>
          </w:tcPr>
          <w:p>
            <w:pPr>
              <w:spacing w:after="0"/>
              <w:rPr>
                <w:sz w:val="21"/>
                <w:szCs w:val="21"/>
                <w:color w:val="auto"/>
              </w:rPr>
            </w:pPr>
          </w:p>
        </w:tc>
        <w:tc>
          <w:tcPr>
            <w:tcW w:w="260" w:type="dxa"/>
            <w:vAlign w:val="bottom"/>
            <w:shd w:val="clear" w:color="auto" w:fill="DEDEDE"/>
          </w:tcPr>
          <w:p>
            <w:pPr>
              <w:spacing w:after="0"/>
              <w:rPr>
                <w:sz w:val="21"/>
                <w:szCs w:val="21"/>
                <w:color w:val="auto"/>
              </w:rPr>
            </w:pPr>
          </w:p>
        </w:tc>
        <w:tc>
          <w:tcPr>
            <w:tcW w:w="800" w:type="dxa"/>
            <w:vAlign w:val="bottom"/>
            <w:gridSpan w:val="3"/>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DEDEDE"/>
            </w:tcBorders>
          </w:tcPr>
          <w:p>
            <w:pPr>
              <w:spacing w:after="0" w:line="20" w:lineRule="exact"/>
              <w:rPr>
                <w:sz w:val="1"/>
                <w:szCs w:val="1"/>
                <w:color w:val="auto"/>
              </w:rPr>
            </w:pPr>
          </w:p>
        </w:tc>
        <w:tc>
          <w:tcPr>
            <w:tcW w:w="460" w:type="dxa"/>
            <w:vAlign w:val="bottom"/>
            <w:tcBorders>
              <w:top w:val="single" w:sz="8" w:color="DEDEDE"/>
            </w:tcBorders>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DEDEDE"/>
            </w:tcBorders>
          </w:tcPr>
          <w:p>
            <w:pPr>
              <w:spacing w:after="0" w:line="20" w:lineRule="exact"/>
              <w:rPr>
                <w:sz w:val="1"/>
                <w:szCs w:val="1"/>
                <w:color w:val="auto"/>
              </w:rPr>
            </w:pPr>
          </w:p>
        </w:tc>
        <w:tc>
          <w:tcPr>
            <w:tcW w:w="260" w:type="dxa"/>
            <w:vAlign w:val="bottom"/>
            <w:tcBorders>
              <w:top w:val="single" w:sz="8" w:color="DEDEDE"/>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44</w:t>
      </w:r>
    </w:p>
    <w:p>
      <w:pPr>
        <w:sectPr>
          <w:pgSz w:w="12240" w:h="15840" w:orient="portrait"/>
          <w:cols w:equalWidth="0" w:num="1">
            <w:col w:w="11242"/>
          </w:cols>
          <w:pgMar w:left="498" w:top="687" w:right="500" w:bottom="0" w:gutter="0" w:footer="0" w:header="0"/>
        </w:sectPr>
      </w:pPr>
    </w:p>
    <w:bookmarkStart w:id="72" w:name="page73"/>
    <w:bookmarkEnd w:id="72"/>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company evaluates and monitors the credit quality of its residential construction loans (including land acquisition and development loans) by analyzing LTV and loan performance. Monitoring a residential construction mortgage loan increases when the loan is delinquent or earlier if there is an indication of impairment.</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Credit Quality Indicator</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0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20"/>
                <w:szCs w:val="20"/>
                <w:color w:val="auto"/>
              </w:rPr>
            </w:pPr>
          </w:p>
        </w:tc>
        <w:tc>
          <w:tcPr>
            <w:tcW w:w="7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tcBorders>
              <w:top w:val="single" w:sz="8" w:color="auto"/>
              <w:bottom w:val="single" w:sz="8" w:color="auto"/>
            </w:tcBorders>
            <w:gridSpan w:val="2"/>
            <w:shd w:val="clear" w:color="auto" w:fill="DEDEDE"/>
          </w:tcPr>
          <w:p>
            <w:pPr>
              <w:spacing w:after="0" w:line="170" w:lineRule="exact"/>
              <w:rPr>
                <w:sz w:val="20"/>
                <w:szCs w:val="20"/>
                <w:color w:val="auto"/>
              </w:rPr>
            </w:pPr>
            <w:r>
              <w:rPr>
                <w:rFonts w:ascii="Times New Roman" w:cs="Times New Roman" w:eastAsia="Times New Roman" w:hAnsi="Times New Roman"/>
                <w:sz w:val="18"/>
                <w:szCs w:val="18"/>
                <w:color w:val="auto"/>
                <w:w w:val="97"/>
              </w:rPr>
              <w:t>Performance Indicators:</w:t>
            </w:r>
          </w:p>
        </w:tc>
        <w:tc>
          <w:tcPr>
            <w:tcW w:w="1560" w:type="dxa"/>
            <w:vAlign w:val="bottom"/>
            <w:tcBorders>
              <w:top w:val="single" w:sz="8" w:color="auto"/>
              <w:bottom w:val="single" w:sz="8" w:color="DEDEDE"/>
            </w:tcBorders>
            <w:shd w:val="clear" w:color="auto" w:fill="DEDEDE"/>
          </w:tcPr>
          <w:p>
            <w:pPr>
              <w:spacing w:after="0"/>
              <w:rPr>
                <w:sz w:val="16"/>
                <w:szCs w:val="16"/>
                <w:color w:val="auto"/>
              </w:rPr>
            </w:pPr>
          </w:p>
        </w:tc>
        <w:tc>
          <w:tcPr>
            <w:tcW w:w="18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920" w:type="dxa"/>
            <w:vAlign w:val="bottom"/>
            <w:tcBorders>
              <w:top w:val="single" w:sz="8" w:color="auto"/>
              <w:bottom w:val="single" w:sz="8" w:color="DEDEDE"/>
            </w:tcBorders>
            <w:shd w:val="clear" w:color="auto" w:fill="DEDEDE"/>
          </w:tcPr>
          <w:p>
            <w:pPr>
              <w:spacing w:after="0"/>
              <w:rPr>
                <w:sz w:val="16"/>
                <w:szCs w:val="16"/>
                <w:color w:val="auto"/>
              </w:rPr>
            </w:pPr>
          </w:p>
        </w:tc>
        <w:tc>
          <w:tcPr>
            <w:tcW w:w="120" w:type="dxa"/>
            <w:vAlign w:val="bottom"/>
            <w:tcBorders>
              <w:top w:val="single" w:sz="8" w:color="DEDEDE"/>
              <w:bottom w:val="single" w:sz="8" w:color="DEDEDE"/>
            </w:tcBorders>
            <w:shd w:val="clear" w:color="auto" w:fill="DEDEDE"/>
          </w:tcPr>
          <w:p>
            <w:pPr>
              <w:spacing w:after="0"/>
              <w:rPr>
                <w:sz w:val="16"/>
                <w:szCs w:val="16"/>
                <w:color w:val="auto"/>
              </w:rPr>
            </w:pPr>
          </w:p>
        </w:tc>
        <w:tc>
          <w:tcPr>
            <w:tcW w:w="140" w:type="dxa"/>
            <w:vAlign w:val="bottom"/>
            <w:tcBorders>
              <w:top w:val="single" w:sz="8" w:color="DEDEDE"/>
              <w:bottom w:val="single" w:sz="8" w:color="DEDEDE"/>
            </w:tcBorders>
            <w:shd w:val="clear" w:color="auto" w:fill="DEDEDE"/>
          </w:tcPr>
          <w:p>
            <w:pPr>
              <w:spacing w:after="0"/>
              <w:rPr>
                <w:sz w:val="16"/>
                <w:szCs w:val="16"/>
                <w:color w:val="auto"/>
              </w:rPr>
            </w:pPr>
          </w:p>
        </w:tc>
        <w:tc>
          <w:tcPr>
            <w:tcW w:w="920" w:type="dxa"/>
            <w:vAlign w:val="bottom"/>
            <w:tcBorders>
              <w:top w:val="single" w:sz="8" w:color="auto"/>
              <w:bottom w:val="single" w:sz="8" w:color="DEDEDE"/>
            </w:tcBorders>
            <w:shd w:val="clear" w:color="auto" w:fill="DEDEDE"/>
          </w:tcPr>
          <w:p>
            <w:pPr>
              <w:spacing w:after="0"/>
              <w:rPr>
                <w:sz w:val="16"/>
                <w:szCs w:val="16"/>
                <w:color w:val="auto"/>
              </w:rPr>
            </w:pPr>
          </w:p>
        </w:tc>
        <w:tc>
          <w:tcPr>
            <w:tcW w:w="280" w:type="dxa"/>
            <w:vAlign w:val="bottom"/>
            <w:tcBorders>
              <w:top w:val="single" w:sz="8" w:color="DEDEDE"/>
              <w:bottom w:val="single" w:sz="8" w:color="DEDEDE"/>
            </w:tcBorders>
            <w:shd w:val="clear" w:color="auto" w:fill="DEDEDE"/>
          </w:tcPr>
          <w:p>
            <w:pPr>
              <w:spacing w:after="0"/>
              <w:rPr>
                <w:sz w:val="16"/>
                <w:szCs w:val="16"/>
                <w:color w:val="auto"/>
              </w:rPr>
            </w:pPr>
          </w:p>
        </w:tc>
        <w:tc>
          <w:tcPr>
            <w:tcW w:w="820" w:type="dxa"/>
            <w:vAlign w:val="bottom"/>
            <w:tcBorders>
              <w:top w:val="single" w:sz="8" w:color="auto"/>
              <w:bottom w:val="single" w:sz="8" w:color="DEDEDE"/>
            </w:tcBorders>
            <w:shd w:val="clear" w:color="auto" w:fill="DEDEDE"/>
          </w:tcPr>
          <w:p>
            <w:pPr>
              <w:spacing w:after="0"/>
              <w:rPr>
                <w:sz w:val="16"/>
                <w:szCs w:val="16"/>
                <w:color w:val="auto"/>
              </w:rPr>
            </w:pPr>
          </w:p>
        </w:tc>
        <w:tc>
          <w:tcPr>
            <w:tcW w:w="28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420" w:type="dxa"/>
            <w:vAlign w:val="bottom"/>
            <w:tcBorders>
              <w:top w:val="single" w:sz="8" w:color="auto"/>
              <w:bottom w:val="single" w:sz="8" w:color="DEDEDE"/>
            </w:tcBorders>
            <w:shd w:val="clear" w:color="auto" w:fill="DEDEDE"/>
          </w:tcPr>
          <w:p>
            <w:pPr>
              <w:spacing w:after="0"/>
              <w:rPr>
                <w:sz w:val="16"/>
                <w:szCs w:val="16"/>
                <w:color w:val="auto"/>
              </w:rPr>
            </w:pPr>
          </w:p>
        </w:tc>
        <w:tc>
          <w:tcPr>
            <w:tcW w:w="80" w:type="dxa"/>
            <w:vAlign w:val="bottom"/>
            <w:tcBorders>
              <w:top w:val="single" w:sz="8" w:color="auto"/>
              <w:bottom w:val="single" w:sz="8" w:color="DEDEDE"/>
            </w:tcBorders>
            <w:shd w:val="clear" w:color="auto" w:fill="DEDEDE"/>
          </w:tcPr>
          <w:p>
            <w:pPr>
              <w:spacing w:after="0"/>
              <w:rPr>
                <w:sz w:val="16"/>
                <w:szCs w:val="16"/>
                <w:color w:val="auto"/>
              </w:rPr>
            </w:pPr>
          </w:p>
        </w:tc>
        <w:tc>
          <w:tcPr>
            <w:tcW w:w="300" w:type="dxa"/>
            <w:vAlign w:val="bottom"/>
            <w:tcBorders>
              <w:top w:val="single" w:sz="8" w:color="DEDEDE"/>
              <w:bottom w:val="single" w:sz="8" w:color="DEDEDE"/>
            </w:tcBorders>
            <w:shd w:val="clear" w:color="auto" w:fill="DEDEDE"/>
          </w:tcPr>
          <w:p>
            <w:pPr>
              <w:spacing w:after="0"/>
              <w:rPr>
                <w:sz w:val="16"/>
                <w:szCs w:val="16"/>
                <w:color w:val="auto"/>
              </w:rPr>
            </w:pPr>
          </w:p>
        </w:tc>
        <w:tc>
          <w:tcPr>
            <w:tcW w:w="840" w:type="dxa"/>
            <w:vAlign w:val="bottom"/>
            <w:tcBorders>
              <w:top w:val="single" w:sz="8" w:color="auto"/>
              <w:bottom w:val="single" w:sz="8" w:color="DEDEDE"/>
            </w:tcBorders>
            <w:shd w:val="clear" w:color="auto" w:fill="DEDEDE"/>
          </w:tcPr>
          <w:p>
            <w:pPr>
              <w:spacing w:after="0"/>
              <w:rPr>
                <w:sz w:val="16"/>
                <w:szCs w:val="16"/>
                <w:color w:val="auto"/>
              </w:rPr>
            </w:pPr>
          </w:p>
        </w:tc>
        <w:tc>
          <w:tcPr>
            <w:tcW w:w="30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900" w:type="dxa"/>
            <w:vAlign w:val="bottom"/>
            <w:tcBorders>
              <w:top w:val="single" w:sz="8" w:color="auto"/>
              <w:bottom w:val="single" w:sz="8" w:color="DEDEDE"/>
            </w:tcBorders>
            <w:shd w:val="clear" w:color="auto" w:fill="DEDEDE"/>
          </w:tcPr>
          <w:p>
            <w:pPr>
              <w:spacing w:after="0"/>
              <w:rPr>
                <w:sz w:val="16"/>
                <w:szCs w:val="16"/>
                <w:color w:val="auto"/>
              </w:rPr>
            </w:pPr>
          </w:p>
        </w:tc>
        <w:tc>
          <w:tcPr>
            <w:tcW w:w="300" w:type="dxa"/>
            <w:vAlign w:val="bottom"/>
            <w:tcBorders>
              <w:top w:val="single" w:sz="8" w:color="DEDEDE"/>
              <w:bottom w:val="single" w:sz="8" w:color="DEDEDE"/>
            </w:tcBorders>
            <w:shd w:val="clear" w:color="auto" w:fill="DEDEDE"/>
          </w:tcPr>
          <w:p>
            <w:pPr>
              <w:spacing w:after="0"/>
              <w:rPr>
                <w:sz w:val="16"/>
                <w:szCs w:val="16"/>
                <w:color w:val="auto"/>
              </w:rPr>
            </w:pPr>
          </w:p>
        </w:tc>
        <w:tc>
          <w:tcPr>
            <w:tcW w:w="120" w:type="dxa"/>
            <w:vAlign w:val="bottom"/>
            <w:tcBorders>
              <w:top w:val="single" w:sz="8" w:color="auto"/>
              <w:bottom w:val="single" w:sz="8" w:color="DEDEDE"/>
            </w:tcBorders>
            <w:shd w:val="clear" w:color="auto" w:fill="DEDEDE"/>
          </w:tcPr>
          <w:p>
            <w:pPr>
              <w:spacing w:after="0"/>
              <w:rPr>
                <w:sz w:val="16"/>
                <w:szCs w:val="16"/>
                <w:color w:val="auto"/>
              </w:rPr>
            </w:pPr>
          </w:p>
        </w:tc>
        <w:tc>
          <w:tcPr>
            <w:tcW w:w="540" w:type="dxa"/>
            <w:vAlign w:val="bottom"/>
            <w:tcBorders>
              <w:top w:val="single" w:sz="8" w:color="auto"/>
              <w:bottom w:val="single" w:sz="8" w:color="DEDEDE"/>
            </w:tcBorders>
            <w:shd w:val="clear" w:color="auto" w:fill="DEDEDE"/>
          </w:tcPr>
          <w:p>
            <w:pPr>
              <w:spacing w:after="0"/>
              <w:rPr>
                <w:sz w:val="16"/>
                <w:szCs w:val="16"/>
                <w:color w:val="auto"/>
              </w:rPr>
            </w:pPr>
          </w:p>
        </w:tc>
        <w:tc>
          <w:tcPr>
            <w:tcW w:w="180" w:type="dxa"/>
            <w:vAlign w:val="bottom"/>
            <w:tcBorders>
              <w:top w:val="single" w:sz="8" w:color="DEDEDE"/>
              <w:bottom w:val="single" w:sz="8" w:color="DEDEDE"/>
            </w:tcBorders>
            <w:shd w:val="clear" w:color="auto" w:fill="DEDED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Performing</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105,516,880</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$42,129,717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$ 5,820,344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$ 3,931,764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157,398,705</w:t>
            </w:r>
          </w:p>
        </w:tc>
        <w:tc>
          <w:tcPr>
            <w:tcW w:w="3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1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18"/>
                <w:szCs w:val="18"/>
                <w:color w:val="auto"/>
              </w:rPr>
            </w:pPr>
          </w:p>
        </w:tc>
        <w:tc>
          <w:tcPr>
            <w:tcW w:w="10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DEDEDE"/>
          </w:tcPr>
          <w:p>
            <w:pPr>
              <w:spacing w:after="0"/>
              <w:rPr>
                <w:sz w:val="18"/>
                <w:szCs w:val="18"/>
                <w:color w:val="auto"/>
              </w:rPr>
            </w:pPr>
          </w:p>
        </w:tc>
        <w:tc>
          <w:tcPr>
            <w:tcW w:w="84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Borders>
              <w:bottom w:val="single" w:sz="8" w:color="DEDEDE"/>
            </w:tcBorders>
          </w:tcPr>
          <w:p>
            <w:pPr>
              <w:spacing w:after="0"/>
              <w:rPr>
                <w:sz w:val="19"/>
                <w:szCs w:val="19"/>
                <w:color w:val="auto"/>
              </w:rPr>
            </w:pPr>
          </w:p>
        </w:tc>
        <w:tc>
          <w:tcPr>
            <w:tcW w:w="1380" w:type="dxa"/>
            <w:vAlign w:val="bottom"/>
            <w:tcBorders>
              <w:bottom w:val="single" w:sz="8" w:color="DEDEDE"/>
            </w:tcBorders>
          </w:tcPr>
          <w:p>
            <w:pPr>
              <w:spacing w:after="0"/>
              <w:rPr>
                <w:sz w:val="19"/>
                <w:szCs w:val="19"/>
                <w:color w:val="auto"/>
              </w:rPr>
            </w:pPr>
          </w:p>
        </w:tc>
        <w:tc>
          <w:tcPr>
            <w:tcW w:w="1560" w:type="dxa"/>
            <w:vAlign w:val="bottom"/>
            <w:tcBorders>
              <w:bottom w:val="single" w:sz="8" w:color="DEDEDE"/>
            </w:tcBorders>
          </w:tcPr>
          <w:p>
            <w:pPr>
              <w:spacing w:after="0"/>
              <w:rPr>
                <w:sz w:val="19"/>
                <w:szCs w:val="19"/>
                <w:color w:val="auto"/>
              </w:rPr>
            </w:pPr>
          </w:p>
        </w:tc>
        <w:tc>
          <w:tcPr>
            <w:tcW w:w="180" w:type="dxa"/>
            <w:vAlign w:val="bottom"/>
            <w:tcBorders>
              <w:bottom w:val="single" w:sz="8" w:color="DEDED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DEDEDE"/>
            </w:tcBorders>
          </w:tcPr>
          <w:p>
            <w:pPr>
              <w:spacing w:after="0"/>
              <w:rPr>
                <w:sz w:val="19"/>
                <w:szCs w:val="19"/>
                <w:color w:val="auto"/>
              </w:rPr>
            </w:pPr>
          </w:p>
        </w:tc>
        <w:tc>
          <w:tcPr>
            <w:tcW w:w="140" w:type="dxa"/>
            <w:vAlign w:val="bottom"/>
            <w:tcBorders>
              <w:bottom w:val="single" w:sz="8" w:color="DEDEDE"/>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DEDEDE"/>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DEDED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DEDEDE"/>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DEDED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00" w:type="dxa"/>
            <w:vAlign w:val="bottom"/>
            <w:tcBorders>
              <w:bottom w:val="single" w:sz="8" w:color="DEDED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bottom w:val="single" w:sz="8" w:color="DEDEDE"/>
            </w:tcBorders>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DEDEDE"/>
            </w:tcBorders>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9"/>
              </w:rPr>
              <w:t>105,516,880</w:t>
            </w:r>
          </w:p>
        </w:tc>
        <w:tc>
          <w:tcPr>
            <w:tcW w:w="120" w:type="dxa"/>
            <w:vAlign w:val="bottom"/>
            <w:tcBorders>
              <w:bottom w:val="single" w:sz="8" w:color="DEDEDE"/>
            </w:tcBorders>
            <w:shd w:val="clear" w:color="auto" w:fill="DEDEDE"/>
          </w:tcPr>
          <w:p>
            <w:pPr>
              <w:spacing w:after="0"/>
              <w:rPr>
                <w:sz w:val="19"/>
                <w:szCs w:val="19"/>
                <w:color w:val="auto"/>
              </w:rPr>
            </w:pPr>
          </w:p>
        </w:tc>
        <w:tc>
          <w:tcPr>
            <w:tcW w:w="140" w:type="dxa"/>
            <w:vAlign w:val="bottom"/>
            <w:tcBorders>
              <w:bottom w:val="single" w:sz="8" w:color="DEDEDE"/>
            </w:tcBorders>
            <w:shd w:val="clear" w:color="auto" w:fill="DEDEDE"/>
          </w:tcPr>
          <w:p>
            <w:pPr>
              <w:spacing w:after="0"/>
              <w:rPr>
                <w:sz w:val="19"/>
                <w:szCs w:val="19"/>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42,129,717</w:t>
            </w:r>
          </w:p>
        </w:tc>
        <w:tc>
          <w:tcPr>
            <w:tcW w:w="280" w:type="dxa"/>
            <w:vAlign w:val="bottom"/>
            <w:tcBorders>
              <w:bottom w:val="single" w:sz="8" w:color="DEDEDE"/>
            </w:tcBorders>
            <w:shd w:val="clear" w:color="auto" w:fill="DEDEDE"/>
          </w:tcPr>
          <w:p>
            <w:pPr>
              <w:spacing w:after="0"/>
              <w:rPr>
                <w:sz w:val="19"/>
                <w:szCs w:val="19"/>
                <w:color w:val="auto"/>
              </w:rPr>
            </w:pPr>
          </w:p>
        </w:tc>
        <w:tc>
          <w:tcPr>
            <w:tcW w:w="8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3"/>
              </w:rPr>
              <w:t>$ 5,820,344</w:t>
            </w:r>
          </w:p>
        </w:tc>
        <w:tc>
          <w:tcPr>
            <w:tcW w:w="280" w:type="dxa"/>
            <w:vAlign w:val="bottom"/>
            <w:tcBorders>
              <w:bottom w:val="single" w:sz="8" w:color="DEDEDE"/>
            </w:tcBorders>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DEDEDE"/>
          </w:tcPr>
          <w:p>
            <w:pPr>
              <w:spacing w:after="0"/>
              <w:rPr>
                <w:sz w:val="19"/>
                <w:szCs w:val="19"/>
                <w:color w:val="auto"/>
              </w:rPr>
            </w:pPr>
          </w:p>
        </w:tc>
        <w:tc>
          <w:tcPr>
            <w:tcW w:w="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DEDEDE"/>
            </w:tcBorders>
            <w:shd w:val="clear" w:color="auto" w:fill="DEDEDE"/>
          </w:tcPr>
          <w:p>
            <w:pPr>
              <w:spacing w:after="0"/>
              <w:rPr>
                <w:sz w:val="19"/>
                <w:szCs w:val="19"/>
                <w:color w:val="auto"/>
              </w:rPr>
            </w:pPr>
          </w:p>
        </w:tc>
        <w:tc>
          <w:tcPr>
            <w:tcW w:w="8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5"/>
              </w:rPr>
              <w:t>$ 3,931,764</w:t>
            </w:r>
          </w:p>
        </w:tc>
        <w:tc>
          <w:tcPr>
            <w:tcW w:w="300" w:type="dxa"/>
            <w:vAlign w:val="bottom"/>
            <w:tcBorders>
              <w:bottom w:val="single" w:sz="8" w:color="DEDEDE"/>
            </w:tcBorders>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7"/>
              </w:rPr>
              <w:t>157,398,705</w:t>
            </w:r>
          </w:p>
        </w:tc>
        <w:tc>
          <w:tcPr>
            <w:tcW w:w="300" w:type="dxa"/>
            <w:vAlign w:val="bottom"/>
            <w:tcBorders>
              <w:bottom w:val="single" w:sz="8" w:color="DEDEDE"/>
            </w:tcBorders>
            <w:shd w:val="clear" w:color="auto" w:fill="DEDEDE"/>
          </w:tcPr>
          <w:p>
            <w:pPr>
              <w:spacing w:after="0"/>
              <w:rPr>
                <w:sz w:val="19"/>
                <w:szCs w:val="19"/>
                <w:color w:val="auto"/>
              </w:rPr>
            </w:pPr>
          </w:p>
        </w:tc>
        <w:tc>
          <w:tcPr>
            <w:tcW w:w="660" w:type="dxa"/>
            <w:vAlign w:val="bottom"/>
            <w:tcBorders>
              <w:bottom w:val="single" w:sz="8" w:color="auto"/>
            </w:tcBorders>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80" w:type="dxa"/>
            <w:vAlign w:val="bottom"/>
            <w:gridSpan w:val="3"/>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rPr>
              <w:t>LTV:</w:t>
            </w:r>
          </w:p>
        </w:tc>
        <w:tc>
          <w:tcPr>
            <w:tcW w:w="180" w:type="dxa"/>
            <w:vAlign w:val="bottom"/>
            <w:shd w:val="clear" w:color="auto" w:fill="DEDEDE"/>
          </w:tcPr>
          <w:p>
            <w:pPr>
              <w:spacing w:after="0"/>
              <w:rPr>
                <w:sz w:val="15"/>
                <w:szCs w:val="15"/>
                <w:color w:val="auto"/>
              </w:rPr>
            </w:pPr>
          </w:p>
        </w:tc>
        <w:tc>
          <w:tcPr>
            <w:tcW w:w="100" w:type="dxa"/>
            <w:vAlign w:val="bottom"/>
            <w:shd w:val="clear" w:color="auto" w:fill="DEDEDE"/>
          </w:tcPr>
          <w:p>
            <w:pPr>
              <w:spacing w:after="0"/>
              <w:rPr>
                <w:sz w:val="15"/>
                <w:szCs w:val="15"/>
                <w:color w:val="auto"/>
              </w:rPr>
            </w:pPr>
          </w:p>
        </w:tc>
        <w:tc>
          <w:tcPr>
            <w:tcW w:w="920" w:type="dxa"/>
            <w:vAlign w:val="bottom"/>
            <w:shd w:val="clear" w:color="auto" w:fill="DEDEDE"/>
          </w:tcPr>
          <w:p>
            <w:pPr>
              <w:spacing w:after="0"/>
              <w:rPr>
                <w:sz w:val="15"/>
                <w:szCs w:val="15"/>
                <w:color w:val="auto"/>
              </w:rPr>
            </w:pPr>
          </w:p>
        </w:tc>
        <w:tc>
          <w:tcPr>
            <w:tcW w:w="120" w:type="dxa"/>
            <w:vAlign w:val="bottom"/>
            <w:shd w:val="clear" w:color="auto" w:fill="DEDEDE"/>
          </w:tcPr>
          <w:p>
            <w:pPr>
              <w:spacing w:after="0"/>
              <w:rPr>
                <w:sz w:val="15"/>
                <w:szCs w:val="15"/>
                <w:color w:val="auto"/>
              </w:rPr>
            </w:pPr>
          </w:p>
        </w:tc>
        <w:tc>
          <w:tcPr>
            <w:tcW w:w="140" w:type="dxa"/>
            <w:vAlign w:val="bottom"/>
            <w:shd w:val="clear" w:color="auto" w:fill="DEDEDE"/>
          </w:tcPr>
          <w:p>
            <w:pPr>
              <w:spacing w:after="0"/>
              <w:rPr>
                <w:sz w:val="15"/>
                <w:szCs w:val="15"/>
                <w:color w:val="auto"/>
              </w:rPr>
            </w:pPr>
          </w:p>
        </w:tc>
        <w:tc>
          <w:tcPr>
            <w:tcW w:w="920" w:type="dxa"/>
            <w:vAlign w:val="bottom"/>
            <w:shd w:val="clear" w:color="auto" w:fill="DEDEDE"/>
          </w:tcPr>
          <w:p>
            <w:pPr>
              <w:spacing w:after="0"/>
              <w:rPr>
                <w:sz w:val="15"/>
                <w:szCs w:val="15"/>
                <w:color w:val="auto"/>
              </w:rPr>
            </w:pPr>
          </w:p>
        </w:tc>
        <w:tc>
          <w:tcPr>
            <w:tcW w:w="280" w:type="dxa"/>
            <w:vAlign w:val="bottom"/>
            <w:shd w:val="clear" w:color="auto" w:fill="DEDEDE"/>
          </w:tcPr>
          <w:p>
            <w:pPr>
              <w:spacing w:after="0"/>
              <w:rPr>
                <w:sz w:val="15"/>
                <w:szCs w:val="15"/>
                <w:color w:val="auto"/>
              </w:rPr>
            </w:pPr>
          </w:p>
        </w:tc>
        <w:tc>
          <w:tcPr>
            <w:tcW w:w="820" w:type="dxa"/>
            <w:vAlign w:val="bottom"/>
            <w:shd w:val="clear" w:color="auto" w:fill="DEDEDE"/>
          </w:tcPr>
          <w:p>
            <w:pPr>
              <w:spacing w:after="0"/>
              <w:rPr>
                <w:sz w:val="15"/>
                <w:szCs w:val="15"/>
                <w:color w:val="auto"/>
              </w:rPr>
            </w:pPr>
          </w:p>
        </w:tc>
        <w:tc>
          <w:tcPr>
            <w:tcW w:w="280" w:type="dxa"/>
            <w:vAlign w:val="bottom"/>
            <w:shd w:val="clear" w:color="auto" w:fill="DEDEDE"/>
          </w:tcPr>
          <w:p>
            <w:pPr>
              <w:spacing w:after="0"/>
              <w:rPr>
                <w:sz w:val="15"/>
                <w:szCs w:val="15"/>
                <w:color w:val="auto"/>
              </w:rPr>
            </w:pPr>
          </w:p>
        </w:tc>
        <w:tc>
          <w:tcPr>
            <w:tcW w:w="100" w:type="dxa"/>
            <w:vAlign w:val="bottom"/>
            <w:shd w:val="clear" w:color="auto" w:fill="DEDEDE"/>
          </w:tcPr>
          <w:p>
            <w:pPr>
              <w:spacing w:after="0"/>
              <w:rPr>
                <w:sz w:val="15"/>
                <w:szCs w:val="15"/>
                <w:color w:val="auto"/>
              </w:rPr>
            </w:pPr>
          </w:p>
        </w:tc>
        <w:tc>
          <w:tcPr>
            <w:tcW w:w="420" w:type="dxa"/>
            <w:vAlign w:val="bottom"/>
            <w:shd w:val="clear" w:color="auto" w:fill="DEDEDE"/>
          </w:tcPr>
          <w:p>
            <w:pPr>
              <w:spacing w:after="0"/>
              <w:rPr>
                <w:sz w:val="15"/>
                <w:szCs w:val="15"/>
                <w:color w:val="auto"/>
              </w:rPr>
            </w:pPr>
          </w:p>
        </w:tc>
        <w:tc>
          <w:tcPr>
            <w:tcW w:w="80" w:type="dxa"/>
            <w:vAlign w:val="bottom"/>
            <w:shd w:val="clear" w:color="auto" w:fill="DEDEDE"/>
          </w:tcPr>
          <w:p>
            <w:pPr>
              <w:spacing w:after="0"/>
              <w:rPr>
                <w:sz w:val="15"/>
                <w:szCs w:val="15"/>
                <w:color w:val="auto"/>
              </w:rPr>
            </w:pPr>
          </w:p>
        </w:tc>
        <w:tc>
          <w:tcPr>
            <w:tcW w:w="300" w:type="dxa"/>
            <w:vAlign w:val="bottom"/>
            <w:shd w:val="clear" w:color="auto" w:fill="DEDEDE"/>
          </w:tcPr>
          <w:p>
            <w:pPr>
              <w:spacing w:after="0"/>
              <w:rPr>
                <w:sz w:val="15"/>
                <w:szCs w:val="15"/>
                <w:color w:val="auto"/>
              </w:rPr>
            </w:pPr>
          </w:p>
        </w:tc>
        <w:tc>
          <w:tcPr>
            <w:tcW w:w="840" w:type="dxa"/>
            <w:vAlign w:val="bottom"/>
            <w:shd w:val="clear" w:color="auto" w:fill="DEDEDE"/>
          </w:tcPr>
          <w:p>
            <w:pPr>
              <w:spacing w:after="0"/>
              <w:rPr>
                <w:sz w:val="15"/>
                <w:szCs w:val="15"/>
                <w:color w:val="auto"/>
              </w:rPr>
            </w:pPr>
          </w:p>
        </w:tc>
        <w:tc>
          <w:tcPr>
            <w:tcW w:w="300" w:type="dxa"/>
            <w:vAlign w:val="bottom"/>
            <w:shd w:val="clear" w:color="auto" w:fill="DEDEDE"/>
          </w:tcPr>
          <w:p>
            <w:pPr>
              <w:spacing w:after="0"/>
              <w:rPr>
                <w:sz w:val="15"/>
                <w:szCs w:val="15"/>
                <w:color w:val="auto"/>
              </w:rPr>
            </w:pPr>
          </w:p>
        </w:tc>
        <w:tc>
          <w:tcPr>
            <w:tcW w:w="100" w:type="dxa"/>
            <w:vAlign w:val="bottom"/>
            <w:shd w:val="clear" w:color="auto" w:fill="DEDEDE"/>
          </w:tcPr>
          <w:p>
            <w:pPr>
              <w:spacing w:after="0"/>
              <w:rPr>
                <w:sz w:val="15"/>
                <w:szCs w:val="15"/>
                <w:color w:val="auto"/>
              </w:rPr>
            </w:pPr>
          </w:p>
        </w:tc>
        <w:tc>
          <w:tcPr>
            <w:tcW w:w="900" w:type="dxa"/>
            <w:vAlign w:val="bottom"/>
            <w:shd w:val="clear" w:color="auto" w:fill="DEDEDE"/>
          </w:tcPr>
          <w:p>
            <w:pPr>
              <w:spacing w:after="0"/>
              <w:rPr>
                <w:sz w:val="15"/>
                <w:szCs w:val="15"/>
                <w:color w:val="auto"/>
              </w:rPr>
            </w:pPr>
          </w:p>
        </w:tc>
        <w:tc>
          <w:tcPr>
            <w:tcW w:w="300" w:type="dxa"/>
            <w:vAlign w:val="bottom"/>
            <w:shd w:val="clear" w:color="auto" w:fill="DEDEDE"/>
          </w:tcPr>
          <w:p>
            <w:pPr>
              <w:spacing w:after="0"/>
              <w:rPr>
                <w:sz w:val="15"/>
                <w:szCs w:val="15"/>
                <w:color w:val="auto"/>
              </w:rPr>
            </w:pPr>
          </w:p>
        </w:tc>
        <w:tc>
          <w:tcPr>
            <w:tcW w:w="120" w:type="dxa"/>
            <w:vAlign w:val="bottom"/>
            <w:shd w:val="clear" w:color="auto" w:fill="DEDEDE"/>
          </w:tcPr>
          <w:p>
            <w:pPr>
              <w:spacing w:after="0"/>
              <w:rPr>
                <w:sz w:val="15"/>
                <w:szCs w:val="15"/>
                <w:color w:val="auto"/>
              </w:rPr>
            </w:pPr>
          </w:p>
        </w:tc>
        <w:tc>
          <w:tcPr>
            <w:tcW w:w="540" w:type="dxa"/>
            <w:vAlign w:val="bottom"/>
            <w:shd w:val="clear" w:color="auto" w:fill="DEDEDE"/>
          </w:tcPr>
          <w:p>
            <w:pPr>
              <w:spacing w:after="0"/>
              <w:rPr>
                <w:sz w:val="15"/>
                <w:szCs w:val="15"/>
                <w:color w:val="auto"/>
              </w:rPr>
            </w:pPr>
          </w:p>
        </w:tc>
        <w:tc>
          <w:tcPr>
            <w:tcW w:w="180" w:type="dxa"/>
            <w:vAlign w:val="bottom"/>
            <w:shd w:val="clear" w:color="auto" w:fill="DEDED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shd w:val="clear" w:color="auto" w:fill="DEDEDE"/>
          </w:tcPr>
          <w:p>
            <w:pPr>
              <w:spacing w:after="0" w:line="20" w:lineRule="exact"/>
              <w:rPr>
                <w:sz w:val="1"/>
                <w:szCs w:val="1"/>
                <w:color w:val="auto"/>
              </w:rPr>
            </w:pPr>
          </w:p>
        </w:tc>
        <w:tc>
          <w:tcPr>
            <w:tcW w:w="1380" w:type="dxa"/>
            <w:vAlign w:val="bottom"/>
            <w:tcBorders>
              <w:top w:val="single" w:sz="8" w:color="DEDEDE"/>
            </w:tcBorders>
            <w:shd w:val="clear" w:color="auto" w:fill="DEDEDE"/>
          </w:tcPr>
          <w:p>
            <w:pPr>
              <w:spacing w:after="0" w:line="20" w:lineRule="exact"/>
              <w:rPr>
                <w:sz w:val="1"/>
                <w:szCs w:val="1"/>
                <w:color w:val="auto"/>
              </w:rPr>
            </w:pPr>
          </w:p>
        </w:tc>
        <w:tc>
          <w:tcPr>
            <w:tcW w:w="1560" w:type="dxa"/>
            <w:vAlign w:val="bottom"/>
            <w:tcBorders>
              <w:top w:val="single" w:sz="8" w:color="DEDEDE"/>
            </w:tcBorders>
            <w:shd w:val="clear" w:color="auto" w:fill="DEDEDE"/>
          </w:tcPr>
          <w:p>
            <w:pPr>
              <w:spacing w:after="0" w:line="20" w:lineRule="exact"/>
              <w:rPr>
                <w:sz w:val="1"/>
                <w:szCs w:val="1"/>
                <w:color w:val="auto"/>
              </w:rPr>
            </w:pPr>
          </w:p>
        </w:tc>
        <w:tc>
          <w:tcPr>
            <w:tcW w:w="18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920" w:type="dxa"/>
            <w:vAlign w:val="bottom"/>
            <w:tcBorders>
              <w:top w:val="single" w:sz="8" w:color="DEDEDE"/>
            </w:tcBorders>
            <w:shd w:val="clear" w:color="auto" w:fill="DEDEDE"/>
          </w:tcPr>
          <w:p>
            <w:pPr>
              <w:spacing w:after="0" w:line="20" w:lineRule="exact"/>
              <w:rPr>
                <w:sz w:val="1"/>
                <w:szCs w:val="1"/>
                <w:color w:val="auto"/>
              </w:rPr>
            </w:pPr>
          </w:p>
        </w:tc>
        <w:tc>
          <w:tcPr>
            <w:tcW w:w="120" w:type="dxa"/>
            <w:vAlign w:val="bottom"/>
            <w:tcBorders>
              <w:top w:val="single" w:sz="8" w:color="DEDEDE"/>
            </w:tcBorders>
            <w:shd w:val="clear" w:color="auto" w:fill="DEDEDE"/>
          </w:tcPr>
          <w:p>
            <w:pPr>
              <w:spacing w:after="0" w:line="20" w:lineRule="exact"/>
              <w:rPr>
                <w:sz w:val="1"/>
                <w:szCs w:val="1"/>
                <w:color w:val="auto"/>
              </w:rPr>
            </w:pPr>
          </w:p>
        </w:tc>
        <w:tc>
          <w:tcPr>
            <w:tcW w:w="140" w:type="dxa"/>
            <w:vAlign w:val="bottom"/>
            <w:tcBorders>
              <w:top w:val="single" w:sz="8" w:color="DEDEDE"/>
            </w:tcBorders>
            <w:shd w:val="clear" w:color="auto" w:fill="DEDEDE"/>
          </w:tcPr>
          <w:p>
            <w:pPr>
              <w:spacing w:after="0" w:line="20" w:lineRule="exact"/>
              <w:rPr>
                <w:sz w:val="1"/>
                <w:szCs w:val="1"/>
                <w:color w:val="auto"/>
              </w:rPr>
            </w:pPr>
          </w:p>
        </w:tc>
        <w:tc>
          <w:tcPr>
            <w:tcW w:w="920" w:type="dxa"/>
            <w:vAlign w:val="bottom"/>
            <w:tcBorders>
              <w:top w:val="single" w:sz="8" w:color="DEDEDE"/>
            </w:tcBorders>
            <w:shd w:val="clear" w:color="auto" w:fill="DEDEDE"/>
          </w:tcPr>
          <w:p>
            <w:pPr>
              <w:spacing w:after="0" w:line="20" w:lineRule="exact"/>
              <w:rPr>
                <w:sz w:val="1"/>
                <w:szCs w:val="1"/>
                <w:color w:val="auto"/>
              </w:rPr>
            </w:pPr>
          </w:p>
        </w:tc>
        <w:tc>
          <w:tcPr>
            <w:tcW w:w="280" w:type="dxa"/>
            <w:vAlign w:val="bottom"/>
            <w:tcBorders>
              <w:top w:val="single" w:sz="8" w:color="DEDEDE"/>
            </w:tcBorders>
            <w:shd w:val="clear" w:color="auto" w:fill="DEDEDE"/>
          </w:tcPr>
          <w:p>
            <w:pPr>
              <w:spacing w:after="0" w:line="20" w:lineRule="exact"/>
              <w:rPr>
                <w:sz w:val="1"/>
                <w:szCs w:val="1"/>
                <w:color w:val="auto"/>
              </w:rPr>
            </w:pPr>
          </w:p>
        </w:tc>
        <w:tc>
          <w:tcPr>
            <w:tcW w:w="820" w:type="dxa"/>
            <w:vAlign w:val="bottom"/>
            <w:tcBorders>
              <w:top w:val="single" w:sz="8" w:color="DEDEDE"/>
            </w:tcBorders>
            <w:shd w:val="clear" w:color="auto" w:fill="DEDEDE"/>
          </w:tcPr>
          <w:p>
            <w:pPr>
              <w:spacing w:after="0" w:line="20" w:lineRule="exact"/>
              <w:rPr>
                <w:sz w:val="1"/>
                <w:szCs w:val="1"/>
                <w:color w:val="auto"/>
              </w:rPr>
            </w:pPr>
          </w:p>
        </w:tc>
        <w:tc>
          <w:tcPr>
            <w:tcW w:w="28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420" w:type="dxa"/>
            <w:vAlign w:val="bottom"/>
            <w:tcBorders>
              <w:top w:val="single" w:sz="8" w:color="DEDEDE"/>
            </w:tcBorders>
            <w:shd w:val="clear" w:color="auto" w:fill="DEDEDE"/>
          </w:tcPr>
          <w:p>
            <w:pPr>
              <w:spacing w:after="0" w:line="20" w:lineRule="exact"/>
              <w:rPr>
                <w:sz w:val="1"/>
                <w:szCs w:val="1"/>
                <w:color w:val="auto"/>
              </w:rPr>
            </w:pPr>
          </w:p>
        </w:tc>
        <w:tc>
          <w:tcPr>
            <w:tcW w:w="80" w:type="dxa"/>
            <w:vAlign w:val="bottom"/>
            <w:tcBorders>
              <w:top w:val="single" w:sz="8" w:color="DEDEDE"/>
            </w:tcBorders>
            <w:shd w:val="clear" w:color="auto" w:fill="DEDEDE"/>
          </w:tcPr>
          <w:p>
            <w:pPr>
              <w:spacing w:after="0" w:line="20" w:lineRule="exact"/>
              <w:rPr>
                <w:sz w:val="1"/>
                <w:szCs w:val="1"/>
                <w:color w:val="auto"/>
              </w:rPr>
            </w:pPr>
          </w:p>
        </w:tc>
        <w:tc>
          <w:tcPr>
            <w:tcW w:w="300" w:type="dxa"/>
            <w:vAlign w:val="bottom"/>
            <w:tcBorders>
              <w:top w:val="single" w:sz="8" w:color="DEDEDE"/>
            </w:tcBorders>
            <w:shd w:val="clear" w:color="auto" w:fill="DEDEDE"/>
          </w:tcPr>
          <w:p>
            <w:pPr>
              <w:spacing w:after="0" w:line="20" w:lineRule="exact"/>
              <w:rPr>
                <w:sz w:val="1"/>
                <w:szCs w:val="1"/>
                <w:color w:val="auto"/>
              </w:rPr>
            </w:pPr>
          </w:p>
        </w:tc>
        <w:tc>
          <w:tcPr>
            <w:tcW w:w="840" w:type="dxa"/>
            <w:vAlign w:val="bottom"/>
            <w:tcBorders>
              <w:top w:val="single" w:sz="8" w:color="DEDEDE"/>
            </w:tcBorders>
            <w:shd w:val="clear" w:color="auto" w:fill="DEDEDE"/>
          </w:tcPr>
          <w:p>
            <w:pPr>
              <w:spacing w:after="0" w:line="20" w:lineRule="exact"/>
              <w:rPr>
                <w:sz w:val="1"/>
                <w:szCs w:val="1"/>
                <w:color w:val="auto"/>
              </w:rPr>
            </w:pPr>
          </w:p>
        </w:tc>
        <w:tc>
          <w:tcPr>
            <w:tcW w:w="30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900" w:type="dxa"/>
            <w:vAlign w:val="bottom"/>
            <w:tcBorders>
              <w:top w:val="single" w:sz="8" w:color="DEDEDE"/>
            </w:tcBorders>
            <w:shd w:val="clear" w:color="auto" w:fill="DEDEDE"/>
          </w:tcPr>
          <w:p>
            <w:pPr>
              <w:spacing w:after="0" w:line="20" w:lineRule="exact"/>
              <w:rPr>
                <w:sz w:val="1"/>
                <w:szCs w:val="1"/>
                <w:color w:val="auto"/>
              </w:rPr>
            </w:pPr>
          </w:p>
        </w:tc>
        <w:tc>
          <w:tcPr>
            <w:tcW w:w="300" w:type="dxa"/>
            <w:vAlign w:val="bottom"/>
            <w:tcBorders>
              <w:top w:val="single" w:sz="8" w:color="DEDEDE"/>
            </w:tcBorders>
            <w:shd w:val="clear" w:color="auto" w:fill="DEDEDE"/>
          </w:tcPr>
          <w:p>
            <w:pPr>
              <w:spacing w:after="0" w:line="20" w:lineRule="exact"/>
              <w:rPr>
                <w:sz w:val="1"/>
                <w:szCs w:val="1"/>
                <w:color w:val="auto"/>
              </w:rPr>
            </w:pPr>
          </w:p>
        </w:tc>
        <w:tc>
          <w:tcPr>
            <w:tcW w:w="120" w:type="dxa"/>
            <w:vAlign w:val="bottom"/>
            <w:tcBorders>
              <w:top w:val="single" w:sz="8" w:color="DEDEDE"/>
            </w:tcBorders>
            <w:shd w:val="clear" w:color="auto" w:fill="DEDEDE"/>
          </w:tcPr>
          <w:p>
            <w:pPr>
              <w:spacing w:after="0" w:line="20" w:lineRule="exact"/>
              <w:rPr>
                <w:sz w:val="1"/>
                <w:szCs w:val="1"/>
                <w:color w:val="auto"/>
              </w:rPr>
            </w:pPr>
          </w:p>
        </w:tc>
        <w:tc>
          <w:tcPr>
            <w:tcW w:w="540" w:type="dxa"/>
            <w:vAlign w:val="bottom"/>
            <w:tcBorders>
              <w:top w:val="single" w:sz="8" w:color="DEDEDE"/>
            </w:tcBorders>
            <w:shd w:val="clear" w:color="auto" w:fill="DEDEDE"/>
          </w:tcPr>
          <w:p>
            <w:pPr>
              <w:spacing w:after="0" w:line="20" w:lineRule="exact"/>
              <w:rPr>
                <w:sz w:val="1"/>
                <w:szCs w:val="1"/>
                <w:color w:val="auto"/>
              </w:rPr>
            </w:pPr>
          </w:p>
        </w:tc>
        <w:tc>
          <w:tcPr>
            <w:tcW w:w="180" w:type="dxa"/>
            <w:vAlign w:val="bottom"/>
            <w:tcBorders>
              <w:top w:val="single" w:sz="8" w:color="DEDEDE"/>
            </w:tcBorders>
            <w:shd w:val="clear" w:color="auto" w:fill="DED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24,286,540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$20,684,760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$ 5,820,344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$ 3,931,764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54,723,408</w:t>
            </w:r>
          </w:p>
        </w:tc>
        <w:tc>
          <w:tcPr>
            <w:tcW w:w="3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65% to 80%</w:t>
            </w:r>
          </w:p>
        </w:tc>
        <w:tc>
          <w:tcPr>
            <w:tcW w:w="1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78,223,502</w:t>
            </w:r>
          </w:p>
        </w:tc>
        <w:tc>
          <w:tcPr>
            <w:tcW w:w="120" w:type="dxa"/>
            <w:vAlign w:val="bottom"/>
            <w:shd w:val="clear" w:color="auto" w:fill="DEDEDE"/>
          </w:tcPr>
          <w:p>
            <w:pPr>
              <w:spacing w:after="0"/>
              <w:rPr>
                <w:sz w:val="18"/>
                <w:szCs w:val="18"/>
                <w:color w:val="auto"/>
              </w:rPr>
            </w:pPr>
          </w:p>
        </w:tc>
        <w:tc>
          <w:tcPr>
            <w:tcW w:w="10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21,444,957</w:t>
            </w:r>
          </w:p>
        </w:tc>
        <w:tc>
          <w:tcPr>
            <w:tcW w:w="1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99,668,459</w:t>
            </w:r>
          </w:p>
        </w:tc>
        <w:tc>
          <w:tcPr>
            <w:tcW w:w="300" w:type="dxa"/>
            <w:vAlign w:val="bottom"/>
            <w:shd w:val="clear" w:color="auto" w:fill="DEDEDE"/>
          </w:tcPr>
          <w:p>
            <w:pPr>
              <w:spacing w:after="0"/>
              <w:rPr>
                <w:sz w:val="18"/>
                <w:szCs w:val="18"/>
                <w:color w:val="auto"/>
              </w:rPr>
            </w:pPr>
          </w:p>
        </w:tc>
        <w:tc>
          <w:tcPr>
            <w:tcW w:w="84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63.32%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3,006,838</w:t>
            </w:r>
          </w:p>
        </w:tc>
        <w:tc>
          <w:tcPr>
            <w:tcW w:w="12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3,006,838</w:t>
            </w:r>
          </w:p>
        </w:tc>
        <w:tc>
          <w:tcPr>
            <w:tcW w:w="3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 w:type="dxa"/>
            <w:vAlign w:val="bottom"/>
            <w:tcBorders>
              <w:top w:val="single" w:sz="8" w:color="DEDEDE"/>
            </w:tcBorders>
            <w:shd w:val="clear" w:color="auto" w:fill="DEDEDE"/>
          </w:tcPr>
          <w:p>
            <w:pPr>
              <w:spacing w:after="0"/>
              <w:rPr>
                <w:sz w:val="18"/>
                <w:szCs w:val="18"/>
                <w:color w:val="auto"/>
              </w:rPr>
            </w:pPr>
          </w:p>
        </w:tc>
        <w:tc>
          <w:tcPr>
            <w:tcW w:w="1380" w:type="dxa"/>
            <w:vAlign w:val="bottom"/>
            <w:tcBorders>
              <w:top w:val="single" w:sz="8" w:color="DEDEDE"/>
            </w:tcBorders>
            <w:shd w:val="clear" w:color="auto" w:fill="DEDEDE"/>
          </w:tcPr>
          <w:p>
            <w:pPr>
              <w:spacing w:after="0"/>
              <w:rPr>
                <w:sz w:val="18"/>
                <w:szCs w:val="18"/>
                <w:color w:val="auto"/>
              </w:rPr>
            </w:pPr>
          </w:p>
        </w:tc>
        <w:tc>
          <w:tcPr>
            <w:tcW w:w="156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92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920" w:type="dxa"/>
            <w:vAlign w:val="bottom"/>
            <w:tcBorders>
              <w:top w:val="single" w:sz="8" w:color="auto"/>
            </w:tcBorders>
            <w:shd w:val="clear" w:color="auto" w:fill="DEDEDE"/>
          </w:tcPr>
          <w:p>
            <w:pPr>
              <w:spacing w:after="0"/>
              <w:rPr>
                <w:sz w:val="18"/>
                <w:szCs w:val="18"/>
                <w:color w:val="auto"/>
              </w:rPr>
            </w:pPr>
          </w:p>
        </w:tc>
        <w:tc>
          <w:tcPr>
            <w:tcW w:w="280" w:type="dxa"/>
            <w:vAlign w:val="bottom"/>
            <w:tcBorders>
              <w:top w:val="single" w:sz="8" w:color="DEDEDE"/>
            </w:tcBorders>
            <w:shd w:val="clear" w:color="auto" w:fill="DEDEDE"/>
          </w:tcPr>
          <w:p>
            <w:pPr>
              <w:spacing w:after="0"/>
              <w:rPr>
                <w:sz w:val="18"/>
                <w:szCs w:val="18"/>
                <w:color w:val="auto"/>
              </w:rPr>
            </w:pPr>
          </w:p>
        </w:tc>
        <w:tc>
          <w:tcPr>
            <w:tcW w:w="820" w:type="dxa"/>
            <w:vAlign w:val="bottom"/>
            <w:tcBorders>
              <w:top w:val="single" w:sz="8" w:color="auto"/>
            </w:tcBorders>
            <w:shd w:val="clear" w:color="auto" w:fill="DEDEDE"/>
          </w:tcPr>
          <w:p>
            <w:pPr>
              <w:spacing w:after="0"/>
              <w:rPr>
                <w:sz w:val="18"/>
                <w:szCs w:val="18"/>
                <w:color w:val="auto"/>
              </w:rPr>
            </w:pPr>
          </w:p>
        </w:tc>
        <w:tc>
          <w:tcPr>
            <w:tcW w:w="28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420" w:type="dxa"/>
            <w:vAlign w:val="bottom"/>
            <w:tcBorders>
              <w:top w:val="single" w:sz="8" w:color="DEDEDE"/>
            </w:tcBorders>
            <w:shd w:val="clear" w:color="auto" w:fill="DEDEDE"/>
          </w:tcPr>
          <w:p>
            <w:pPr>
              <w:spacing w:after="0"/>
              <w:rPr>
                <w:sz w:val="18"/>
                <w:szCs w:val="18"/>
                <w:color w:val="auto"/>
              </w:rPr>
            </w:pPr>
          </w:p>
        </w:tc>
        <w:tc>
          <w:tcPr>
            <w:tcW w:w="80" w:type="dxa"/>
            <w:vAlign w:val="bottom"/>
            <w:tcBorders>
              <w:top w:val="single" w:sz="8" w:color="DEDEDE"/>
            </w:tcBorders>
            <w:shd w:val="clear" w:color="auto" w:fill="DEDEDE"/>
          </w:tcPr>
          <w:p>
            <w:pPr>
              <w:spacing w:after="0"/>
              <w:rPr>
                <w:sz w:val="18"/>
                <w:szCs w:val="18"/>
                <w:color w:val="auto"/>
              </w:rPr>
            </w:pPr>
          </w:p>
        </w:tc>
        <w:tc>
          <w:tcPr>
            <w:tcW w:w="300" w:type="dxa"/>
            <w:vAlign w:val="bottom"/>
            <w:tcBorders>
              <w:top w:val="single" w:sz="8" w:color="DEDEDE"/>
            </w:tcBorders>
            <w:shd w:val="clear" w:color="auto" w:fill="DEDEDE"/>
          </w:tcPr>
          <w:p>
            <w:pPr>
              <w:spacing w:after="0"/>
              <w:rPr>
                <w:sz w:val="18"/>
                <w:szCs w:val="18"/>
                <w:color w:val="auto"/>
              </w:rPr>
            </w:pPr>
          </w:p>
        </w:tc>
        <w:tc>
          <w:tcPr>
            <w:tcW w:w="840" w:type="dxa"/>
            <w:vAlign w:val="bottom"/>
            <w:tcBorders>
              <w:top w:val="single" w:sz="8" w:color="auto"/>
            </w:tcBorders>
            <w:shd w:val="clear" w:color="auto" w:fill="DEDEDE"/>
          </w:tcPr>
          <w:p>
            <w:pPr>
              <w:spacing w:after="0"/>
              <w:rPr>
                <w:sz w:val="18"/>
                <w:szCs w:val="18"/>
                <w:color w:val="auto"/>
              </w:rPr>
            </w:pPr>
          </w:p>
        </w:tc>
        <w:tc>
          <w:tcPr>
            <w:tcW w:w="30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900" w:type="dxa"/>
            <w:vAlign w:val="bottom"/>
            <w:tcBorders>
              <w:top w:val="single" w:sz="8" w:color="auto"/>
            </w:tcBorders>
            <w:shd w:val="clear" w:color="auto" w:fill="DEDEDE"/>
          </w:tcPr>
          <w:p>
            <w:pPr>
              <w:spacing w:after="0"/>
              <w:rPr>
                <w:sz w:val="18"/>
                <w:szCs w:val="18"/>
                <w:color w:val="auto"/>
              </w:rPr>
            </w:pPr>
          </w:p>
        </w:tc>
        <w:tc>
          <w:tcPr>
            <w:tcW w:w="30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540" w:type="dxa"/>
            <w:vAlign w:val="bottom"/>
            <w:tcBorders>
              <w:top w:val="single" w:sz="8" w:color="auto"/>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105,516,880</w:t>
            </w:r>
          </w:p>
        </w:tc>
        <w:tc>
          <w:tcPr>
            <w:tcW w:w="12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42,129,717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$ 5,820,344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$ 3,931,764</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157,398,705</w:t>
            </w:r>
          </w:p>
        </w:tc>
        <w:tc>
          <w:tcPr>
            <w:tcW w:w="30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aggregate unpaid principal balance of residential construction mortgage loans by credit quality indicator and origination year was as follows as of</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 of</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Credit Quality Indicator</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0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11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20"/>
                <w:szCs w:val="20"/>
                <w:color w:val="auto"/>
              </w:rPr>
            </w:pPr>
          </w:p>
        </w:tc>
        <w:tc>
          <w:tcPr>
            <w:tcW w:w="8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tcBorders>
              <w:top w:val="single" w:sz="8" w:color="auto"/>
              <w:bottom w:val="single" w:sz="8" w:color="auto"/>
            </w:tcBorders>
            <w:gridSpan w:val="2"/>
            <w:shd w:val="clear" w:color="auto" w:fill="DEDEDE"/>
          </w:tcPr>
          <w:p>
            <w:pPr>
              <w:spacing w:after="0" w:line="170" w:lineRule="exact"/>
              <w:rPr>
                <w:sz w:val="20"/>
                <w:szCs w:val="20"/>
                <w:color w:val="auto"/>
              </w:rPr>
            </w:pPr>
            <w:r>
              <w:rPr>
                <w:rFonts w:ascii="Times New Roman" w:cs="Times New Roman" w:eastAsia="Times New Roman" w:hAnsi="Times New Roman"/>
                <w:sz w:val="18"/>
                <w:szCs w:val="18"/>
                <w:color w:val="auto"/>
                <w:w w:val="97"/>
              </w:rPr>
              <w:t>Performance Indicators:</w:t>
            </w:r>
          </w:p>
        </w:tc>
        <w:tc>
          <w:tcPr>
            <w:tcW w:w="2260" w:type="dxa"/>
            <w:vAlign w:val="bottom"/>
            <w:tcBorders>
              <w:top w:val="single" w:sz="8" w:color="auto"/>
              <w:bottom w:val="single" w:sz="8" w:color="DEDEDE"/>
            </w:tcBorders>
            <w:shd w:val="clear" w:color="auto" w:fill="DEDEDE"/>
          </w:tcPr>
          <w:p>
            <w:pPr>
              <w:spacing w:after="0"/>
              <w:rPr>
                <w:sz w:val="16"/>
                <w:szCs w:val="16"/>
                <w:color w:val="auto"/>
              </w:rPr>
            </w:pPr>
          </w:p>
        </w:tc>
        <w:tc>
          <w:tcPr>
            <w:tcW w:w="22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900" w:type="dxa"/>
            <w:vAlign w:val="bottom"/>
            <w:tcBorders>
              <w:top w:val="single" w:sz="8" w:color="auto"/>
              <w:bottom w:val="single" w:sz="8" w:color="DEDEDE"/>
            </w:tcBorders>
            <w:shd w:val="clear" w:color="auto" w:fill="DEDEDE"/>
          </w:tcPr>
          <w:p>
            <w:pPr>
              <w:spacing w:after="0"/>
              <w:rPr>
                <w:sz w:val="16"/>
                <w:szCs w:val="16"/>
                <w:color w:val="auto"/>
              </w:rPr>
            </w:pPr>
          </w:p>
        </w:tc>
        <w:tc>
          <w:tcPr>
            <w:tcW w:w="160" w:type="dxa"/>
            <w:vAlign w:val="bottom"/>
            <w:tcBorders>
              <w:top w:val="single" w:sz="8" w:color="DEDEDE"/>
              <w:bottom w:val="single" w:sz="8" w:color="DEDEDE"/>
            </w:tcBorders>
            <w:shd w:val="clear" w:color="auto" w:fill="DEDEDE"/>
          </w:tcPr>
          <w:p>
            <w:pPr>
              <w:spacing w:after="0"/>
              <w:rPr>
                <w:sz w:val="16"/>
                <w:szCs w:val="16"/>
                <w:color w:val="auto"/>
              </w:rPr>
            </w:pPr>
          </w:p>
        </w:tc>
        <w:tc>
          <w:tcPr>
            <w:tcW w:w="160" w:type="dxa"/>
            <w:vAlign w:val="bottom"/>
            <w:tcBorders>
              <w:top w:val="single" w:sz="8" w:color="DEDEDE"/>
              <w:bottom w:val="single" w:sz="8" w:color="DEDEDE"/>
            </w:tcBorders>
            <w:shd w:val="clear" w:color="auto" w:fill="DEDEDE"/>
          </w:tcPr>
          <w:p>
            <w:pPr>
              <w:spacing w:after="0"/>
              <w:rPr>
                <w:sz w:val="16"/>
                <w:szCs w:val="16"/>
                <w:color w:val="auto"/>
              </w:rPr>
            </w:pPr>
          </w:p>
        </w:tc>
        <w:tc>
          <w:tcPr>
            <w:tcW w:w="920" w:type="dxa"/>
            <w:vAlign w:val="bottom"/>
            <w:tcBorders>
              <w:top w:val="single" w:sz="8" w:color="auto"/>
              <w:bottom w:val="single" w:sz="8" w:color="DEDEDE"/>
            </w:tcBorders>
            <w:shd w:val="clear" w:color="auto" w:fill="DEDEDE"/>
          </w:tcPr>
          <w:p>
            <w:pPr>
              <w:spacing w:after="0"/>
              <w:rPr>
                <w:sz w:val="16"/>
                <w:szCs w:val="16"/>
                <w:color w:val="auto"/>
              </w:rPr>
            </w:pPr>
          </w:p>
        </w:tc>
        <w:tc>
          <w:tcPr>
            <w:tcW w:w="300" w:type="dxa"/>
            <w:vAlign w:val="bottom"/>
            <w:tcBorders>
              <w:top w:val="single" w:sz="8" w:color="DEDEDE"/>
              <w:bottom w:val="single" w:sz="8" w:color="DEDEDE"/>
            </w:tcBorders>
            <w:shd w:val="clear" w:color="auto" w:fill="DEDEDE"/>
          </w:tcPr>
          <w:p>
            <w:pPr>
              <w:spacing w:after="0"/>
              <w:rPr>
                <w:sz w:val="16"/>
                <w:szCs w:val="16"/>
                <w:color w:val="auto"/>
              </w:rPr>
            </w:pPr>
          </w:p>
        </w:tc>
        <w:tc>
          <w:tcPr>
            <w:tcW w:w="140" w:type="dxa"/>
            <w:vAlign w:val="bottom"/>
            <w:tcBorders>
              <w:top w:val="single" w:sz="8" w:color="auto"/>
              <w:bottom w:val="single" w:sz="8" w:color="DEDEDE"/>
            </w:tcBorders>
            <w:shd w:val="clear" w:color="auto" w:fill="DEDEDE"/>
          </w:tcPr>
          <w:p>
            <w:pPr>
              <w:spacing w:after="0"/>
              <w:rPr>
                <w:sz w:val="16"/>
                <w:szCs w:val="16"/>
                <w:color w:val="auto"/>
              </w:rPr>
            </w:pPr>
          </w:p>
        </w:tc>
        <w:tc>
          <w:tcPr>
            <w:tcW w:w="640" w:type="dxa"/>
            <w:vAlign w:val="bottom"/>
            <w:tcBorders>
              <w:top w:val="single" w:sz="8" w:color="auto"/>
              <w:bottom w:val="single" w:sz="8" w:color="DEDEDE"/>
            </w:tcBorders>
            <w:shd w:val="clear" w:color="auto" w:fill="DEDEDE"/>
          </w:tcPr>
          <w:p>
            <w:pPr>
              <w:spacing w:after="0"/>
              <w:rPr>
                <w:sz w:val="16"/>
                <w:szCs w:val="16"/>
                <w:color w:val="auto"/>
              </w:rPr>
            </w:pPr>
          </w:p>
        </w:tc>
        <w:tc>
          <w:tcPr>
            <w:tcW w:w="300" w:type="dxa"/>
            <w:vAlign w:val="bottom"/>
            <w:tcBorders>
              <w:top w:val="single" w:sz="8" w:color="DEDEDE"/>
              <w:bottom w:val="single" w:sz="8" w:color="DEDEDE"/>
            </w:tcBorders>
            <w:shd w:val="clear" w:color="auto" w:fill="DEDEDE"/>
          </w:tcPr>
          <w:p>
            <w:pPr>
              <w:spacing w:after="0"/>
              <w:rPr>
                <w:sz w:val="16"/>
                <w:szCs w:val="16"/>
                <w:color w:val="auto"/>
              </w:rPr>
            </w:pPr>
          </w:p>
        </w:tc>
        <w:tc>
          <w:tcPr>
            <w:tcW w:w="840" w:type="dxa"/>
            <w:vAlign w:val="bottom"/>
            <w:tcBorders>
              <w:top w:val="single" w:sz="8" w:color="auto"/>
              <w:bottom w:val="single" w:sz="8" w:color="DEDEDE"/>
            </w:tcBorders>
            <w:shd w:val="clear" w:color="auto" w:fill="DEDEDE"/>
          </w:tcPr>
          <w:p>
            <w:pPr>
              <w:spacing w:after="0"/>
              <w:rPr>
                <w:sz w:val="16"/>
                <w:szCs w:val="16"/>
                <w:color w:val="auto"/>
              </w:rPr>
            </w:pPr>
          </w:p>
        </w:tc>
        <w:tc>
          <w:tcPr>
            <w:tcW w:w="30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920" w:type="dxa"/>
            <w:vAlign w:val="bottom"/>
            <w:tcBorders>
              <w:top w:val="single" w:sz="8" w:color="auto"/>
              <w:bottom w:val="single" w:sz="8" w:color="DEDEDE"/>
            </w:tcBorders>
            <w:shd w:val="clear" w:color="auto" w:fill="DEDEDE"/>
          </w:tcPr>
          <w:p>
            <w:pPr>
              <w:spacing w:after="0"/>
              <w:rPr>
                <w:sz w:val="16"/>
                <w:szCs w:val="16"/>
                <w:color w:val="auto"/>
              </w:rPr>
            </w:pPr>
          </w:p>
        </w:tc>
        <w:tc>
          <w:tcPr>
            <w:tcW w:w="320" w:type="dxa"/>
            <w:vAlign w:val="bottom"/>
            <w:tcBorders>
              <w:top w:val="single" w:sz="8" w:color="DEDEDE"/>
              <w:bottom w:val="single" w:sz="8" w:color="DEDEDE"/>
            </w:tcBorders>
            <w:shd w:val="clear" w:color="auto" w:fill="DEDEDE"/>
          </w:tcPr>
          <w:p>
            <w:pPr>
              <w:spacing w:after="0"/>
              <w:rPr>
                <w:sz w:val="16"/>
                <w:szCs w:val="16"/>
                <w:color w:val="auto"/>
              </w:rPr>
            </w:pPr>
          </w:p>
        </w:tc>
        <w:tc>
          <w:tcPr>
            <w:tcW w:w="100" w:type="dxa"/>
            <w:vAlign w:val="bottom"/>
            <w:tcBorders>
              <w:top w:val="single" w:sz="8" w:color="auto"/>
              <w:bottom w:val="single" w:sz="8" w:color="DEDEDE"/>
            </w:tcBorders>
            <w:shd w:val="clear" w:color="auto" w:fill="DEDEDE"/>
          </w:tcPr>
          <w:p>
            <w:pPr>
              <w:spacing w:after="0"/>
              <w:rPr>
                <w:sz w:val="16"/>
                <w:szCs w:val="16"/>
                <w:color w:val="auto"/>
              </w:rPr>
            </w:pPr>
          </w:p>
        </w:tc>
        <w:tc>
          <w:tcPr>
            <w:tcW w:w="640" w:type="dxa"/>
            <w:vAlign w:val="bottom"/>
            <w:tcBorders>
              <w:top w:val="single" w:sz="8" w:color="auto"/>
              <w:bottom w:val="single" w:sz="8" w:color="DEDEDE"/>
            </w:tcBorders>
            <w:shd w:val="clear" w:color="auto" w:fill="DEDEDE"/>
          </w:tcPr>
          <w:p>
            <w:pPr>
              <w:spacing w:after="0"/>
              <w:rPr>
                <w:sz w:val="16"/>
                <w:szCs w:val="16"/>
                <w:color w:val="auto"/>
              </w:rPr>
            </w:pPr>
          </w:p>
        </w:tc>
        <w:tc>
          <w:tcPr>
            <w:tcW w:w="180" w:type="dxa"/>
            <w:vAlign w:val="bottom"/>
            <w:tcBorders>
              <w:top w:val="single" w:sz="8" w:color="DEDEDE"/>
              <w:bottom w:val="single" w:sz="8" w:color="DEDEDE"/>
            </w:tcBorders>
            <w:shd w:val="clear" w:color="auto" w:fill="DEDED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Performing</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118,863,944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$21,375,552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$ 9,960,769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151,172,733</w:t>
            </w: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Non-performing</w:t>
            </w:r>
          </w:p>
        </w:tc>
        <w:tc>
          <w:tcPr>
            <w:tcW w:w="2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8"/>
                <w:szCs w:val="18"/>
                <w:color w:val="auto"/>
              </w:rPr>
            </w:pPr>
          </w:p>
        </w:tc>
        <w:tc>
          <w:tcPr>
            <w:tcW w:w="10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6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8"/>
                <w:szCs w:val="18"/>
                <w:color w:val="auto"/>
              </w:rPr>
            </w:pPr>
          </w:p>
        </w:tc>
        <w:tc>
          <w:tcPr>
            <w:tcW w:w="92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 w:type="dxa"/>
            <w:vAlign w:val="bottom"/>
            <w:tcBorders>
              <w:bottom w:val="single" w:sz="8" w:color="DEDEDE"/>
            </w:tcBorders>
          </w:tcPr>
          <w:p>
            <w:pPr>
              <w:spacing w:after="0"/>
              <w:rPr>
                <w:sz w:val="19"/>
                <w:szCs w:val="19"/>
                <w:color w:val="auto"/>
              </w:rPr>
            </w:pPr>
          </w:p>
        </w:tc>
        <w:tc>
          <w:tcPr>
            <w:tcW w:w="1380" w:type="dxa"/>
            <w:vAlign w:val="bottom"/>
            <w:tcBorders>
              <w:bottom w:val="single" w:sz="8" w:color="DEDEDE"/>
            </w:tcBorders>
          </w:tcPr>
          <w:p>
            <w:pPr>
              <w:spacing w:after="0"/>
              <w:rPr>
                <w:sz w:val="19"/>
                <w:szCs w:val="19"/>
                <w:color w:val="auto"/>
              </w:rPr>
            </w:pPr>
          </w:p>
        </w:tc>
        <w:tc>
          <w:tcPr>
            <w:tcW w:w="2260" w:type="dxa"/>
            <w:vAlign w:val="bottom"/>
            <w:tcBorders>
              <w:bottom w:val="single" w:sz="8" w:color="DEDEDE"/>
            </w:tcBorders>
          </w:tcPr>
          <w:p>
            <w:pPr>
              <w:spacing w:after="0"/>
              <w:rPr>
                <w:sz w:val="19"/>
                <w:szCs w:val="19"/>
                <w:color w:val="auto"/>
              </w:rPr>
            </w:pPr>
          </w:p>
        </w:tc>
        <w:tc>
          <w:tcPr>
            <w:tcW w:w="220" w:type="dxa"/>
            <w:vAlign w:val="bottom"/>
            <w:tcBorders>
              <w:bottom w:val="single" w:sz="8" w:color="DEDED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DEDEDE"/>
            </w:tcBorders>
          </w:tcPr>
          <w:p>
            <w:pPr>
              <w:spacing w:after="0"/>
              <w:rPr>
                <w:sz w:val="19"/>
                <w:szCs w:val="19"/>
                <w:color w:val="auto"/>
              </w:rPr>
            </w:pPr>
          </w:p>
        </w:tc>
        <w:tc>
          <w:tcPr>
            <w:tcW w:w="160" w:type="dxa"/>
            <w:vAlign w:val="bottom"/>
            <w:tcBorders>
              <w:bottom w:val="single" w:sz="8" w:color="DEDEDE"/>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00" w:type="dxa"/>
            <w:vAlign w:val="bottom"/>
            <w:tcBorders>
              <w:bottom w:val="single" w:sz="8" w:color="DEDED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0" w:type="dxa"/>
            <w:vAlign w:val="bottom"/>
            <w:tcBorders>
              <w:bottom w:val="single" w:sz="8" w:color="DEDEDE"/>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0" w:type="dxa"/>
            <w:vAlign w:val="bottom"/>
            <w:tcBorders>
              <w:bottom w:val="single" w:sz="8" w:color="DEDED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Borders>
              <w:bottom w:val="single" w:sz="8" w:color="DEDEDE"/>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80" w:type="dxa"/>
            <w:vAlign w:val="bottom"/>
            <w:tcBorders>
              <w:bottom w:val="single" w:sz="8" w:color="DEDEDE"/>
            </w:tcBorders>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DEDEDE"/>
            </w:tcBorders>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7"/>
              </w:rPr>
              <w:t>118,863,944</w:t>
            </w:r>
          </w:p>
        </w:tc>
        <w:tc>
          <w:tcPr>
            <w:tcW w:w="160" w:type="dxa"/>
            <w:vAlign w:val="bottom"/>
            <w:tcBorders>
              <w:bottom w:val="single" w:sz="8" w:color="DEDEDE"/>
            </w:tcBorders>
            <w:shd w:val="clear" w:color="auto" w:fill="DEDEDE"/>
          </w:tcPr>
          <w:p>
            <w:pPr>
              <w:spacing w:after="0"/>
              <w:rPr>
                <w:sz w:val="19"/>
                <w:szCs w:val="19"/>
                <w:color w:val="auto"/>
              </w:rPr>
            </w:pPr>
          </w:p>
        </w:tc>
        <w:tc>
          <w:tcPr>
            <w:tcW w:w="160" w:type="dxa"/>
            <w:vAlign w:val="bottom"/>
            <w:tcBorders>
              <w:bottom w:val="single" w:sz="8" w:color="DEDEDE"/>
            </w:tcBorders>
            <w:shd w:val="clear" w:color="auto" w:fill="DEDEDE"/>
          </w:tcPr>
          <w:p>
            <w:pPr>
              <w:spacing w:after="0"/>
              <w:rPr>
                <w:sz w:val="19"/>
                <w:szCs w:val="19"/>
                <w:color w:val="auto"/>
              </w:rPr>
            </w:pP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21,375,552</w:t>
            </w:r>
          </w:p>
        </w:tc>
        <w:tc>
          <w:tcPr>
            <w:tcW w:w="300" w:type="dxa"/>
            <w:vAlign w:val="bottom"/>
            <w:tcBorders>
              <w:bottom w:val="single" w:sz="8" w:color="DEDEDE"/>
            </w:tcBorders>
            <w:shd w:val="clear" w:color="auto" w:fill="DEDEDE"/>
          </w:tcPr>
          <w:p>
            <w:pPr>
              <w:spacing w:after="0"/>
              <w:rPr>
                <w:sz w:val="19"/>
                <w:szCs w:val="19"/>
                <w:color w:val="auto"/>
              </w:rPr>
            </w:pPr>
          </w:p>
        </w:tc>
        <w:tc>
          <w:tcPr>
            <w:tcW w:w="1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972,468</w:t>
            </w:r>
          </w:p>
        </w:tc>
        <w:tc>
          <w:tcPr>
            <w:tcW w:w="300" w:type="dxa"/>
            <w:vAlign w:val="bottom"/>
            <w:tcBorders>
              <w:bottom w:val="single" w:sz="8" w:color="DEDEDE"/>
            </w:tcBorders>
            <w:shd w:val="clear" w:color="auto" w:fill="DEDEDE"/>
          </w:tcPr>
          <w:p>
            <w:pPr>
              <w:spacing w:after="0"/>
              <w:rPr>
                <w:sz w:val="19"/>
                <w:szCs w:val="19"/>
                <w:color w:val="auto"/>
              </w:rPr>
            </w:pPr>
          </w:p>
        </w:tc>
        <w:tc>
          <w:tcPr>
            <w:tcW w:w="8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5"/>
              </w:rPr>
              <w:t>$ 9,960,769</w:t>
            </w:r>
          </w:p>
        </w:tc>
        <w:tc>
          <w:tcPr>
            <w:tcW w:w="300" w:type="dxa"/>
            <w:vAlign w:val="bottom"/>
            <w:tcBorders>
              <w:bottom w:val="single" w:sz="8" w:color="DEDEDE"/>
            </w:tcBorders>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9"/>
              </w:rPr>
              <w:t>151,172,733</w:t>
            </w:r>
          </w:p>
        </w:tc>
        <w:tc>
          <w:tcPr>
            <w:tcW w:w="320" w:type="dxa"/>
            <w:vAlign w:val="bottom"/>
            <w:tcBorders>
              <w:bottom w:val="single" w:sz="8" w:color="DEDEDE"/>
            </w:tcBorders>
            <w:shd w:val="clear" w:color="auto" w:fill="DEDEDE"/>
          </w:tcPr>
          <w:p>
            <w:pPr>
              <w:spacing w:after="0"/>
              <w:rPr>
                <w:sz w:val="19"/>
                <w:szCs w:val="19"/>
                <w:color w:val="auto"/>
              </w:rPr>
            </w:pPr>
          </w:p>
        </w:tc>
        <w:tc>
          <w:tcPr>
            <w:tcW w:w="740" w:type="dxa"/>
            <w:vAlign w:val="bottom"/>
            <w:tcBorders>
              <w:bottom w:val="single" w:sz="8" w:color="auto"/>
            </w:tcBorders>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tcBorders>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80" w:type="dxa"/>
            <w:vAlign w:val="bottom"/>
            <w:gridSpan w:val="3"/>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rPr>
              <w:t>LTV:</w:t>
            </w:r>
          </w:p>
        </w:tc>
        <w:tc>
          <w:tcPr>
            <w:tcW w:w="220" w:type="dxa"/>
            <w:vAlign w:val="bottom"/>
            <w:shd w:val="clear" w:color="auto" w:fill="DEDEDE"/>
          </w:tcPr>
          <w:p>
            <w:pPr>
              <w:spacing w:after="0"/>
              <w:rPr>
                <w:sz w:val="15"/>
                <w:szCs w:val="15"/>
                <w:color w:val="auto"/>
              </w:rPr>
            </w:pPr>
          </w:p>
        </w:tc>
        <w:tc>
          <w:tcPr>
            <w:tcW w:w="100" w:type="dxa"/>
            <w:vAlign w:val="bottom"/>
            <w:shd w:val="clear" w:color="auto" w:fill="DEDEDE"/>
          </w:tcPr>
          <w:p>
            <w:pPr>
              <w:spacing w:after="0"/>
              <w:rPr>
                <w:sz w:val="15"/>
                <w:szCs w:val="15"/>
                <w:color w:val="auto"/>
              </w:rPr>
            </w:pPr>
          </w:p>
        </w:tc>
        <w:tc>
          <w:tcPr>
            <w:tcW w:w="900" w:type="dxa"/>
            <w:vAlign w:val="bottom"/>
            <w:shd w:val="clear" w:color="auto" w:fill="DEDEDE"/>
          </w:tcPr>
          <w:p>
            <w:pPr>
              <w:spacing w:after="0"/>
              <w:rPr>
                <w:sz w:val="15"/>
                <w:szCs w:val="15"/>
                <w:color w:val="auto"/>
              </w:rPr>
            </w:pPr>
          </w:p>
        </w:tc>
        <w:tc>
          <w:tcPr>
            <w:tcW w:w="160" w:type="dxa"/>
            <w:vAlign w:val="bottom"/>
            <w:shd w:val="clear" w:color="auto" w:fill="DEDEDE"/>
          </w:tcPr>
          <w:p>
            <w:pPr>
              <w:spacing w:after="0"/>
              <w:rPr>
                <w:sz w:val="15"/>
                <w:szCs w:val="15"/>
                <w:color w:val="auto"/>
              </w:rPr>
            </w:pPr>
          </w:p>
        </w:tc>
        <w:tc>
          <w:tcPr>
            <w:tcW w:w="160" w:type="dxa"/>
            <w:vAlign w:val="bottom"/>
            <w:shd w:val="clear" w:color="auto" w:fill="DEDEDE"/>
          </w:tcPr>
          <w:p>
            <w:pPr>
              <w:spacing w:after="0"/>
              <w:rPr>
                <w:sz w:val="15"/>
                <w:szCs w:val="15"/>
                <w:color w:val="auto"/>
              </w:rPr>
            </w:pPr>
          </w:p>
        </w:tc>
        <w:tc>
          <w:tcPr>
            <w:tcW w:w="920" w:type="dxa"/>
            <w:vAlign w:val="bottom"/>
            <w:shd w:val="clear" w:color="auto" w:fill="DEDEDE"/>
          </w:tcPr>
          <w:p>
            <w:pPr>
              <w:spacing w:after="0"/>
              <w:rPr>
                <w:sz w:val="15"/>
                <w:szCs w:val="15"/>
                <w:color w:val="auto"/>
              </w:rPr>
            </w:pPr>
          </w:p>
        </w:tc>
        <w:tc>
          <w:tcPr>
            <w:tcW w:w="300" w:type="dxa"/>
            <w:vAlign w:val="bottom"/>
            <w:shd w:val="clear" w:color="auto" w:fill="DEDEDE"/>
          </w:tcPr>
          <w:p>
            <w:pPr>
              <w:spacing w:after="0"/>
              <w:rPr>
                <w:sz w:val="15"/>
                <w:szCs w:val="15"/>
                <w:color w:val="auto"/>
              </w:rPr>
            </w:pPr>
          </w:p>
        </w:tc>
        <w:tc>
          <w:tcPr>
            <w:tcW w:w="140" w:type="dxa"/>
            <w:vAlign w:val="bottom"/>
            <w:shd w:val="clear" w:color="auto" w:fill="DEDEDE"/>
          </w:tcPr>
          <w:p>
            <w:pPr>
              <w:spacing w:after="0"/>
              <w:rPr>
                <w:sz w:val="15"/>
                <w:szCs w:val="15"/>
                <w:color w:val="auto"/>
              </w:rPr>
            </w:pPr>
          </w:p>
        </w:tc>
        <w:tc>
          <w:tcPr>
            <w:tcW w:w="640" w:type="dxa"/>
            <w:vAlign w:val="bottom"/>
            <w:shd w:val="clear" w:color="auto" w:fill="DEDEDE"/>
          </w:tcPr>
          <w:p>
            <w:pPr>
              <w:spacing w:after="0"/>
              <w:rPr>
                <w:sz w:val="15"/>
                <w:szCs w:val="15"/>
                <w:color w:val="auto"/>
              </w:rPr>
            </w:pPr>
          </w:p>
        </w:tc>
        <w:tc>
          <w:tcPr>
            <w:tcW w:w="300" w:type="dxa"/>
            <w:vAlign w:val="bottom"/>
            <w:shd w:val="clear" w:color="auto" w:fill="DEDEDE"/>
          </w:tcPr>
          <w:p>
            <w:pPr>
              <w:spacing w:after="0"/>
              <w:rPr>
                <w:sz w:val="15"/>
                <w:szCs w:val="15"/>
                <w:color w:val="auto"/>
              </w:rPr>
            </w:pPr>
          </w:p>
        </w:tc>
        <w:tc>
          <w:tcPr>
            <w:tcW w:w="840" w:type="dxa"/>
            <w:vAlign w:val="bottom"/>
            <w:shd w:val="clear" w:color="auto" w:fill="DEDEDE"/>
          </w:tcPr>
          <w:p>
            <w:pPr>
              <w:spacing w:after="0"/>
              <w:rPr>
                <w:sz w:val="15"/>
                <w:szCs w:val="15"/>
                <w:color w:val="auto"/>
              </w:rPr>
            </w:pPr>
          </w:p>
        </w:tc>
        <w:tc>
          <w:tcPr>
            <w:tcW w:w="300" w:type="dxa"/>
            <w:vAlign w:val="bottom"/>
            <w:shd w:val="clear" w:color="auto" w:fill="DEDEDE"/>
          </w:tcPr>
          <w:p>
            <w:pPr>
              <w:spacing w:after="0"/>
              <w:rPr>
                <w:sz w:val="15"/>
                <w:szCs w:val="15"/>
                <w:color w:val="auto"/>
              </w:rPr>
            </w:pPr>
          </w:p>
        </w:tc>
        <w:tc>
          <w:tcPr>
            <w:tcW w:w="100" w:type="dxa"/>
            <w:vAlign w:val="bottom"/>
            <w:shd w:val="clear" w:color="auto" w:fill="DEDEDE"/>
          </w:tcPr>
          <w:p>
            <w:pPr>
              <w:spacing w:after="0"/>
              <w:rPr>
                <w:sz w:val="15"/>
                <w:szCs w:val="15"/>
                <w:color w:val="auto"/>
              </w:rPr>
            </w:pPr>
          </w:p>
        </w:tc>
        <w:tc>
          <w:tcPr>
            <w:tcW w:w="920" w:type="dxa"/>
            <w:vAlign w:val="bottom"/>
            <w:shd w:val="clear" w:color="auto" w:fill="DEDEDE"/>
          </w:tcPr>
          <w:p>
            <w:pPr>
              <w:spacing w:after="0"/>
              <w:rPr>
                <w:sz w:val="15"/>
                <w:szCs w:val="15"/>
                <w:color w:val="auto"/>
              </w:rPr>
            </w:pPr>
          </w:p>
        </w:tc>
        <w:tc>
          <w:tcPr>
            <w:tcW w:w="320" w:type="dxa"/>
            <w:vAlign w:val="bottom"/>
            <w:shd w:val="clear" w:color="auto" w:fill="DEDEDE"/>
          </w:tcPr>
          <w:p>
            <w:pPr>
              <w:spacing w:after="0"/>
              <w:rPr>
                <w:sz w:val="15"/>
                <w:szCs w:val="15"/>
                <w:color w:val="auto"/>
              </w:rPr>
            </w:pPr>
          </w:p>
        </w:tc>
        <w:tc>
          <w:tcPr>
            <w:tcW w:w="100" w:type="dxa"/>
            <w:vAlign w:val="bottom"/>
            <w:shd w:val="clear" w:color="auto" w:fill="DEDEDE"/>
          </w:tcPr>
          <w:p>
            <w:pPr>
              <w:spacing w:after="0"/>
              <w:rPr>
                <w:sz w:val="15"/>
                <w:szCs w:val="15"/>
                <w:color w:val="auto"/>
              </w:rPr>
            </w:pPr>
          </w:p>
        </w:tc>
        <w:tc>
          <w:tcPr>
            <w:tcW w:w="640" w:type="dxa"/>
            <w:vAlign w:val="bottom"/>
            <w:shd w:val="clear" w:color="auto" w:fill="DEDEDE"/>
          </w:tcPr>
          <w:p>
            <w:pPr>
              <w:spacing w:after="0"/>
              <w:rPr>
                <w:sz w:val="15"/>
                <w:szCs w:val="15"/>
                <w:color w:val="auto"/>
              </w:rPr>
            </w:pPr>
          </w:p>
        </w:tc>
        <w:tc>
          <w:tcPr>
            <w:tcW w:w="180" w:type="dxa"/>
            <w:vAlign w:val="bottom"/>
            <w:shd w:val="clear" w:color="auto" w:fill="DEDED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shd w:val="clear" w:color="auto" w:fill="DEDEDE"/>
          </w:tcPr>
          <w:p>
            <w:pPr>
              <w:spacing w:after="0" w:line="20" w:lineRule="exact"/>
              <w:rPr>
                <w:sz w:val="1"/>
                <w:szCs w:val="1"/>
                <w:color w:val="auto"/>
              </w:rPr>
            </w:pPr>
          </w:p>
        </w:tc>
        <w:tc>
          <w:tcPr>
            <w:tcW w:w="1380" w:type="dxa"/>
            <w:vAlign w:val="bottom"/>
            <w:tcBorders>
              <w:top w:val="single" w:sz="8" w:color="DEDEDE"/>
            </w:tcBorders>
            <w:shd w:val="clear" w:color="auto" w:fill="DEDEDE"/>
          </w:tcPr>
          <w:p>
            <w:pPr>
              <w:spacing w:after="0" w:line="20" w:lineRule="exact"/>
              <w:rPr>
                <w:sz w:val="1"/>
                <w:szCs w:val="1"/>
                <w:color w:val="auto"/>
              </w:rPr>
            </w:pPr>
          </w:p>
        </w:tc>
        <w:tc>
          <w:tcPr>
            <w:tcW w:w="2260" w:type="dxa"/>
            <w:vAlign w:val="bottom"/>
            <w:tcBorders>
              <w:top w:val="single" w:sz="8" w:color="DEDEDE"/>
            </w:tcBorders>
            <w:shd w:val="clear" w:color="auto" w:fill="DEDEDE"/>
          </w:tcPr>
          <w:p>
            <w:pPr>
              <w:spacing w:after="0" w:line="20" w:lineRule="exact"/>
              <w:rPr>
                <w:sz w:val="1"/>
                <w:szCs w:val="1"/>
                <w:color w:val="auto"/>
              </w:rPr>
            </w:pPr>
          </w:p>
        </w:tc>
        <w:tc>
          <w:tcPr>
            <w:tcW w:w="22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900" w:type="dxa"/>
            <w:vAlign w:val="bottom"/>
            <w:tcBorders>
              <w:top w:val="single" w:sz="8" w:color="DEDEDE"/>
            </w:tcBorders>
            <w:shd w:val="clear" w:color="auto" w:fill="DEDEDE"/>
          </w:tcPr>
          <w:p>
            <w:pPr>
              <w:spacing w:after="0" w:line="20" w:lineRule="exact"/>
              <w:rPr>
                <w:sz w:val="1"/>
                <w:szCs w:val="1"/>
                <w:color w:val="auto"/>
              </w:rPr>
            </w:pPr>
          </w:p>
        </w:tc>
        <w:tc>
          <w:tcPr>
            <w:tcW w:w="160" w:type="dxa"/>
            <w:vAlign w:val="bottom"/>
            <w:tcBorders>
              <w:top w:val="single" w:sz="8" w:color="DEDEDE"/>
            </w:tcBorders>
            <w:shd w:val="clear" w:color="auto" w:fill="DEDEDE"/>
          </w:tcPr>
          <w:p>
            <w:pPr>
              <w:spacing w:after="0" w:line="20" w:lineRule="exact"/>
              <w:rPr>
                <w:sz w:val="1"/>
                <w:szCs w:val="1"/>
                <w:color w:val="auto"/>
              </w:rPr>
            </w:pPr>
          </w:p>
        </w:tc>
        <w:tc>
          <w:tcPr>
            <w:tcW w:w="160" w:type="dxa"/>
            <w:vAlign w:val="bottom"/>
            <w:tcBorders>
              <w:top w:val="single" w:sz="8" w:color="DEDEDE"/>
            </w:tcBorders>
            <w:shd w:val="clear" w:color="auto" w:fill="DEDEDE"/>
          </w:tcPr>
          <w:p>
            <w:pPr>
              <w:spacing w:after="0" w:line="20" w:lineRule="exact"/>
              <w:rPr>
                <w:sz w:val="1"/>
                <w:szCs w:val="1"/>
                <w:color w:val="auto"/>
              </w:rPr>
            </w:pPr>
          </w:p>
        </w:tc>
        <w:tc>
          <w:tcPr>
            <w:tcW w:w="920" w:type="dxa"/>
            <w:vAlign w:val="bottom"/>
            <w:tcBorders>
              <w:top w:val="single" w:sz="8" w:color="DEDEDE"/>
            </w:tcBorders>
            <w:shd w:val="clear" w:color="auto" w:fill="DEDEDE"/>
          </w:tcPr>
          <w:p>
            <w:pPr>
              <w:spacing w:after="0" w:line="20" w:lineRule="exact"/>
              <w:rPr>
                <w:sz w:val="1"/>
                <w:szCs w:val="1"/>
                <w:color w:val="auto"/>
              </w:rPr>
            </w:pPr>
          </w:p>
        </w:tc>
        <w:tc>
          <w:tcPr>
            <w:tcW w:w="300" w:type="dxa"/>
            <w:vAlign w:val="bottom"/>
            <w:tcBorders>
              <w:top w:val="single" w:sz="8" w:color="DEDEDE"/>
            </w:tcBorders>
            <w:shd w:val="clear" w:color="auto" w:fill="DEDEDE"/>
          </w:tcPr>
          <w:p>
            <w:pPr>
              <w:spacing w:after="0" w:line="20" w:lineRule="exact"/>
              <w:rPr>
                <w:sz w:val="1"/>
                <w:szCs w:val="1"/>
                <w:color w:val="auto"/>
              </w:rPr>
            </w:pPr>
          </w:p>
        </w:tc>
        <w:tc>
          <w:tcPr>
            <w:tcW w:w="140" w:type="dxa"/>
            <w:vAlign w:val="bottom"/>
            <w:tcBorders>
              <w:top w:val="single" w:sz="8" w:color="DEDEDE"/>
            </w:tcBorders>
            <w:shd w:val="clear" w:color="auto" w:fill="DEDEDE"/>
          </w:tcPr>
          <w:p>
            <w:pPr>
              <w:spacing w:after="0" w:line="20" w:lineRule="exact"/>
              <w:rPr>
                <w:sz w:val="1"/>
                <w:szCs w:val="1"/>
                <w:color w:val="auto"/>
              </w:rPr>
            </w:pPr>
          </w:p>
        </w:tc>
        <w:tc>
          <w:tcPr>
            <w:tcW w:w="640" w:type="dxa"/>
            <w:vAlign w:val="bottom"/>
            <w:tcBorders>
              <w:top w:val="single" w:sz="8" w:color="DEDEDE"/>
            </w:tcBorders>
            <w:shd w:val="clear" w:color="auto" w:fill="DEDEDE"/>
          </w:tcPr>
          <w:p>
            <w:pPr>
              <w:spacing w:after="0" w:line="20" w:lineRule="exact"/>
              <w:rPr>
                <w:sz w:val="1"/>
                <w:szCs w:val="1"/>
                <w:color w:val="auto"/>
              </w:rPr>
            </w:pPr>
          </w:p>
        </w:tc>
        <w:tc>
          <w:tcPr>
            <w:tcW w:w="300" w:type="dxa"/>
            <w:vAlign w:val="bottom"/>
            <w:tcBorders>
              <w:top w:val="single" w:sz="8" w:color="DEDEDE"/>
            </w:tcBorders>
            <w:shd w:val="clear" w:color="auto" w:fill="DEDEDE"/>
          </w:tcPr>
          <w:p>
            <w:pPr>
              <w:spacing w:after="0" w:line="20" w:lineRule="exact"/>
              <w:rPr>
                <w:sz w:val="1"/>
                <w:szCs w:val="1"/>
                <w:color w:val="auto"/>
              </w:rPr>
            </w:pPr>
          </w:p>
        </w:tc>
        <w:tc>
          <w:tcPr>
            <w:tcW w:w="840" w:type="dxa"/>
            <w:vAlign w:val="bottom"/>
            <w:tcBorders>
              <w:top w:val="single" w:sz="8" w:color="DEDEDE"/>
            </w:tcBorders>
            <w:shd w:val="clear" w:color="auto" w:fill="DEDEDE"/>
          </w:tcPr>
          <w:p>
            <w:pPr>
              <w:spacing w:after="0" w:line="20" w:lineRule="exact"/>
              <w:rPr>
                <w:sz w:val="1"/>
                <w:szCs w:val="1"/>
                <w:color w:val="auto"/>
              </w:rPr>
            </w:pPr>
          </w:p>
        </w:tc>
        <w:tc>
          <w:tcPr>
            <w:tcW w:w="30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920" w:type="dxa"/>
            <w:vAlign w:val="bottom"/>
            <w:tcBorders>
              <w:top w:val="single" w:sz="8" w:color="DEDEDE"/>
            </w:tcBorders>
            <w:shd w:val="clear" w:color="auto" w:fill="DEDEDE"/>
          </w:tcPr>
          <w:p>
            <w:pPr>
              <w:spacing w:after="0" w:line="20" w:lineRule="exact"/>
              <w:rPr>
                <w:sz w:val="1"/>
                <w:szCs w:val="1"/>
                <w:color w:val="auto"/>
              </w:rPr>
            </w:pPr>
          </w:p>
        </w:tc>
        <w:tc>
          <w:tcPr>
            <w:tcW w:w="32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640" w:type="dxa"/>
            <w:vAlign w:val="bottom"/>
            <w:tcBorders>
              <w:top w:val="single" w:sz="8" w:color="DEDEDE"/>
            </w:tcBorders>
            <w:shd w:val="clear" w:color="auto" w:fill="DEDEDE"/>
          </w:tcPr>
          <w:p>
            <w:pPr>
              <w:spacing w:after="0" w:line="20" w:lineRule="exact"/>
              <w:rPr>
                <w:sz w:val="1"/>
                <w:szCs w:val="1"/>
                <w:color w:val="auto"/>
              </w:rPr>
            </w:pPr>
          </w:p>
        </w:tc>
        <w:tc>
          <w:tcPr>
            <w:tcW w:w="180" w:type="dxa"/>
            <w:vAlign w:val="bottom"/>
            <w:tcBorders>
              <w:top w:val="single" w:sz="8" w:color="DEDEDE"/>
            </w:tcBorders>
            <w:shd w:val="clear" w:color="auto" w:fill="DED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than 65%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48,065,177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$21,375,552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518,590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$ 9,960,769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79,920,088</w:t>
            </w:r>
          </w:p>
        </w:tc>
        <w:tc>
          <w:tcPr>
            <w:tcW w:w="32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65% to 80%</w:t>
            </w:r>
          </w:p>
        </w:tc>
        <w:tc>
          <w:tcPr>
            <w:tcW w:w="2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70,798,767</w:t>
            </w:r>
          </w:p>
        </w:tc>
        <w:tc>
          <w:tcPr>
            <w:tcW w:w="160" w:type="dxa"/>
            <w:vAlign w:val="bottom"/>
            <w:shd w:val="clear" w:color="auto" w:fill="DEDEDE"/>
          </w:tcPr>
          <w:p>
            <w:pPr>
              <w:spacing w:after="0"/>
              <w:rPr>
                <w:sz w:val="18"/>
                <w:szCs w:val="18"/>
                <w:color w:val="auto"/>
              </w:rPr>
            </w:pPr>
          </w:p>
        </w:tc>
        <w:tc>
          <w:tcPr>
            <w:tcW w:w="10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6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453,878</w:t>
            </w:r>
          </w:p>
        </w:tc>
        <w:tc>
          <w:tcPr>
            <w:tcW w:w="11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71,252,645</w:t>
            </w:r>
          </w:p>
        </w:tc>
        <w:tc>
          <w:tcPr>
            <w:tcW w:w="320" w:type="dxa"/>
            <w:vAlign w:val="bottom"/>
            <w:shd w:val="clear" w:color="auto" w:fill="DEDEDE"/>
          </w:tcPr>
          <w:p>
            <w:pPr>
              <w:spacing w:after="0"/>
              <w:rPr>
                <w:sz w:val="18"/>
                <w:szCs w:val="18"/>
                <w:color w:val="auto"/>
              </w:rPr>
            </w:pPr>
          </w:p>
        </w:tc>
        <w:tc>
          <w:tcPr>
            <w:tcW w:w="920" w:type="dxa"/>
            <w:vAlign w:val="bottom"/>
            <w:gridSpan w:val="3"/>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47.13%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Greater than 80%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40" w:type="dxa"/>
            <w:vAlign w:val="bottom"/>
            <w:tcBorders>
              <w:top w:val="single" w:sz="8" w:color="DEDEDE"/>
            </w:tcBorders>
            <w:shd w:val="clear" w:color="auto" w:fill="DEDEDE"/>
          </w:tcPr>
          <w:p>
            <w:pPr>
              <w:spacing w:after="0"/>
              <w:rPr>
                <w:sz w:val="18"/>
                <w:szCs w:val="18"/>
                <w:color w:val="auto"/>
              </w:rPr>
            </w:pPr>
          </w:p>
        </w:tc>
        <w:tc>
          <w:tcPr>
            <w:tcW w:w="1380" w:type="dxa"/>
            <w:vAlign w:val="bottom"/>
            <w:tcBorders>
              <w:top w:val="single" w:sz="8" w:color="DEDEDE"/>
            </w:tcBorders>
            <w:shd w:val="clear" w:color="auto" w:fill="DEDEDE"/>
          </w:tcPr>
          <w:p>
            <w:pPr>
              <w:spacing w:after="0"/>
              <w:rPr>
                <w:sz w:val="18"/>
                <w:szCs w:val="18"/>
                <w:color w:val="auto"/>
              </w:rPr>
            </w:pPr>
          </w:p>
        </w:tc>
        <w:tc>
          <w:tcPr>
            <w:tcW w:w="2260" w:type="dxa"/>
            <w:vAlign w:val="bottom"/>
            <w:tcBorders>
              <w:top w:val="single" w:sz="8" w:color="DEDEDE"/>
            </w:tcBorders>
            <w:shd w:val="clear" w:color="auto" w:fill="DEDEDE"/>
          </w:tcPr>
          <w:p>
            <w:pPr>
              <w:spacing w:after="0"/>
              <w:rPr>
                <w:sz w:val="18"/>
                <w:szCs w:val="18"/>
                <w:color w:val="auto"/>
              </w:rPr>
            </w:pPr>
          </w:p>
        </w:tc>
        <w:tc>
          <w:tcPr>
            <w:tcW w:w="22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900" w:type="dxa"/>
            <w:vAlign w:val="bottom"/>
            <w:tcBorders>
              <w:top w:val="single" w:sz="8" w:color="auto"/>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920" w:type="dxa"/>
            <w:vAlign w:val="bottom"/>
            <w:tcBorders>
              <w:top w:val="single" w:sz="8" w:color="auto"/>
            </w:tcBorders>
            <w:shd w:val="clear" w:color="auto" w:fill="DEDEDE"/>
          </w:tcPr>
          <w:p>
            <w:pPr>
              <w:spacing w:after="0"/>
              <w:rPr>
                <w:sz w:val="18"/>
                <w:szCs w:val="18"/>
                <w:color w:val="auto"/>
              </w:rPr>
            </w:pPr>
          </w:p>
        </w:tc>
        <w:tc>
          <w:tcPr>
            <w:tcW w:w="30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18"/>
                <w:szCs w:val="18"/>
                <w:color w:val="auto"/>
              </w:rPr>
            </w:pPr>
          </w:p>
        </w:tc>
        <w:tc>
          <w:tcPr>
            <w:tcW w:w="640" w:type="dxa"/>
            <w:vAlign w:val="bottom"/>
            <w:tcBorders>
              <w:top w:val="single" w:sz="8" w:color="auto"/>
            </w:tcBorders>
            <w:shd w:val="clear" w:color="auto" w:fill="DEDEDE"/>
          </w:tcPr>
          <w:p>
            <w:pPr>
              <w:spacing w:after="0"/>
              <w:rPr>
                <w:sz w:val="18"/>
                <w:szCs w:val="18"/>
                <w:color w:val="auto"/>
              </w:rPr>
            </w:pPr>
          </w:p>
        </w:tc>
        <w:tc>
          <w:tcPr>
            <w:tcW w:w="300" w:type="dxa"/>
            <w:vAlign w:val="bottom"/>
            <w:tcBorders>
              <w:top w:val="single" w:sz="8" w:color="DEDEDE"/>
            </w:tcBorders>
            <w:shd w:val="clear" w:color="auto" w:fill="DEDEDE"/>
          </w:tcPr>
          <w:p>
            <w:pPr>
              <w:spacing w:after="0"/>
              <w:rPr>
                <w:sz w:val="18"/>
                <w:szCs w:val="18"/>
                <w:color w:val="auto"/>
              </w:rPr>
            </w:pPr>
          </w:p>
        </w:tc>
        <w:tc>
          <w:tcPr>
            <w:tcW w:w="840" w:type="dxa"/>
            <w:vAlign w:val="bottom"/>
            <w:tcBorders>
              <w:top w:val="single" w:sz="8" w:color="auto"/>
            </w:tcBorders>
            <w:shd w:val="clear" w:color="auto" w:fill="DEDEDE"/>
          </w:tcPr>
          <w:p>
            <w:pPr>
              <w:spacing w:after="0"/>
              <w:rPr>
                <w:sz w:val="18"/>
                <w:szCs w:val="18"/>
                <w:color w:val="auto"/>
              </w:rPr>
            </w:pPr>
          </w:p>
        </w:tc>
        <w:tc>
          <w:tcPr>
            <w:tcW w:w="30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92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640" w:type="dxa"/>
            <w:vAlign w:val="bottom"/>
            <w:tcBorders>
              <w:top w:val="single" w:sz="8" w:color="auto"/>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118,863,944</w:t>
            </w:r>
          </w:p>
        </w:tc>
        <w:tc>
          <w:tcPr>
            <w:tcW w:w="160" w:type="dxa"/>
            <w:vAlign w:val="bottom"/>
          </w:tcPr>
          <w:p>
            <w:pPr>
              <w:spacing w:after="0"/>
              <w:rPr>
                <w:sz w:val="21"/>
                <w:szCs w:val="21"/>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21,375,552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972,468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$ 9,960,769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151,172,733</w:t>
            </w:r>
          </w:p>
        </w:tc>
        <w:tc>
          <w:tcPr>
            <w:tcW w:w="320" w:type="dxa"/>
            <w:vAlign w:val="bottom"/>
          </w:tcPr>
          <w:p>
            <w:pPr>
              <w:spacing w:after="0"/>
              <w:rPr>
                <w:sz w:val="21"/>
                <w:szCs w:val="21"/>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u w:val="single" w:color="auto"/>
                <w:color w:val="auto"/>
              </w:rPr>
              <w:t>Principal Amounts Due</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9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amortized cost and contractual payments on mortgage loans held for investment by category as of December 31, 2025. Expected principal payments may differ from contractual obligations because certain borrowers may elect to pay off mortgage obligations with or without early payment penalties.</w:t>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Principal</w:t>
            </w:r>
          </w:p>
        </w:tc>
        <w:tc>
          <w:tcPr>
            <w:tcW w:w="14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Principal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8"/>
              </w:rPr>
              <w:t>Principal</w:t>
            </w:r>
          </w:p>
        </w:tc>
      </w:tr>
      <w:tr>
        <w:trPr>
          <w:trHeight w:val="216"/>
        </w:trPr>
        <w:tc>
          <w:tcPr>
            <w:tcW w:w="3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Amounts</w:t>
            </w:r>
          </w:p>
        </w:tc>
        <w:tc>
          <w:tcPr>
            <w:tcW w:w="14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Amounts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Amounts</w:t>
            </w:r>
          </w:p>
        </w:tc>
      </w:tr>
      <w:tr>
        <w:trPr>
          <w:trHeight w:val="229"/>
        </w:trPr>
        <w:tc>
          <w:tcPr>
            <w:tcW w:w="3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Due in</w:t>
            </w:r>
          </w:p>
        </w:tc>
        <w:tc>
          <w:tcPr>
            <w:tcW w:w="140" w:type="dxa"/>
            <w:vAlign w:val="bottom"/>
          </w:tcPr>
          <w:p>
            <w:pPr>
              <w:spacing w:after="0"/>
              <w:rPr>
                <w:sz w:val="19"/>
                <w:szCs w:val="19"/>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Due in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Due</w:t>
            </w:r>
          </w:p>
        </w:tc>
      </w:tr>
      <w:tr>
        <w:trPr>
          <w:trHeight w:val="235"/>
        </w:trPr>
        <w:tc>
          <w:tcPr>
            <w:tcW w:w="3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1 Year</w:t>
            </w:r>
          </w:p>
        </w:tc>
        <w:tc>
          <w:tcPr>
            <w:tcW w:w="140" w:type="dxa"/>
            <w:vAlign w:val="bottom"/>
          </w:tcPr>
          <w:p>
            <w:pPr>
              <w:spacing w:after="0"/>
              <w:rPr>
                <w:sz w:val="20"/>
                <w:szCs w:val="20"/>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6"/>
              </w:rPr>
              <w:t>2-5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Thereafter</w:t>
            </w:r>
          </w:p>
        </w:tc>
      </w:tr>
      <w:tr>
        <w:trPr>
          <w:trHeight w:val="210"/>
        </w:trPr>
        <w:tc>
          <w:tcPr>
            <w:tcW w:w="380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90,644,590</w:t>
            </w:r>
          </w:p>
        </w:tc>
        <w:tc>
          <w:tcPr>
            <w:tcW w:w="26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1,587,321</w:t>
            </w:r>
          </w:p>
        </w:tc>
        <w:tc>
          <w:tcPr>
            <w:tcW w:w="26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7,713,366</w:t>
            </w:r>
          </w:p>
        </w:tc>
        <w:tc>
          <w:tcPr>
            <w:tcW w:w="26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81,343,903</w:t>
            </w:r>
          </w:p>
        </w:tc>
        <w:tc>
          <w:tcPr>
            <w:tcW w:w="80" w:type="dxa"/>
            <w:vAlign w:val="bottom"/>
            <w:tcBorders>
              <w:top w:val="single" w:sz="8" w:color="DEDEDE"/>
            </w:tcBorders>
            <w:gridSpan w:val="2"/>
            <w:shd w:val="clear" w:color="auto" w:fill="DEDEDE"/>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Construction</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157,398,705</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143,860,260</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13,538,445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30"/>
        </w:trPr>
        <w:tc>
          <w:tcPr>
            <w:tcW w:w="38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DEDEDE"/>
          </w:tcPr>
          <w:p>
            <w:pPr>
              <w:spacing w:after="0"/>
              <w:rPr>
                <w:sz w:val="19"/>
                <w:szCs w:val="19"/>
                <w:color w:val="auto"/>
              </w:rPr>
            </w:pPr>
          </w:p>
        </w:tc>
        <w:tc>
          <w:tcPr>
            <w:tcW w:w="1200" w:type="dxa"/>
            <w:vAlign w:val="bottom"/>
            <w:gridSpan w:val="2"/>
            <w:shd w:val="clear" w:color="auto" w:fill="DEDEDE"/>
          </w:tcPr>
          <w:p>
            <w:pPr>
              <w:jc w:val="right"/>
              <w:ind w:right="260"/>
              <w:spacing w:after="0"/>
              <w:rPr>
                <w:sz w:val="20"/>
                <w:szCs w:val="20"/>
                <w:color w:val="auto"/>
              </w:rPr>
            </w:pPr>
            <w:r>
              <w:rPr>
                <w:rFonts w:ascii="Times New Roman" w:cs="Times New Roman" w:eastAsia="Times New Roman" w:hAnsi="Times New Roman"/>
                <w:sz w:val="18"/>
                <w:szCs w:val="18"/>
                <w:color w:val="auto"/>
              </w:rPr>
              <w:t>79,231,786</w:t>
            </w:r>
          </w:p>
        </w:tc>
        <w:tc>
          <w:tcPr>
            <w:tcW w:w="140" w:type="dxa"/>
            <w:vAlign w:val="bottom"/>
            <w:shd w:val="clear" w:color="auto" w:fill="DEDEDE"/>
          </w:tcPr>
          <w:p>
            <w:pPr>
              <w:spacing w:after="0"/>
              <w:rPr>
                <w:sz w:val="19"/>
                <w:szCs w:val="19"/>
                <w:color w:val="auto"/>
              </w:rPr>
            </w:pPr>
          </w:p>
        </w:tc>
        <w:tc>
          <w:tcPr>
            <w:tcW w:w="1200" w:type="dxa"/>
            <w:vAlign w:val="bottom"/>
            <w:gridSpan w:val="2"/>
            <w:shd w:val="clear" w:color="auto" w:fill="DEDEDE"/>
          </w:tcPr>
          <w:p>
            <w:pPr>
              <w:jc w:val="right"/>
              <w:ind w:right="260"/>
              <w:spacing w:after="0"/>
              <w:rPr>
                <w:sz w:val="20"/>
                <w:szCs w:val="20"/>
                <w:color w:val="auto"/>
              </w:rPr>
            </w:pPr>
            <w:r>
              <w:rPr>
                <w:rFonts w:ascii="Times New Roman" w:cs="Times New Roman" w:eastAsia="Times New Roman" w:hAnsi="Times New Roman"/>
                <w:sz w:val="18"/>
                <w:szCs w:val="18"/>
                <w:color w:val="auto"/>
              </w:rPr>
              <w:t>39,473,791</w:t>
            </w:r>
          </w:p>
        </w:tc>
        <w:tc>
          <w:tcPr>
            <w:tcW w:w="140" w:type="dxa"/>
            <w:vAlign w:val="bottom"/>
            <w:shd w:val="clear" w:color="auto" w:fill="DEDEDE"/>
          </w:tcPr>
          <w:p>
            <w:pPr>
              <w:spacing w:after="0"/>
              <w:rPr>
                <w:sz w:val="19"/>
                <w:szCs w:val="19"/>
                <w:color w:val="auto"/>
              </w:rPr>
            </w:pPr>
          </w:p>
        </w:tc>
        <w:tc>
          <w:tcPr>
            <w:tcW w:w="1200" w:type="dxa"/>
            <w:vAlign w:val="bottom"/>
            <w:gridSpan w:val="2"/>
            <w:shd w:val="clear" w:color="auto" w:fill="DEDEDE"/>
          </w:tcPr>
          <w:p>
            <w:pPr>
              <w:jc w:val="right"/>
              <w:ind w:right="260"/>
              <w:spacing w:after="0"/>
              <w:rPr>
                <w:sz w:val="20"/>
                <w:szCs w:val="20"/>
                <w:color w:val="auto"/>
              </w:rPr>
            </w:pPr>
            <w:r>
              <w:rPr>
                <w:rFonts w:ascii="Times New Roman" w:cs="Times New Roman" w:eastAsia="Times New Roman" w:hAnsi="Times New Roman"/>
                <w:sz w:val="18"/>
                <w:szCs w:val="18"/>
                <w:color w:val="auto"/>
              </w:rPr>
              <w:t>36,802,660</w:t>
            </w: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1040" w:type="dxa"/>
            <w:vAlign w:val="bottom"/>
            <w:gridSpan w:val="3"/>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2,955,335</w:t>
            </w:r>
          </w:p>
        </w:tc>
      </w:tr>
      <w:tr>
        <w:trPr>
          <w:trHeight w:val="22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327,275,081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184,921,372</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58,054,471</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84,299,238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45</w:t>
      </w:r>
    </w:p>
    <w:p>
      <w:pPr>
        <w:sectPr>
          <w:pgSz w:w="12240" w:h="15840" w:orient="portrait"/>
          <w:cols w:equalWidth="0" w:num="1">
            <w:col w:w="11242"/>
          </w:cols>
          <w:pgMar w:left="498" w:top="687" w:right="500" w:bottom="0" w:gutter="0" w:footer="0" w:header="0"/>
        </w:sectPr>
      </w:pPr>
    </w:p>
    <w:bookmarkStart w:id="73" w:name="page74"/>
    <w:bookmarkEnd w:id="73"/>
    <w:p>
      <w:pPr>
        <w:jc w:val="center"/>
        <w:ind w:right="3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3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Insurance Assignments</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presents the aging of insurance assignments, included in other investments and policy loans on the consolidated balance sheets: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3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6"/>
          </w:tcPr>
          <w:p>
            <w:pPr>
              <w:jc w:val="right"/>
              <w:ind w:right="461"/>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3440" w:type="dxa"/>
            <w:vAlign w:val="bottom"/>
            <w:tcBorders>
              <w:bottom w:val="single" w:sz="8" w:color="DEDEDE"/>
            </w:tcBorders>
          </w:tcPr>
          <w:p>
            <w:pPr>
              <w:spacing w:after="0"/>
              <w:rPr>
                <w:sz w:val="19"/>
                <w:szCs w:val="19"/>
                <w:color w:val="auto"/>
              </w:rPr>
            </w:pPr>
          </w:p>
        </w:tc>
        <w:tc>
          <w:tcPr>
            <w:tcW w:w="1440" w:type="dxa"/>
            <w:vAlign w:val="bottom"/>
            <w:tcBorders>
              <w:bottom w:val="single" w:sz="8" w:color="DEDED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bottom w:val="single" w:sz="8" w:color="DEDEDE"/>
            </w:tcBorders>
          </w:tcPr>
          <w:p>
            <w:pPr>
              <w:spacing w:after="0"/>
              <w:rPr>
                <w:sz w:val="19"/>
                <w:szCs w:val="19"/>
                <w:color w:val="auto"/>
              </w:rPr>
            </w:pPr>
          </w:p>
        </w:tc>
        <w:tc>
          <w:tcPr>
            <w:tcW w:w="80" w:type="dxa"/>
            <w:vAlign w:val="bottom"/>
            <w:tcBorders>
              <w:top w:val="single" w:sz="8" w:color="auto"/>
              <w:bottom w:val="single" w:sz="8" w:color="DEDED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10"/>
        </w:trPr>
        <w:tc>
          <w:tcPr>
            <w:tcW w:w="34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30-59 days past due</w:t>
            </w:r>
          </w:p>
        </w:tc>
        <w:tc>
          <w:tcPr>
            <w:tcW w:w="1440" w:type="dxa"/>
            <w:vAlign w:val="bottom"/>
            <w:shd w:val="clear" w:color="auto" w:fill="DEDEDE"/>
          </w:tcPr>
          <w:p>
            <w:pPr>
              <w:spacing w:after="0"/>
              <w:rPr>
                <w:sz w:val="18"/>
                <w:szCs w:val="18"/>
                <w:color w:val="auto"/>
              </w:rPr>
            </w:pPr>
          </w:p>
        </w:tc>
        <w:tc>
          <w:tcPr>
            <w:tcW w:w="280" w:type="dxa"/>
            <w:vAlign w:val="bottom"/>
            <w:shd w:val="clear" w:color="auto" w:fill="DEDED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8,444,866</w:t>
            </w:r>
          </w:p>
        </w:tc>
        <w:tc>
          <w:tcPr>
            <w:tcW w:w="1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300" w:type="dxa"/>
            <w:vAlign w:val="bottom"/>
            <w:shd w:val="clear" w:color="auto" w:fill="DEDED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8,785,184</w:t>
            </w:r>
          </w:p>
        </w:tc>
        <w:tc>
          <w:tcPr>
            <w:tcW w:w="80" w:type="dxa"/>
            <w:vAlign w:val="bottom"/>
            <w:shd w:val="clear" w:color="auto" w:fill="DEDEDE"/>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60-89 days past due</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3,344,793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4,046,731</w:t>
            </w:r>
          </w:p>
        </w:tc>
        <w:tc>
          <w:tcPr>
            <w:tcW w:w="80" w:type="dxa"/>
            <w:vAlign w:val="bottom"/>
          </w:tcPr>
          <w:p>
            <w:pPr>
              <w:spacing w:after="0"/>
              <w:rPr>
                <w:sz w:val="18"/>
                <w:szCs w:val="18"/>
                <w:color w:val="auto"/>
              </w:rPr>
            </w:pPr>
          </w:p>
        </w:tc>
      </w:tr>
      <w:tr>
        <w:trPr>
          <w:trHeight w:val="229"/>
        </w:trPr>
        <w:tc>
          <w:tcPr>
            <w:tcW w:w="34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Over 90 days past due</w:t>
            </w:r>
          </w:p>
        </w:tc>
        <w:tc>
          <w:tcPr>
            <w:tcW w:w="1440" w:type="dxa"/>
            <w:vAlign w:val="bottom"/>
            <w:shd w:val="clear" w:color="auto" w:fill="DEDEDE"/>
          </w:tcPr>
          <w:p>
            <w:pPr>
              <w:spacing w:after="0"/>
              <w:rPr>
                <w:sz w:val="19"/>
                <w:szCs w:val="19"/>
                <w:color w:val="auto"/>
              </w:rPr>
            </w:pPr>
          </w:p>
        </w:tc>
        <w:tc>
          <w:tcPr>
            <w:tcW w:w="280" w:type="dxa"/>
            <w:vAlign w:val="bottom"/>
            <w:tcBorders>
              <w:bottom w:val="single" w:sz="8" w:color="auto"/>
            </w:tcBorders>
            <w:shd w:val="clear" w:color="auto" w:fill="DEDEDE"/>
          </w:tcPr>
          <w:p>
            <w:pPr>
              <w:spacing w:after="0"/>
              <w:rPr>
                <w:sz w:val="19"/>
                <w:szCs w:val="19"/>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4,976,211</w:t>
            </w:r>
          </w:p>
        </w:tc>
        <w:tc>
          <w:tcPr>
            <w:tcW w:w="140" w:type="dxa"/>
            <w:vAlign w:val="bottom"/>
            <w:shd w:val="clear" w:color="auto" w:fill="DEDEDE"/>
          </w:tcPr>
          <w:p>
            <w:pPr>
              <w:spacing w:after="0"/>
              <w:rPr>
                <w:sz w:val="19"/>
                <w:szCs w:val="19"/>
                <w:color w:val="auto"/>
              </w:rPr>
            </w:pPr>
          </w:p>
        </w:tc>
        <w:tc>
          <w:tcPr>
            <w:tcW w:w="80" w:type="dxa"/>
            <w:vAlign w:val="bottom"/>
            <w:shd w:val="clear" w:color="auto" w:fill="DEDEDE"/>
          </w:tcPr>
          <w:p>
            <w:pPr>
              <w:spacing w:after="0"/>
              <w:rPr>
                <w:sz w:val="19"/>
                <w:szCs w:val="19"/>
                <w:color w:val="auto"/>
              </w:rPr>
            </w:pPr>
          </w:p>
        </w:tc>
        <w:tc>
          <w:tcPr>
            <w:tcW w:w="300" w:type="dxa"/>
            <w:vAlign w:val="bottom"/>
            <w:tcBorders>
              <w:bottom w:val="single" w:sz="8" w:color="auto"/>
            </w:tcBorders>
            <w:shd w:val="clear" w:color="auto" w:fill="DEDEDE"/>
          </w:tcPr>
          <w:p>
            <w:pPr>
              <w:spacing w:after="0"/>
              <w:rPr>
                <w:sz w:val="19"/>
                <w:szCs w:val="19"/>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5,320,216</w:t>
            </w:r>
          </w:p>
        </w:tc>
        <w:tc>
          <w:tcPr>
            <w:tcW w:w="80" w:type="dxa"/>
            <w:vAlign w:val="bottom"/>
            <w:shd w:val="clear" w:color="auto" w:fill="DEDEDE"/>
          </w:tcPr>
          <w:p>
            <w:pPr>
              <w:spacing w:after="0"/>
              <w:rPr>
                <w:sz w:val="19"/>
                <w:szCs w:val="19"/>
                <w:color w:val="auto"/>
              </w:rPr>
            </w:pPr>
          </w:p>
        </w:tc>
      </w:tr>
      <w:tr>
        <w:trPr>
          <w:trHeight w:val="210"/>
        </w:trPr>
        <w:tc>
          <w:tcPr>
            <w:tcW w:w="344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Total past due</w:t>
            </w:r>
          </w:p>
        </w:tc>
        <w:tc>
          <w:tcPr>
            <w:tcW w:w="1440" w:type="dxa"/>
            <w:vAlign w:val="bottom"/>
            <w:tcBorders>
              <w:bottom w:val="single" w:sz="8" w:color="DEDEDE"/>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16,765,870</w:t>
            </w:r>
          </w:p>
        </w:tc>
        <w:tc>
          <w:tcPr>
            <w:tcW w:w="140" w:type="dxa"/>
            <w:vAlign w:val="bottom"/>
            <w:tcBorders>
              <w:bottom w:val="single" w:sz="8" w:color="DEDEDE"/>
            </w:tcBorders>
          </w:tcPr>
          <w:p>
            <w:pPr>
              <w:spacing w:after="0"/>
              <w:rPr>
                <w:sz w:val="18"/>
                <w:szCs w:val="18"/>
                <w:color w:val="auto"/>
              </w:rPr>
            </w:pPr>
          </w:p>
        </w:tc>
        <w:tc>
          <w:tcPr>
            <w:tcW w:w="80" w:type="dxa"/>
            <w:vAlign w:val="bottom"/>
            <w:tcBorders>
              <w:bottom w:val="single" w:sz="8" w:color="DEDEDE"/>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18,152,131</w:t>
            </w:r>
          </w:p>
        </w:tc>
        <w:tc>
          <w:tcPr>
            <w:tcW w:w="80" w:type="dxa"/>
            <w:vAlign w:val="bottom"/>
            <w:tcBorders>
              <w:bottom w:val="single" w:sz="8" w:color="DEDEDE"/>
            </w:tcBorders>
          </w:tcPr>
          <w:p>
            <w:pPr>
              <w:spacing w:after="0"/>
              <w:rPr>
                <w:sz w:val="18"/>
                <w:szCs w:val="18"/>
                <w:color w:val="auto"/>
              </w:rPr>
            </w:pPr>
          </w:p>
        </w:tc>
      </w:tr>
      <w:tr>
        <w:trPr>
          <w:trHeight w:val="209"/>
        </w:trPr>
        <w:tc>
          <w:tcPr>
            <w:tcW w:w="34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Current</w:t>
            </w:r>
          </w:p>
        </w:tc>
        <w:tc>
          <w:tcPr>
            <w:tcW w:w="1440" w:type="dxa"/>
            <w:vAlign w:val="bottom"/>
            <w:shd w:val="clear" w:color="auto" w:fill="DEDEDE"/>
          </w:tcPr>
          <w:p>
            <w:pPr>
              <w:spacing w:after="0"/>
              <w:rPr>
                <w:sz w:val="18"/>
                <w:szCs w:val="18"/>
                <w:color w:val="auto"/>
              </w:rPr>
            </w:pPr>
          </w:p>
        </w:tc>
        <w:tc>
          <w:tcPr>
            <w:tcW w:w="280" w:type="dxa"/>
            <w:vAlign w:val="bottom"/>
            <w:tcBorders>
              <w:bottom w:val="single" w:sz="8" w:color="auto"/>
            </w:tcBorders>
            <w:shd w:val="clear" w:color="auto" w:fill="DEDEDE"/>
          </w:tcPr>
          <w:p>
            <w:pPr>
              <w:spacing w:after="0"/>
              <w:rPr>
                <w:sz w:val="18"/>
                <w:szCs w:val="18"/>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29,418,129</w:t>
            </w:r>
          </w:p>
        </w:tc>
        <w:tc>
          <w:tcPr>
            <w:tcW w:w="1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300" w:type="dxa"/>
            <w:vAlign w:val="bottom"/>
            <w:tcBorders>
              <w:bottom w:val="single" w:sz="8" w:color="auto"/>
            </w:tcBorders>
            <w:shd w:val="clear" w:color="auto" w:fill="DEDEDE"/>
          </w:tcPr>
          <w:p>
            <w:pPr>
              <w:spacing w:after="0"/>
              <w:rPr>
                <w:sz w:val="18"/>
                <w:szCs w:val="18"/>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30,341,727</w:t>
            </w:r>
          </w:p>
        </w:tc>
        <w:tc>
          <w:tcPr>
            <w:tcW w:w="80" w:type="dxa"/>
            <w:vAlign w:val="bottom"/>
            <w:shd w:val="clear" w:color="auto" w:fill="DEDEDE"/>
          </w:tcPr>
          <w:p>
            <w:pPr>
              <w:spacing w:after="0"/>
              <w:rPr>
                <w:sz w:val="18"/>
                <w:szCs w:val="18"/>
                <w:color w:val="auto"/>
              </w:rPr>
            </w:pPr>
          </w:p>
        </w:tc>
      </w:tr>
      <w:tr>
        <w:trPr>
          <w:trHeight w:val="210"/>
        </w:trPr>
        <w:tc>
          <w:tcPr>
            <w:tcW w:w="344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Total insurance assignments</w:t>
            </w:r>
          </w:p>
        </w:tc>
        <w:tc>
          <w:tcPr>
            <w:tcW w:w="1440" w:type="dxa"/>
            <w:vAlign w:val="bottom"/>
            <w:tcBorders>
              <w:bottom w:val="single" w:sz="8" w:color="DEDEDE"/>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46,183,999</w:t>
            </w:r>
          </w:p>
        </w:tc>
        <w:tc>
          <w:tcPr>
            <w:tcW w:w="140" w:type="dxa"/>
            <w:vAlign w:val="bottom"/>
            <w:tcBorders>
              <w:bottom w:val="single" w:sz="8" w:color="DEDEDE"/>
            </w:tcBorders>
          </w:tcPr>
          <w:p>
            <w:pPr>
              <w:spacing w:after="0"/>
              <w:rPr>
                <w:sz w:val="18"/>
                <w:szCs w:val="18"/>
                <w:color w:val="auto"/>
              </w:rPr>
            </w:pPr>
          </w:p>
        </w:tc>
        <w:tc>
          <w:tcPr>
            <w:tcW w:w="80" w:type="dxa"/>
            <w:vAlign w:val="bottom"/>
            <w:tcBorders>
              <w:bottom w:val="single" w:sz="8" w:color="DEDEDE"/>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48,493,858</w:t>
            </w:r>
          </w:p>
        </w:tc>
        <w:tc>
          <w:tcPr>
            <w:tcW w:w="80" w:type="dxa"/>
            <w:vAlign w:val="bottom"/>
            <w:tcBorders>
              <w:bottom w:val="single" w:sz="8" w:color="DEDEDE"/>
            </w:tcBorders>
          </w:tcPr>
          <w:p>
            <w:pPr>
              <w:spacing w:after="0"/>
              <w:rPr>
                <w:sz w:val="18"/>
                <w:szCs w:val="18"/>
                <w:color w:val="auto"/>
              </w:rPr>
            </w:pPr>
          </w:p>
        </w:tc>
      </w:tr>
      <w:tr>
        <w:trPr>
          <w:trHeight w:val="209"/>
        </w:trPr>
        <w:tc>
          <w:tcPr>
            <w:tcW w:w="34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40" w:type="dxa"/>
            <w:vAlign w:val="bottom"/>
            <w:shd w:val="clear" w:color="auto" w:fill="DEDEDE"/>
          </w:tcPr>
          <w:p>
            <w:pPr>
              <w:spacing w:after="0"/>
              <w:rPr>
                <w:sz w:val="18"/>
                <w:szCs w:val="18"/>
                <w:color w:val="auto"/>
              </w:rPr>
            </w:pPr>
          </w:p>
        </w:tc>
        <w:tc>
          <w:tcPr>
            <w:tcW w:w="280" w:type="dxa"/>
            <w:vAlign w:val="bottom"/>
            <w:tcBorders>
              <w:bottom w:val="single" w:sz="8" w:color="auto"/>
            </w:tcBorders>
            <w:shd w:val="clear" w:color="auto" w:fill="DEDEDE"/>
          </w:tcPr>
          <w:p>
            <w:pPr>
              <w:spacing w:after="0"/>
              <w:rPr>
                <w:sz w:val="18"/>
                <w:szCs w:val="18"/>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(1,676,468</w:t>
            </w:r>
          </w:p>
        </w:tc>
        <w:tc>
          <w:tcPr>
            <w:tcW w:w="140" w:type="dxa"/>
            <w:vAlign w:val="bottom"/>
            <w:shd w:val="clear" w:color="auto" w:fill="DEDEDE"/>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DEDEDE"/>
          </w:tcPr>
          <w:p>
            <w:pPr>
              <w:spacing w:after="0"/>
              <w:rPr>
                <w:sz w:val="18"/>
                <w:szCs w:val="18"/>
                <w:color w:val="auto"/>
              </w:rPr>
            </w:pPr>
          </w:p>
        </w:tc>
        <w:tc>
          <w:tcPr>
            <w:tcW w:w="300" w:type="dxa"/>
            <w:vAlign w:val="bottom"/>
            <w:tcBorders>
              <w:bottom w:val="single" w:sz="8" w:color="auto"/>
            </w:tcBorders>
            <w:shd w:val="clear" w:color="auto" w:fill="DEDEDE"/>
          </w:tcPr>
          <w:p>
            <w:pPr>
              <w:spacing w:after="0"/>
              <w:rPr>
                <w:sz w:val="18"/>
                <w:szCs w:val="18"/>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(1,536,926</w:t>
            </w:r>
          </w:p>
        </w:tc>
        <w:tc>
          <w:tcPr>
            <w:tcW w:w="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Net insurance assignments</w:t>
            </w:r>
          </w:p>
        </w:tc>
        <w:tc>
          <w:tcPr>
            <w:tcW w:w="1440" w:type="dxa"/>
            <w:vAlign w:val="bottom"/>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44,507,531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46,956,932</w:t>
            </w:r>
          </w:p>
        </w:tc>
        <w:tc>
          <w:tcPr>
            <w:tcW w:w="8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2"/>
        <w:spacing w:after="0" w:line="283" w:lineRule="auto"/>
        <w:rPr>
          <w:sz w:val="20"/>
          <w:szCs w:val="20"/>
          <w:color w:val="auto"/>
        </w:rPr>
      </w:pPr>
      <w:r>
        <w:rPr>
          <w:rFonts w:ascii="Times New Roman" w:cs="Times New Roman" w:eastAsia="Times New Roman" w:hAnsi="Times New Roman"/>
          <w:sz w:val="18"/>
          <w:szCs w:val="18"/>
          <w:color w:val="auto"/>
        </w:rPr>
        <w:t>The Company records an allowance for credit losses when the insurance assignment is funded. Once an insurance assignment is 90 days past due or is in legal proceedings, it is monitored for write-off and collectability, and any adjustments to the allowance are recorded at that time.</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 for insurance assignments:</w:t>
      </w:r>
    </w:p>
    <w:p>
      <w:pPr>
        <w:sectPr>
          <w:pgSz w:w="12240" w:h="15840" w:orient="portrait"/>
          <w:cols w:equalWidth="0" w:num="1">
            <w:col w:w="11222"/>
          </w:cols>
          <w:pgMar w:left="498" w:top="687" w:right="520"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Beginning balance -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-127000</wp:posOffset>
                </wp:positionV>
                <wp:extent cx="4989195" cy="145415"/>
                <wp:wrapNone/>
                <wp:docPr id="139" name="Shape 1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9195" cy="145415"/>
                        </a:xfrm>
                        <a:prstGeom prst="rect">
                          <a:avLst/>
                        </a:prstGeom>
                        <a:solidFill>
                          <a:srgbClr val="DEDEDE"/>
                        </a:solidFill>
                      </wps:spPr>
                      <wps:bodyPr/>
                    </wps:wsp>
                  </a:graphicData>
                </a:graphic>
              </wp:anchor>
            </w:drawing>
          </mc:Choice>
          <mc:Fallback>
            <w:pict>
              <v:rect id="Shape 139" o:spid="_x0000_s1164" style="position:absolute;margin-left:0pt;margin-top:-10pt;width:392.8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left="182"/>
        <w:spacing w:after="0"/>
        <w:rPr>
          <w:sz w:val="20"/>
          <w:szCs w:val="20"/>
          <w:color w:val="auto"/>
        </w:rPr>
      </w:pPr>
      <w:r>
        <w:rPr>
          <w:rFonts w:ascii="Times New Roman" w:cs="Times New Roman" w:eastAsia="Times New Roman" w:hAnsi="Times New Roman"/>
          <w:sz w:val="18"/>
          <w:szCs w:val="18"/>
          <w:color w:val="auto"/>
        </w:rPr>
        <w:t>Change in provision for credit losses (1)</w:t>
      </w:r>
    </w:p>
    <w:p>
      <w:pPr>
        <w:spacing w:after="0" w:line="9"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color w:val="auto"/>
        </w:rPr>
        <w:t>Charge-offs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-118110</wp:posOffset>
                </wp:positionV>
                <wp:extent cx="4989195" cy="145415"/>
                <wp:wrapNone/>
                <wp:docPr id="140" name="Shape 1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9195" cy="145415"/>
                        </a:xfrm>
                        <a:prstGeom prst="rect">
                          <a:avLst/>
                        </a:prstGeom>
                        <a:solidFill>
                          <a:srgbClr val="DEDEDE"/>
                        </a:solidFill>
                      </wps:spPr>
                      <wps:bodyPr/>
                    </wps:wsp>
                  </a:graphicData>
                </a:graphic>
              </wp:anchor>
            </w:drawing>
          </mc:Choice>
          <mc:Fallback>
            <w:pict>
              <v:rect id="Shape 140" o:spid="_x0000_s1165" style="position:absolute;margin-left:0pt;margin-top:-9.2999pt;width:392.8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Ending balance -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44450</wp:posOffset>
                </wp:positionV>
                <wp:extent cx="4989195" cy="154305"/>
                <wp:wrapNone/>
                <wp:docPr id="141" name="Shape 1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9195" cy="154305"/>
                        </a:xfrm>
                        <a:prstGeom prst="rect">
                          <a:avLst/>
                        </a:prstGeom>
                        <a:solidFill>
                          <a:srgbClr val="DEDEDE"/>
                        </a:solidFill>
                      </wps:spPr>
                      <wps:bodyPr/>
                    </wps:wsp>
                  </a:graphicData>
                </a:graphic>
              </wp:anchor>
            </w:drawing>
          </mc:Choice>
          <mc:Fallback>
            <w:pict>
              <v:rect id="Shape 141" o:spid="_x0000_s1166" style="position:absolute;margin-left:0pt;margin-top:3.5pt;width:392.85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2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Beginning balance - December 31, 2023</w:t>
      </w:r>
    </w:p>
    <w:p>
      <w:pPr>
        <w:spacing w:after="0" w:line="9"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color w:val="auto"/>
        </w:rPr>
        <w:t>Change in provision for credit losses (1)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-118110</wp:posOffset>
                </wp:positionV>
                <wp:extent cx="4989195" cy="136525"/>
                <wp:wrapNone/>
                <wp:docPr id="142" name="Shape 1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9195" cy="136525"/>
                        </a:xfrm>
                        <a:prstGeom prst="rect">
                          <a:avLst/>
                        </a:prstGeom>
                        <a:solidFill>
                          <a:srgbClr val="DEDEDE"/>
                        </a:solidFill>
                      </wps:spPr>
                      <wps:bodyPr/>
                    </wps:wsp>
                  </a:graphicData>
                </a:graphic>
              </wp:anchor>
            </w:drawing>
          </mc:Choice>
          <mc:Fallback>
            <w:pict>
              <v:rect id="Shape 142" o:spid="_x0000_s1167" style="position:absolute;margin-left:0pt;margin-top:-9.2999pt;width:392.8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left="182"/>
        <w:spacing w:after="0"/>
        <w:rPr>
          <w:sz w:val="20"/>
          <w:szCs w:val="20"/>
          <w:color w:val="auto"/>
        </w:rPr>
      </w:pPr>
      <w:r>
        <w:rPr>
          <w:rFonts w:ascii="Times New Roman" w:cs="Times New Roman" w:eastAsia="Times New Roman" w:hAnsi="Times New Roman"/>
          <w:sz w:val="18"/>
          <w:szCs w:val="18"/>
          <w:color w:val="auto"/>
        </w:rPr>
        <w:t>Charge-offs</w:t>
      </w:r>
    </w:p>
    <w:p>
      <w:pPr>
        <w:spacing w:after="0" w:line="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Ending balance -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-118110</wp:posOffset>
                </wp:positionV>
                <wp:extent cx="4989195" cy="162560"/>
                <wp:wrapNone/>
                <wp:docPr id="143" name="Shape 1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9195" cy="162560"/>
                        </a:xfrm>
                        <a:prstGeom prst="rect">
                          <a:avLst/>
                        </a:prstGeom>
                        <a:solidFill>
                          <a:srgbClr val="DEDEDE"/>
                        </a:solidFill>
                      </wps:spPr>
                      <wps:bodyPr/>
                    </wps:wsp>
                  </a:graphicData>
                </a:graphic>
              </wp:anchor>
            </w:drawing>
          </mc:Choice>
          <mc:Fallback>
            <w:pict>
              <v:rect id="Shape 143" o:spid="_x0000_s1168" style="position:absolute;margin-left:0pt;margin-top:-9.2999pt;width:392.85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203200</wp:posOffset>
                </wp:positionV>
                <wp:extent cx="1783080"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pt" to="140.4pt,16pt" o:allowincell="f" strokecolor="#000000" strokeweight="0.675pt"/>
            </w:pict>
          </mc:Fallback>
        </mc:AlternateContent>
      </w:r>
    </w:p>
    <w:p>
      <w:pPr>
        <w:spacing w:after="0" w:line="3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(1)  Included in other expenses on the consolidated statements of earnings</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jc w:val="center"/>
        <w:ind w:right="3440"/>
        <w:spacing w:after="0"/>
        <w:rPr>
          <w:sz w:val="20"/>
          <w:szCs w:val="20"/>
          <w:color w:val="auto"/>
        </w:rPr>
      </w:pPr>
      <w:r>
        <w:rPr>
          <w:rFonts w:ascii="Times New Roman" w:cs="Times New Roman" w:eastAsia="Times New Roman" w:hAnsi="Times New Roman"/>
          <w:sz w:val="18"/>
          <w:szCs w:val="18"/>
          <w:color w:val="auto"/>
        </w:rPr>
        <w:t>Allowance</w:t>
      </w:r>
    </w:p>
    <w:p>
      <w:pPr>
        <w:spacing w:after="0" w:line="2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1,536,926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-122555</wp:posOffset>
                </wp:positionV>
                <wp:extent cx="85661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661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9.6499pt" to="67.35pt,-9.6499pt" o:allowincell="f" strokecolor="#000000" strokeweight="0.675pt"/>
            </w:pict>
          </mc:Fallback>
        </mc:AlternateContent>
      </w:r>
    </w:p>
    <w:p>
      <w:pPr>
        <w:ind w:left="620"/>
        <w:spacing w:after="0"/>
        <w:rPr>
          <w:sz w:val="20"/>
          <w:szCs w:val="20"/>
          <w:color w:val="auto"/>
        </w:rPr>
      </w:pPr>
      <w:r>
        <w:rPr>
          <w:rFonts w:ascii="Times New Roman" w:cs="Times New Roman" w:eastAsia="Times New Roman" w:hAnsi="Times New Roman"/>
          <w:sz w:val="18"/>
          <w:szCs w:val="18"/>
          <w:color w:val="auto"/>
        </w:rPr>
        <w:t>1,058,661</w:t>
      </w:r>
    </w:p>
    <w:p>
      <w:pPr>
        <w:spacing w:after="0" w:line="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(919,119)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29845</wp:posOffset>
                </wp:positionV>
                <wp:extent cx="85661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661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2.35pt" to="67.35pt,2.35pt" o:allowincell="f" strokecolor="#000000" strokeweight="0.675pt"/>
            </w:pict>
          </mc:Fallback>
        </mc:AlternateContent>
      </w:r>
    </w:p>
    <w:p>
      <w:pPr>
        <w:spacing w:after="0" w:line="2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1,676,468</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22860</wp:posOffset>
                </wp:positionV>
                <wp:extent cx="85661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661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8pt" to="67.35pt,1.8pt" o:allowincell="f" strokecolor="#000000" strokeweight="0.675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40005</wp:posOffset>
                </wp:positionV>
                <wp:extent cx="85661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661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15pt" to="67.35pt,3.15pt" o:allowincell="f" strokecolor="#000000" strokeweight="0.675pt"/>
            </w:pict>
          </mc:Fallback>
        </mc:AlternateContent>
      </w:r>
    </w:p>
    <w:p>
      <w:pPr>
        <w:spacing w:after="0" w:line="24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1,553,836</w:t>
      </w:r>
    </w:p>
    <w:p>
      <w:pPr>
        <w:spacing w:after="0" w:line="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1,033,277</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(1,050,187)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22860</wp:posOffset>
                </wp:positionV>
                <wp:extent cx="85661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661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8pt" to="67.35pt,1.8pt" o:allowincell="f" strokecolor="#000000" strokeweight="0.675pt"/>
            </w:pict>
          </mc:Fallback>
        </mc:AlternateContent>
      </w:r>
    </w:p>
    <w:p>
      <w:pPr>
        <w:spacing w:after="0" w:line="1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1,536,926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wp:posOffset>
                </wp:positionH>
                <wp:positionV relativeFrom="paragraph">
                  <wp:posOffset>22860</wp:posOffset>
                </wp:positionV>
                <wp:extent cx="85661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661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1.8pt" to="67.35pt,1.8pt" o:allowincell="f" strokecolor="#000000" strokeweight="0.675pt"/>
            </w:pict>
          </mc:Fallback>
        </mc:AlternateContent>
        <mc:AlternateContent>
          <mc:Choice Requires="wps">
            <w:drawing>
              <wp:anchor simplePos="0" relativeHeight="251657728" behindDoc="1" locked="0" layoutInCell="0" allowOverlap="1">
                <wp:simplePos x="0" y="0"/>
                <wp:positionH relativeFrom="column">
                  <wp:posOffset>-1270</wp:posOffset>
                </wp:positionH>
                <wp:positionV relativeFrom="paragraph">
                  <wp:posOffset>40005</wp:posOffset>
                </wp:positionV>
                <wp:extent cx="85661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5661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999pt,3.15pt" to="67.35pt,3.15pt" o:allowincell="f" strokecolor="#000000" strokeweight="0.675pt"/>
            </w:pict>
          </mc:Fallback>
        </mc:AlternateContent>
      </w:r>
    </w:p>
    <w:p>
      <w:pPr>
        <w:spacing w:after="0" w:line="701" w:lineRule="exact"/>
        <w:rPr>
          <w:sz w:val="20"/>
          <w:szCs w:val="20"/>
          <w:color w:val="auto"/>
        </w:rPr>
      </w:pPr>
    </w:p>
    <w:p>
      <w:pPr>
        <w:sectPr>
          <w:pgSz w:w="12240" w:h="15840" w:orient="portrait"/>
          <w:cols w:equalWidth="0" w:num="2">
            <w:col w:w="5722" w:space="720"/>
            <w:col w:w="4780"/>
          </w:cols>
          <w:pgMar w:left="498" w:top="687" w:right="5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1"/>
        <w:spacing w:after="0"/>
        <w:rPr>
          <w:sz w:val="20"/>
          <w:szCs w:val="20"/>
          <w:color w:val="auto"/>
        </w:rPr>
      </w:pPr>
      <w:r>
        <w:rPr>
          <w:rFonts w:ascii="Times New Roman" w:cs="Times New Roman" w:eastAsia="Times New Roman" w:hAnsi="Times New Roman"/>
          <w:sz w:val="18"/>
          <w:szCs w:val="18"/>
          <w:color w:val="auto"/>
        </w:rPr>
        <w:t>46</w:t>
      </w:r>
    </w:p>
    <w:p>
      <w:pPr>
        <w:sectPr>
          <w:pgSz w:w="12240" w:h="15840" w:orient="portrait"/>
          <w:cols w:equalWidth="0" w:num="1">
            <w:col w:w="11222"/>
          </w:cols>
          <w:pgMar w:left="498" w:top="687" w:right="520" w:bottom="0" w:gutter="0" w:footer="0" w:header="0"/>
          <w:type w:val="continuous"/>
        </w:sectPr>
      </w:pPr>
    </w:p>
    <w:bookmarkStart w:id="74" w:name="page75"/>
    <w:bookmarkEnd w:id="74"/>
    <w:p>
      <w:pPr>
        <w:jc w:val="center"/>
        <w:ind w:right="5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Variable Interest Entities (“VIE”)</w:t>
      </w:r>
    </w:p>
    <w:p>
      <w:pPr>
        <w:spacing w:after="0" w:line="228" w:lineRule="exact"/>
        <w:rPr>
          <w:sz w:val="20"/>
          <w:szCs w:val="20"/>
          <w:color w:val="auto"/>
        </w:rPr>
      </w:pPr>
    </w:p>
    <w:p>
      <w:pPr>
        <w:jc w:val="both"/>
        <w:ind w:left="2" w:firstLine="1"/>
        <w:spacing w:after="0" w:line="271" w:lineRule="auto"/>
        <w:rPr>
          <w:sz w:val="20"/>
          <w:szCs w:val="20"/>
          <w:color w:val="auto"/>
        </w:rPr>
      </w:pPr>
      <w:r>
        <w:rPr>
          <w:rFonts w:ascii="Times New Roman" w:cs="Times New Roman" w:eastAsia="Times New Roman" w:hAnsi="Times New Roman"/>
          <w:sz w:val="17"/>
          <w:szCs w:val="17"/>
          <w:color w:val="auto"/>
        </w:rPr>
        <w:t>The Company has a 50% ownership interest in three VIEs: HHH Real Estate LLC (“HHH”), SN Oquirrh LLC (“Oquirrh”), and SN Towns LLC (“Towns”). These entities hold and develop single family lots for residential construction. In accordance with the operating agreements for these entities, net profits or losses are allocated to the members in accordance with their ownership interests. The investments in HHH, Oquirrh and Towns are accounted for under the equity method of accounting. The carrying value of the equity investment in HHH was $10,530,515 and nil at December 31, 2025, and 2024, respectively, which is included in other investments and policy loans on the consolidated balance sheets. The carrying value of the equity investment in Oquirrh was $887,532 and $1,500,000 at December 31, 2025, and 2024, respectively, which is included in other investments and policy loans on the consolidated balance sheets. The carrying value of the equity investment in Towns was $2,656,616 and $4,063,537 at December 31, 2025, and 2024, respectively. $1,467,058 and $1,939,269 of which at December 31, 2025, and 2024, respectively, is included in restricted assets and $1,189,558 and $2,124,268 of which at December 31, 2025, and 2024, respectively, is included in cemetery perpetual care trust investments on the consolidated balance sheets.</w:t>
      </w:r>
    </w:p>
    <w:p>
      <w:pPr>
        <w:spacing w:after="0" w:line="173"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The Company has determined that HHH, Oquirrh and Towns are VIEs for which the Company is not the primary beneficiary for the following reasons: (1) the at-risk equity holders, as a group, lack the characteristics of a controlling financial interest, (2) the General Manager directs the activities and legal operations that most significantly affect the entity’s economic performance and (3) the Company does not have majority voting rights and no power to unilaterally direct the activities of the entity, and therefore, is not the primary beneficiary. The Company’s exposure to loss because of its involvement with the equity method investees is limited to the carrying value of the Company’s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47</w:t>
      </w:r>
    </w:p>
    <w:p>
      <w:pPr>
        <w:sectPr>
          <w:pgSz w:w="12240" w:h="15840" w:orient="portrait"/>
          <w:cols w:equalWidth="0" w:num="1">
            <w:col w:w="11242"/>
          </w:cols>
          <w:pgMar w:left="498" w:top="687" w:right="500" w:bottom="0" w:gutter="0" w:footer="0" w:header="0"/>
        </w:sectPr>
      </w:pPr>
    </w:p>
    <w:bookmarkStart w:id="75" w:name="page76"/>
    <w:bookmarkEnd w:id="75"/>
    <w:p>
      <w:pPr>
        <w:jc w:val="center"/>
        <w:ind w:right="-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Investment Related Earnings</w:t>
      </w:r>
    </w:p>
    <w:p>
      <w:pPr>
        <w:spacing w:after="0" w:line="228" w:lineRule="exact"/>
        <w:rPr>
          <w:sz w:val="20"/>
          <w:szCs w:val="20"/>
          <w:color w:val="auto"/>
        </w:rPr>
      </w:pPr>
    </w:p>
    <w:p>
      <w:pPr>
        <w:ind w:left="2"/>
        <w:spacing w:after="0" w:line="283" w:lineRule="auto"/>
        <w:rPr>
          <w:sz w:val="20"/>
          <w:szCs w:val="20"/>
          <w:color w:val="auto"/>
        </w:rPr>
      </w:pPr>
      <w:r>
        <w:rPr>
          <w:rFonts w:ascii="Times New Roman" w:cs="Times New Roman" w:eastAsia="Times New Roman" w:hAnsi="Times New Roman"/>
          <w:sz w:val="18"/>
          <w:szCs w:val="18"/>
          <w:color w:val="auto"/>
        </w:rPr>
        <w:t>The following table presents the net realized gains and losses from sales, calls, and maturities, unrealized gains and losses on equity securities from investments and other assets.</w:t>
      </w:r>
    </w:p>
    <w:p>
      <w:pPr>
        <w:spacing w:after="0" w:line="173"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6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DEDEDE"/>
            </w:tcBorders>
          </w:tcPr>
          <w:p>
            <w:pPr>
              <w:spacing w:after="0"/>
              <w:rPr>
                <w:sz w:val="19"/>
                <w:szCs w:val="19"/>
                <w:color w:val="auto"/>
              </w:rPr>
            </w:pPr>
          </w:p>
        </w:tc>
        <w:tc>
          <w:tcPr>
            <w:tcW w:w="580" w:type="dxa"/>
            <w:vAlign w:val="bottom"/>
            <w:tcBorders>
              <w:bottom w:val="single" w:sz="8" w:color="DEDED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bottom w:val="single" w:sz="8" w:color="DEDEDE"/>
            </w:tcBorders>
          </w:tcPr>
          <w:p>
            <w:pPr>
              <w:spacing w:after="0"/>
              <w:rPr>
                <w:sz w:val="19"/>
                <w:szCs w:val="19"/>
                <w:color w:val="auto"/>
              </w:rPr>
            </w:pPr>
          </w:p>
        </w:tc>
        <w:tc>
          <w:tcPr>
            <w:tcW w:w="100" w:type="dxa"/>
            <w:vAlign w:val="bottom"/>
            <w:tcBorders>
              <w:top w:val="single" w:sz="8" w:color="auto"/>
              <w:bottom w:val="single" w:sz="8" w:color="DEDED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realized gains</w:t>
            </w:r>
          </w:p>
        </w:tc>
        <w:tc>
          <w:tcPr>
            <w:tcW w:w="9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133,939</w:t>
            </w:r>
          </w:p>
        </w:tc>
        <w:tc>
          <w:tcPr>
            <w:tcW w:w="140" w:type="dxa"/>
            <w:vAlign w:val="bottom"/>
          </w:tcPr>
          <w:p>
            <w:pPr>
              <w:spacing w:after="0"/>
              <w:rPr>
                <w:sz w:val="18"/>
                <w:szCs w:val="18"/>
                <w:color w:val="auto"/>
              </w:rPr>
            </w:pP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Gross realized losses</w:t>
            </w: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(48,588)</w:t>
            </w: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8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(63,024)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credit loss provision</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(342,957)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DEDEDE"/>
          </w:tcPr>
          <w:p>
            <w:pPr>
              <w:spacing w:after="0"/>
              <w:rPr>
                <w:sz w:val="18"/>
                <w:szCs w:val="18"/>
                <w:color w:val="auto"/>
              </w:rPr>
            </w:pP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Losses on securities sold</w:t>
            </w: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(873,965)</w:t>
            </w: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8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(42,680)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Unrealized gains on securities held at the end of the period</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3,977,047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2,290,252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DEDEDE"/>
          </w:tcPr>
          <w:p>
            <w:pPr>
              <w:spacing w:after="0"/>
              <w:rPr>
                <w:sz w:val="18"/>
                <w:szCs w:val="18"/>
                <w:color w:val="auto"/>
              </w:rPr>
            </w:pP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Gross realized gains</w:t>
            </w: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8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realized losses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DEDEDE"/>
          </w:tcPr>
          <w:p>
            <w:pPr>
              <w:spacing w:after="0"/>
              <w:rPr>
                <w:sz w:val="18"/>
                <w:szCs w:val="18"/>
                <w:color w:val="auto"/>
              </w:rPr>
            </w:pP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Gross realized gains</w:t>
            </w: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1,615,323</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739,107</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realized losses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DEDEDE"/>
          </w:tcPr>
          <w:p>
            <w:pPr>
              <w:spacing w:after="0"/>
              <w:rPr>
                <w:sz w:val="18"/>
                <w:szCs w:val="18"/>
                <w:color w:val="auto"/>
              </w:rPr>
            </w:pP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 and assets: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Gross realized gains</w:t>
            </w: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293,329</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293,657</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Gross realized losses</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DEDEDE"/>
              <w:bottom w:val="single" w:sz="8" w:color="DEDEDE"/>
            </w:tcBorders>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top w:val="single" w:sz="8" w:color="DEDEDE"/>
              <w:bottom w:val="single" w:sz="8" w:color="DEDEDE"/>
            </w:tcBorders>
            <w:shd w:val="clear" w:color="auto" w:fill="DEDEDE"/>
          </w:tcPr>
          <w:p>
            <w:pPr>
              <w:spacing w:after="0"/>
              <w:rPr>
                <w:sz w:val="19"/>
                <w:szCs w:val="19"/>
                <w:color w:val="auto"/>
              </w:rPr>
            </w:pPr>
          </w:p>
        </w:tc>
        <w:tc>
          <w:tcPr>
            <w:tcW w:w="340" w:type="dxa"/>
            <w:vAlign w:val="bottom"/>
            <w:tcBorders>
              <w:top w:val="single" w:sz="8" w:color="auto"/>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4,636,377</w:t>
            </w: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c>
          <w:tcPr>
            <w:tcW w:w="340" w:type="dxa"/>
            <w:vAlign w:val="bottom"/>
            <w:tcBorders>
              <w:top w:val="single" w:sz="8" w:color="auto"/>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1,941,898</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2"/>
        <w:spacing w:after="0" w:line="283" w:lineRule="auto"/>
        <w:rPr>
          <w:sz w:val="20"/>
          <w:szCs w:val="20"/>
          <w:color w:val="auto"/>
        </w:rPr>
      </w:pPr>
      <w:r>
        <w:rPr>
          <w:rFonts w:ascii="Times New Roman" w:cs="Times New Roman" w:eastAsia="Times New Roman" w:hAnsi="Times New Roman"/>
          <w:sz w:val="18"/>
          <w:szCs w:val="18"/>
          <w:color w:val="auto"/>
        </w:rPr>
        <w:t>The net realized gains and losses on the sale of securities are recorded on the trade date, and the cost of the securities sold is determined using the specific identification method.</w:t>
      </w:r>
    </w:p>
    <w:p>
      <w:pPr>
        <w:spacing w:after="0" w:line="160" w:lineRule="exact"/>
        <w:rPr>
          <w:sz w:val="20"/>
          <w:szCs w:val="20"/>
          <w:color w:val="auto"/>
        </w:rPr>
      </w:pPr>
    </w:p>
    <w:p>
      <w:pPr>
        <w:ind w:left="2"/>
        <w:spacing w:after="0" w:line="283" w:lineRule="auto"/>
        <w:rPr>
          <w:sz w:val="20"/>
          <w:szCs w:val="20"/>
          <w:color w:val="auto"/>
        </w:rPr>
      </w:pPr>
      <w:r>
        <w:rPr>
          <w:rFonts w:ascii="Times New Roman" w:cs="Times New Roman" w:eastAsia="Times New Roman" w:hAnsi="Times New Roman"/>
          <w:sz w:val="18"/>
          <w:szCs w:val="18"/>
          <w:color w:val="auto"/>
        </w:rPr>
        <w:t>Net realized gains and losses includes gains and losses from cemetery perpetual care trust investments and the restricted assets of the cemeteries and mortuaries and totaled $1,352,331 in net gains and $888,788 in net gains for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48</w:t>
      </w:r>
    </w:p>
    <w:p>
      <w:pPr>
        <w:sectPr>
          <w:pgSz w:w="12240" w:h="15840" w:orient="portrait"/>
          <w:cols w:equalWidth="0" w:num="1">
            <w:col w:w="11222"/>
          </w:cols>
          <w:pgMar w:left="498" w:top="687" w:right="520" w:bottom="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SECURITY NATIONAL FINANCIAL CORPORATION</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(Continued)</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2"/>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 categories of net investment income were as follows:</w:t>
            </w: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640" w:type="dxa"/>
            <w:vAlign w:val="bottom"/>
            <w:tcBorders>
              <w:bottom w:val="single" w:sz="8" w:color="DEDEDE"/>
            </w:tcBorders>
          </w:tcPr>
          <w:p>
            <w:pPr>
              <w:spacing w:after="0"/>
              <w:rPr>
                <w:sz w:val="19"/>
                <w:szCs w:val="19"/>
                <w:color w:val="auto"/>
              </w:rPr>
            </w:pPr>
          </w:p>
        </w:tc>
        <w:tc>
          <w:tcPr>
            <w:tcW w:w="880" w:type="dxa"/>
            <w:vAlign w:val="bottom"/>
            <w:tcBorders>
              <w:bottom w:val="single" w:sz="8" w:color="DEDEDE"/>
            </w:tcBorders>
          </w:tcPr>
          <w:p>
            <w:pPr>
              <w:spacing w:after="0"/>
              <w:rPr>
                <w:sz w:val="19"/>
                <w:szCs w:val="19"/>
                <w:color w:val="auto"/>
              </w:rPr>
            </w:pPr>
          </w:p>
        </w:tc>
        <w:tc>
          <w:tcPr>
            <w:tcW w:w="3420" w:type="dxa"/>
            <w:vAlign w:val="bottom"/>
            <w:tcBorders>
              <w:bottom w:val="single" w:sz="8" w:color="DEDEDE"/>
            </w:tcBorders>
          </w:tcPr>
          <w:p>
            <w:pPr>
              <w:spacing w:after="0"/>
              <w:rPr>
                <w:sz w:val="19"/>
                <w:szCs w:val="19"/>
                <w:color w:val="auto"/>
              </w:rPr>
            </w:pPr>
          </w:p>
        </w:tc>
        <w:tc>
          <w:tcPr>
            <w:tcW w:w="640" w:type="dxa"/>
            <w:vAlign w:val="bottom"/>
            <w:tcBorders>
              <w:bottom w:val="single" w:sz="8" w:color="DEDED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bottom w:val="single" w:sz="8" w:color="DEDEDE"/>
            </w:tcBorders>
          </w:tcPr>
          <w:p>
            <w:pPr>
              <w:spacing w:after="0"/>
              <w:rPr>
                <w:sz w:val="19"/>
                <w:szCs w:val="19"/>
                <w:color w:val="auto"/>
              </w:rPr>
            </w:pPr>
          </w:p>
        </w:tc>
        <w:tc>
          <w:tcPr>
            <w:tcW w:w="100" w:type="dxa"/>
            <w:vAlign w:val="bottom"/>
            <w:tcBorders>
              <w:top w:val="single" w:sz="8" w:color="auto"/>
              <w:bottom w:val="single" w:sz="8" w:color="DEDED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09"/>
        </w:trPr>
        <w:tc>
          <w:tcPr>
            <w:tcW w:w="494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640" w:type="dxa"/>
            <w:vAlign w:val="bottom"/>
            <w:shd w:val="clear" w:color="auto" w:fill="DEDEDE"/>
          </w:tcPr>
          <w:p>
            <w:pPr>
              <w:spacing w:after="0"/>
              <w:rPr>
                <w:sz w:val="18"/>
                <w:szCs w:val="18"/>
                <w:color w:val="auto"/>
              </w:rPr>
            </w:pP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18,935,884</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17,332,753</w:t>
            </w:r>
          </w:p>
        </w:tc>
        <w:tc>
          <w:tcPr>
            <w:tcW w:w="80" w:type="dxa"/>
            <w:vAlign w:val="bottom"/>
            <w:shd w:val="clear" w:color="auto" w:fill="DEDEDE"/>
          </w:tcPr>
          <w:p>
            <w:pPr>
              <w:spacing w:after="0"/>
              <w:rPr>
                <w:sz w:val="18"/>
                <w:szCs w:val="18"/>
                <w:color w:val="auto"/>
              </w:rPr>
            </w:pPr>
          </w:p>
        </w:tc>
      </w:tr>
      <w:tr>
        <w:trPr>
          <w:trHeight w:val="216"/>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698,484</w:t>
            </w:r>
          </w:p>
        </w:tc>
        <w:tc>
          <w:tcPr>
            <w:tcW w:w="80" w:type="dxa"/>
            <w:vAlign w:val="bottom"/>
          </w:tcPr>
          <w:p>
            <w:pPr>
              <w:spacing w:after="0"/>
              <w:rPr>
                <w:sz w:val="18"/>
                <w:szCs w:val="18"/>
                <w:color w:val="auto"/>
              </w:rPr>
            </w:pPr>
          </w:p>
        </w:tc>
      </w:tr>
      <w:tr>
        <w:trPr>
          <w:trHeight w:val="216"/>
        </w:trPr>
        <w:tc>
          <w:tcPr>
            <w:tcW w:w="494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6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39,827,328</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29,952,242</w:t>
            </w:r>
          </w:p>
        </w:tc>
        <w:tc>
          <w:tcPr>
            <w:tcW w:w="80" w:type="dxa"/>
            <w:vAlign w:val="bottom"/>
            <w:shd w:val="clear" w:color="auto" w:fill="DEDEDE"/>
          </w:tcPr>
          <w:p>
            <w:pPr>
              <w:spacing w:after="0"/>
              <w:rPr>
                <w:sz w:val="18"/>
                <w:szCs w:val="18"/>
                <w:color w:val="auto"/>
              </w:rPr>
            </w:pPr>
          </w:p>
        </w:tc>
      </w:tr>
      <w:tr>
        <w:trPr>
          <w:trHeight w:val="216"/>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estate held for investment and sale</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11,627,745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11,369,546</w:t>
            </w:r>
          </w:p>
        </w:tc>
        <w:tc>
          <w:tcPr>
            <w:tcW w:w="80" w:type="dxa"/>
            <w:vAlign w:val="bottom"/>
          </w:tcPr>
          <w:p>
            <w:pPr>
              <w:spacing w:after="0"/>
              <w:rPr>
                <w:sz w:val="18"/>
                <w:szCs w:val="18"/>
                <w:color w:val="auto"/>
              </w:rPr>
            </w:pPr>
          </w:p>
        </w:tc>
      </w:tr>
      <w:tr>
        <w:trPr>
          <w:trHeight w:val="216"/>
        </w:trPr>
        <w:tc>
          <w:tcPr>
            <w:tcW w:w="494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6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965,232</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953,489</w:t>
            </w:r>
          </w:p>
        </w:tc>
        <w:tc>
          <w:tcPr>
            <w:tcW w:w="80" w:type="dxa"/>
            <w:vAlign w:val="bottom"/>
            <w:shd w:val="clear" w:color="auto" w:fill="DEDEDE"/>
          </w:tcPr>
          <w:p>
            <w:pPr>
              <w:spacing w:after="0"/>
              <w:rPr>
                <w:sz w:val="18"/>
                <w:szCs w:val="18"/>
                <w:color w:val="auto"/>
              </w:rPr>
            </w:pPr>
          </w:p>
        </w:tc>
      </w:tr>
      <w:tr>
        <w:trPr>
          <w:trHeight w:val="216"/>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Insurance assignments</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20,898,960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19,971,108</w:t>
            </w:r>
          </w:p>
        </w:tc>
        <w:tc>
          <w:tcPr>
            <w:tcW w:w="80" w:type="dxa"/>
            <w:vAlign w:val="bottom"/>
          </w:tcPr>
          <w:p>
            <w:pPr>
              <w:spacing w:after="0"/>
              <w:rPr>
                <w:sz w:val="18"/>
                <w:szCs w:val="18"/>
                <w:color w:val="auto"/>
              </w:rPr>
            </w:pPr>
          </w:p>
        </w:tc>
      </w:tr>
      <w:tr>
        <w:trPr>
          <w:trHeight w:val="216"/>
        </w:trPr>
        <w:tc>
          <w:tcPr>
            <w:tcW w:w="494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6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995,349</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806,032</w:t>
            </w:r>
          </w:p>
        </w:tc>
        <w:tc>
          <w:tcPr>
            <w:tcW w:w="80" w:type="dxa"/>
            <w:vAlign w:val="bottom"/>
            <w:shd w:val="clear" w:color="auto" w:fill="DEDEDE"/>
          </w:tcPr>
          <w:p>
            <w:pPr>
              <w:spacing w:after="0"/>
              <w:rPr>
                <w:sz w:val="18"/>
                <w:szCs w:val="18"/>
                <w:color w:val="auto"/>
              </w:rPr>
            </w:pPr>
          </w:p>
        </w:tc>
      </w:tr>
      <w:tr>
        <w:trPr>
          <w:trHeight w:val="229"/>
        </w:trPr>
        <w:tc>
          <w:tcPr>
            <w:tcW w:w="4940" w:type="dxa"/>
            <w:vAlign w:val="bottom"/>
            <w:tcBorders>
              <w:bottom w:val="single" w:sz="8" w:color="DEDEDE"/>
            </w:tcBorders>
            <w:gridSpan w:val="3"/>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4,041,886</w:t>
            </w:r>
          </w:p>
        </w:tc>
        <w:tc>
          <w:tcPr>
            <w:tcW w:w="140" w:type="dxa"/>
            <w:vAlign w:val="bottom"/>
            <w:tcBorders>
              <w:bottom w:val="single" w:sz="8" w:color="DEDEDE"/>
            </w:tcBorders>
          </w:tcPr>
          <w:p>
            <w:pPr>
              <w:spacing w:after="0"/>
              <w:rPr>
                <w:sz w:val="19"/>
                <w:szCs w:val="19"/>
                <w:color w:val="auto"/>
              </w:rPr>
            </w:pPr>
          </w:p>
        </w:tc>
        <w:tc>
          <w:tcPr>
            <w:tcW w:w="10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6,676,563</w:t>
            </w:r>
          </w:p>
        </w:tc>
        <w:tc>
          <w:tcPr>
            <w:tcW w:w="80" w:type="dxa"/>
            <w:vAlign w:val="bottom"/>
            <w:tcBorders>
              <w:bottom w:val="single" w:sz="8" w:color="DEDEDE"/>
            </w:tcBorders>
          </w:tcPr>
          <w:p>
            <w:pPr>
              <w:spacing w:after="0"/>
              <w:rPr>
                <w:sz w:val="19"/>
                <w:szCs w:val="19"/>
                <w:color w:val="auto"/>
              </w:rPr>
            </w:pPr>
          </w:p>
        </w:tc>
      </w:tr>
      <w:tr>
        <w:trPr>
          <w:trHeight w:val="209"/>
        </w:trPr>
        <w:tc>
          <w:tcPr>
            <w:tcW w:w="494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Gross investment income</w:t>
            </w:r>
          </w:p>
        </w:tc>
        <w:tc>
          <w:tcPr>
            <w:tcW w:w="6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98,146,248</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87,760,217</w:t>
            </w:r>
          </w:p>
        </w:tc>
        <w:tc>
          <w:tcPr>
            <w:tcW w:w="80" w:type="dxa"/>
            <w:vAlign w:val="bottom"/>
            <w:shd w:val="clear" w:color="auto" w:fill="DEDEDE"/>
          </w:tcPr>
          <w:p>
            <w:pPr>
              <w:spacing w:after="0"/>
              <w:rPr>
                <w:sz w:val="18"/>
                <w:szCs w:val="18"/>
                <w:color w:val="auto"/>
              </w:rPr>
            </w:pPr>
          </w:p>
        </w:tc>
      </w:tr>
      <w:tr>
        <w:trPr>
          <w:trHeight w:val="230"/>
        </w:trPr>
        <w:tc>
          <w:tcPr>
            <w:tcW w:w="4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(18,807,736)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(16,034,968)</w:t>
            </w:r>
          </w:p>
        </w:tc>
      </w:tr>
      <w:tr>
        <w:trPr>
          <w:trHeight w:val="223"/>
        </w:trPr>
        <w:tc>
          <w:tcPr>
            <w:tcW w:w="4940" w:type="dxa"/>
            <w:vAlign w:val="bottom"/>
            <w:tcBorders>
              <w:top w:val="single" w:sz="8" w:color="DEDEDE"/>
              <w:bottom w:val="single" w:sz="8" w:color="DEDEDE"/>
            </w:tcBorders>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640" w:type="dxa"/>
            <w:vAlign w:val="bottom"/>
            <w:tcBorders>
              <w:top w:val="single" w:sz="8" w:color="DEDEDE"/>
              <w:bottom w:val="single" w:sz="8" w:color="DEDEDE"/>
            </w:tcBorders>
            <w:shd w:val="clear" w:color="auto" w:fill="DEDEDE"/>
          </w:tcPr>
          <w:p>
            <w:pPr>
              <w:spacing w:after="0"/>
              <w:rPr>
                <w:sz w:val="19"/>
                <w:szCs w:val="19"/>
                <w:color w:val="auto"/>
              </w:rPr>
            </w:pPr>
          </w:p>
        </w:tc>
        <w:tc>
          <w:tcPr>
            <w:tcW w:w="340" w:type="dxa"/>
            <w:vAlign w:val="bottom"/>
            <w:tcBorders>
              <w:top w:val="single" w:sz="8" w:color="auto"/>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79,338,512</w:t>
            </w: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c>
          <w:tcPr>
            <w:tcW w:w="340" w:type="dxa"/>
            <w:vAlign w:val="bottom"/>
            <w:tcBorders>
              <w:top w:val="single" w:sz="8" w:color="auto"/>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71,725,249</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Net investment income includes income earned from cemetery perpetual care trust investments and the restricted assets of the cemeteries and mortuaries and totaled $953,785 and $2,009,719 for 2025, and 2024, respectively.</w:t>
      </w:r>
    </w:p>
    <w:p>
      <w:pPr>
        <w:spacing w:after="0" w:line="16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8"/>
          <w:szCs w:val="18"/>
          <w:color w:val="auto"/>
        </w:rPr>
        <w:t>Net investment income on real estate consists primarily of rental revenue. Investment expenses consist primarily of depreciation, property taxes, operating expenses of real estate, and an estimated portion of administrative expenses relating to investment activities.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Investment Income</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 consists of the following:</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4"/>
        </w:trPr>
        <w:tc>
          <w:tcPr>
            <w:tcW w:w="5580" w:type="dxa"/>
            <w:vAlign w:val="bottom"/>
            <w:tcBorders>
              <w:bottom w:val="single" w:sz="8" w:color="DEDED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bottom w:val="single" w:sz="8" w:color="DEDED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10"/>
        </w:trPr>
        <w:tc>
          <w:tcPr>
            <w:tcW w:w="55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4,089,819</w:t>
            </w:r>
          </w:p>
        </w:tc>
        <w:tc>
          <w:tcPr>
            <w:tcW w:w="240" w:type="dxa"/>
            <w:vAlign w:val="bottom"/>
            <w:shd w:val="clear" w:color="auto" w:fill="DEDEDE"/>
          </w:tcPr>
          <w:p>
            <w:pPr>
              <w:spacing w:after="0"/>
              <w:rPr>
                <w:sz w:val="18"/>
                <w:szCs w:val="18"/>
                <w:color w:val="auto"/>
              </w:rPr>
            </w:pP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3,795,581</w:t>
            </w:r>
          </w:p>
        </w:tc>
        <w:tc>
          <w:tcPr>
            <w:tcW w:w="80" w:type="dxa"/>
            <w:vAlign w:val="bottom"/>
            <w:shd w:val="clear" w:color="auto" w:fill="DEDEDE"/>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13,169</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11,049</w:t>
            </w:r>
          </w:p>
        </w:tc>
        <w:tc>
          <w:tcPr>
            <w:tcW w:w="80" w:type="dxa"/>
            <w:vAlign w:val="bottom"/>
          </w:tcPr>
          <w:p>
            <w:pPr>
              <w:spacing w:after="0"/>
              <w:rPr>
                <w:sz w:val="18"/>
                <w:szCs w:val="18"/>
                <w:color w:val="auto"/>
              </w:rPr>
            </w:pPr>
          </w:p>
        </w:tc>
      </w:tr>
      <w:tr>
        <w:trPr>
          <w:trHeight w:val="216"/>
        </w:trPr>
        <w:tc>
          <w:tcPr>
            <w:tcW w:w="55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1,032,964</w:t>
            </w:r>
          </w:p>
        </w:tc>
        <w:tc>
          <w:tcPr>
            <w:tcW w:w="2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1,049,489</w:t>
            </w:r>
          </w:p>
        </w:tc>
        <w:tc>
          <w:tcPr>
            <w:tcW w:w="80" w:type="dxa"/>
            <w:vAlign w:val="bottom"/>
            <w:shd w:val="clear" w:color="auto" w:fill="DEDEDE"/>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Real estate held for investment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3,850,958</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3,559,463</w:t>
            </w:r>
          </w:p>
        </w:tc>
        <w:tc>
          <w:tcPr>
            <w:tcW w:w="80" w:type="dxa"/>
            <w:vAlign w:val="bottom"/>
          </w:tcPr>
          <w:p>
            <w:pPr>
              <w:spacing w:after="0"/>
              <w:rPr>
                <w:sz w:val="18"/>
                <w:szCs w:val="18"/>
                <w:color w:val="auto"/>
              </w:rPr>
            </w:pPr>
          </w:p>
        </w:tc>
      </w:tr>
      <w:tr>
        <w:trPr>
          <w:trHeight w:val="216"/>
        </w:trPr>
        <w:tc>
          <w:tcPr>
            <w:tcW w:w="55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30,916</w:t>
            </w:r>
          </w:p>
        </w:tc>
        <w:tc>
          <w:tcPr>
            <w:tcW w:w="2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8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36,819</w:t>
            </w:r>
          </w:p>
        </w:tc>
        <w:tc>
          <w:tcPr>
            <w:tcW w:w="24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83,586</w:t>
            </w:r>
          </w:p>
        </w:tc>
        <w:tc>
          <w:tcPr>
            <w:tcW w:w="80" w:type="dxa"/>
            <w:vAlign w:val="bottom"/>
            <w:tcBorders>
              <w:bottom w:val="single" w:sz="8" w:color="DEDEDE"/>
            </w:tcBorders>
          </w:tcPr>
          <w:p>
            <w:pPr>
              <w:spacing w:after="0"/>
              <w:rPr>
                <w:sz w:val="19"/>
                <w:szCs w:val="19"/>
                <w:color w:val="auto"/>
              </w:rPr>
            </w:pPr>
          </w:p>
        </w:tc>
      </w:tr>
      <w:tr>
        <w:trPr>
          <w:trHeight w:val="223"/>
        </w:trPr>
        <w:tc>
          <w:tcPr>
            <w:tcW w:w="558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accrued investment income</w:t>
            </w:r>
          </w:p>
        </w:tc>
        <w:tc>
          <w:tcPr>
            <w:tcW w:w="340" w:type="dxa"/>
            <w:vAlign w:val="bottom"/>
            <w:tcBorders>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9,054,645</w:t>
            </w:r>
          </w:p>
        </w:tc>
        <w:tc>
          <w:tcPr>
            <w:tcW w:w="240" w:type="dxa"/>
            <w:vAlign w:val="bottom"/>
            <w:tcBorders>
              <w:bottom w:val="single" w:sz="8" w:color="DEDEDE"/>
            </w:tcBorders>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8,499,168</w:t>
            </w:r>
          </w:p>
        </w:tc>
        <w:tc>
          <w:tcPr>
            <w:tcW w:w="80" w:type="dxa"/>
            <w:vAlign w:val="bottom"/>
            <w:tcBorders>
              <w:bottom w:val="single" w:sz="8" w:color="DEDEDE"/>
            </w:tcBorders>
            <w:shd w:val="clear" w:color="auto" w:fill="DEDEDE"/>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2240" w:h="15840" w:orient="portrait"/>
          <w:cols w:equalWidth="0" w:num="1">
            <w:col w:w="11220"/>
          </w:cols>
          <w:pgMar w:left="500" w:top="684" w:right="520" w:bottom="0" w:gutter="0" w:footer="0" w:header="0"/>
        </w:sectPr>
      </w:pPr>
    </w:p>
    <w:bookmarkStart w:id="77" w:name="page78"/>
    <w:bookmarkEnd w:id="77"/>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p>
    <w:p>
      <w:pPr>
        <w:spacing w:after="0" w:line="225"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The Company’s loans held for sale portfolio is valued using the fair value option. Changes in the fair value of the loans are included in mortgage fee income. Interest income is recorded based on the contractual terms of the loan and in accordance with the Company’s policy on recognition of mortgage loan interest income and is included in mortgage fee income on the consolidated statement of earnings. See Note 21 of the Notes to Consolidated Financial Statements for additional disclosures regarding loans held for sale.</w:t>
      </w:r>
    </w:p>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presents the aggregate fair value and the aggregate unpaid principal balance of loans held for sale.</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5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8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09"/>
        </w:trPr>
        <w:tc>
          <w:tcPr>
            <w:tcW w:w="55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Aggregate fair value</w:t>
            </w: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155,968,266</w:t>
            </w: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131,181,148</w:t>
            </w:r>
          </w:p>
        </w:tc>
        <w:tc>
          <w:tcPr>
            <w:tcW w:w="80" w:type="dxa"/>
            <w:vAlign w:val="bottom"/>
            <w:shd w:val="clear" w:color="auto" w:fill="DEDEDE"/>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Unpaid principal balance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154,484,198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128,948,072</w:t>
            </w:r>
          </w:p>
        </w:tc>
        <w:tc>
          <w:tcPr>
            <w:tcW w:w="80" w:type="dxa"/>
            <w:vAlign w:val="bottom"/>
          </w:tcPr>
          <w:p>
            <w:pPr>
              <w:spacing w:after="0"/>
              <w:rPr>
                <w:sz w:val="18"/>
                <w:szCs w:val="18"/>
                <w:color w:val="auto"/>
              </w:rPr>
            </w:pPr>
          </w:p>
        </w:tc>
      </w:tr>
      <w:tr>
        <w:trPr>
          <w:trHeight w:val="216"/>
        </w:trPr>
        <w:tc>
          <w:tcPr>
            <w:tcW w:w="55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Unrealized gain</w:t>
            </w: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1,484,068</w:t>
            </w: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2,233,076</w:t>
            </w:r>
          </w:p>
        </w:tc>
        <w:tc>
          <w:tcPr>
            <w:tcW w:w="80" w:type="dxa"/>
            <w:vAlign w:val="bottom"/>
            <w:shd w:val="clear" w:color="auto" w:fill="DEDEDE"/>
          </w:tcPr>
          <w:p>
            <w:pPr>
              <w:spacing w:after="0"/>
              <w:rPr>
                <w:sz w:val="18"/>
                <w:szCs w:val="18"/>
                <w:color w:val="auto"/>
              </w:rPr>
            </w:pPr>
          </w:p>
        </w:tc>
      </w:tr>
    </w:tbl>
    <w:p>
      <w:pPr>
        <w:spacing w:after="0" w:line="19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Mortgage Fee Income</w:t>
      </w:r>
    </w:p>
    <w:p>
      <w:pPr>
        <w:spacing w:after="0" w:line="225" w:lineRule="exact"/>
        <w:rPr>
          <w:sz w:val="20"/>
          <w:szCs w:val="20"/>
          <w:color w:val="auto"/>
        </w:rPr>
      </w:pPr>
    </w:p>
    <w:p>
      <w:pPr>
        <w:ind w:left="2" w:right="20"/>
        <w:spacing w:after="0" w:line="283" w:lineRule="auto"/>
        <w:rPr>
          <w:sz w:val="20"/>
          <w:szCs w:val="20"/>
          <w:color w:val="auto"/>
        </w:rPr>
      </w:pPr>
      <w:r>
        <w:rPr>
          <w:rFonts w:ascii="Times New Roman" w:cs="Times New Roman" w:eastAsia="Times New Roman" w:hAnsi="Times New Roman"/>
          <w:sz w:val="18"/>
          <w:szCs w:val="18"/>
          <w:color w:val="auto"/>
        </w:rPr>
        <w:t>Mortgage fee income consists of origination fees, processing fees, interest income, and other income related to the origination and sale of mortgage loans held for sale.</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Major categories of mortgage fee income for loans held for sale are summarized as follows: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5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6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5580" w:type="dxa"/>
            <w:vAlign w:val="bottom"/>
            <w:tcBorders>
              <w:bottom w:val="single" w:sz="8" w:color="DEDED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top w:val="single" w:sz="8" w:color="auto"/>
              <w:bottom w:val="single" w:sz="8" w:color="DEDEDE"/>
            </w:tcBorders>
          </w:tcPr>
          <w:p>
            <w:pPr>
              <w:spacing w:after="0"/>
              <w:rPr>
                <w:sz w:val="19"/>
                <w:szCs w:val="19"/>
                <w:color w:val="auto"/>
              </w:rPr>
            </w:pPr>
          </w:p>
        </w:tc>
        <w:tc>
          <w:tcPr>
            <w:tcW w:w="100" w:type="dxa"/>
            <w:vAlign w:val="bottom"/>
            <w:tcBorders>
              <w:top w:val="single" w:sz="8" w:color="auto"/>
              <w:bottom w:val="single" w:sz="8" w:color="DEDED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10"/>
        </w:trPr>
        <w:tc>
          <w:tcPr>
            <w:tcW w:w="55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Loan fees</w:t>
            </w: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24,765,098</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26,343,919</w:t>
            </w:r>
          </w:p>
        </w:tc>
        <w:tc>
          <w:tcPr>
            <w:tcW w:w="80" w:type="dxa"/>
            <w:vAlign w:val="bottom"/>
            <w:shd w:val="clear" w:color="auto" w:fill="DEDEDE"/>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8,650,067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8,192,353</w:t>
            </w:r>
          </w:p>
        </w:tc>
        <w:tc>
          <w:tcPr>
            <w:tcW w:w="80" w:type="dxa"/>
            <w:vAlign w:val="bottom"/>
          </w:tcPr>
          <w:p>
            <w:pPr>
              <w:spacing w:after="0"/>
              <w:rPr>
                <w:sz w:val="18"/>
                <w:szCs w:val="18"/>
                <w:color w:val="auto"/>
              </w:rPr>
            </w:pPr>
          </w:p>
        </w:tc>
      </w:tr>
      <w:tr>
        <w:trPr>
          <w:trHeight w:val="216"/>
        </w:trPr>
        <w:tc>
          <w:tcPr>
            <w:tcW w:w="55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Secondary gains</w:t>
            </w: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75,816,772</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70,354,845</w:t>
            </w:r>
          </w:p>
        </w:tc>
        <w:tc>
          <w:tcPr>
            <w:tcW w:w="80" w:type="dxa"/>
            <w:vAlign w:val="bottom"/>
            <w:shd w:val="clear" w:color="auto" w:fill="DEDEDE"/>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loan commitments</w:t>
            </w:r>
          </w:p>
        </w:tc>
        <w:tc>
          <w:tcPr>
            <w:tcW w:w="3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(833,073)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729,948</w:t>
            </w:r>
          </w:p>
        </w:tc>
        <w:tc>
          <w:tcPr>
            <w:tcW w:w="80" w:type="dxa"/>
            <w:vAlign w:val="bottom"/>
          </w:tcPr>
          <w:p>
            <w:pPr>
              <w:spacing w:after="0"/>
              <w:rPr>
                <w:sz w:val="18"/>
                <w:szCs w:val="18"/>
                <w:color w:val="auto"/>
              </w:rPr>
            </w:pPr>
          </w:p>
        </w:tc>
      </w:tr>
      <w:tr>
        <w:trPr>
          <w:trHeight w:val="216"/>
        </w:trPr>
        <w:tc>
          <w:tcPr>
            <w:tcW w:w="55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Change in fair value of loans held for sale</w:t>
            </w: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615,973</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2,869,729</w:t>
            </w:r>
          </w:p>
        </w:tc>
        <w:tc>
          <w:tcPr>
            <w:tcW w:w="80" w:type="dxa"/>
            <w:vAlign w:val="bottom"/>
            <w:shd w:val="clear" w:color="auto" w:fill="DEDEDE"/>
          </w:tcPr>
          <w:p>
            <w:pPr>
              <w:spacing w:after="0"/>
              <w:rPr>
                <w:sz w:val="18"/>
                <w:szCs w:val="18"/>
                <w:color w:val="auto"/>
              </w:rPr>
            </w:pP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loan loss reserve</w:t>
            </w:r>
          </w:p>
        </w:tc>
        <w:tc>
          <w:tcPr>
            <w:tcW w:w="3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(805,518)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(932,154)</w:t>
            </w:r>
          </w:p>
        </w:tc>
      </w:tr>
      <w:tr>
        <w:trPr>
          <w:trHeight w:val="223"/>
        </w:trPr>
        <w:tc>
          <w:tcPr>
            <w:tcW w:w="558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340" w:type="dxa"/>
            <w:vAlign w:val="bottom"/>
            <w:tcBorders>
              <w:top w:val="single" w:sz="8" w:color="auto"/>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108,209,319</w:t>
            </w: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c>
          <w:tcPr>
            <w:tcW w:w="340" w:type="dxa"/>
            <w:vAlign w:val="bottom"/>
            <w:tcBorders>
              <w:top w:val="single" w:sz="8" w:color="auto"/>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107,558,640</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50</w:t>
      </w:r>
    </w:p>
    <w:p>
      <w:pPr>
        <w:sectPr>
          <w:pgSz w:w="12240" w:h="15840" w:orient="portrait"/>
          <w:cols w:equalWidth="0" w:num="1">
            <w:col w:w="11242"/>
          </w:cols>
          <w:pgMar w:left="498" w:top="687" w:right="500" w:bottom="0" w:gutter="0" w:footer="0" w:header="0"/>
        </w:sectPr>
      </w:pPr>
    </w:p>
    <w:bookmarkStart w:id="78" w:name="page79"/>
    <w:bookmarkEnd w:id="78"/>
    <w:p>
      <w:pPr>
        <w:jc w:val="center"/>
        <w:ind w:right="-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Loans Held for Sale</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Loan Loss Reserve</w:t>
      </w:r>
    </w:p>
    <w:p>
      <w:pPr>
        <w:spacing w:after="0" w:line="228"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Repurchase demands (“demand(s)”) from third party investors for mortgage loans previously held for sale and sold are reviewed, and relevant data is captured so that an estimated future loss can be calculated. The key factors that are used in the estimated future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demand. In many instances, the Company can resolve the issues relating to the demand by the third-party investor without having to make any payments to the investor.</w:t>
      </w:r>
    </w:p>
    <w:p>
      <w:pPr>
        <w:spacing w:after="0" w:line="18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loan loss reserve, which is included in other liabilities and accrued expenses, is summarized as follows: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5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8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DEDEDE"/>
            </w:tcBorders>
          </w:tcPr>
          <w:p>
            <w:pPr>
              <w:spacing w:after="0"/>
              <w:rPr>
                <w:sz w:val="19"/>
                <w:szCs w:val="19"/>
                <w:color w:val="auto"/>
              </w:rPr>
            </w:pPr>
          </w:p>
        </w:tc>
        <w:tc>
          <w:tcPr>
            <w:tcW w:w="8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09"/>
        </w:trPr>
        <w:tc>
          <w:tcPr>
            <w:tcW w:w="55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696,626</w:t>
            </w:r>
          </w:p>
        </w:tc>
        <w:tc>
          <w:tcPr>
            <w:tcW w:w="1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480" w:type="dxa"/>
            <w:vAlign w:val="bottom"/>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547,233</w:t>
            </w:r>
          </w:p>
        </w:tc>
        <w:tc>
          <w:tcPr>
            <w:tcW w:w="80" w:type="dxa"/>
            <w:vAlign w:val="bottom"/>
            <w:shd w:val="clear" w:color="auto" w:fill="DEDEDE"/>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current loan originations (1)</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805,518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932,154</w:t>
            </w:r>
          </w:p>
        </w:tc>
        <w:tc>
          <w:tcPr>
            <w:tcW w:w="80" w:type="dxa"/>
            <w:vAlign w:val="bottom"/>
          </w:tcPr>
          <w:p>
            <w:pPr>
              <w:spacing w:after="0"/>
              <w:rPr>
                <w:sz w:val="18"/>
                <w:szCs w:val="18"/>
                <w:color w:val="auto"/>
              </w:rPr>
            </w:pPr>
          </w:p>
        </w:tc>
      </w:tr>
      <w:tr>
        <w:trPr>
          <w:trHeight w:val="216"/>
        </w:trPr>
        <w:tc>
          <w:tcPr>
            <w:tcW w:w="55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Additional provision (2)</w:t>
            </w: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1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Charge-offs, net of recaptured amounts</w:t>
            </w:r>
          </w:p>
        </w:tc>
        <w:tc>
          <w:tcPr>
            <w:tcW w:w="3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(1,157,960)</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(782,761)</w:t>
            </w:r>
          </w:p>
        </w:tc>
      </w:tr>
      <w:tr>
        <w:trPr>
          <w:trHeight w:val="223"/>
        </w:trPr>
        <w:tc>
          <w:tcPr>
            <w:tcW w:w="558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top w:val="single" w:sz="8" w:color="auto"/>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384,184</w:t>
            </w: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480" w:type="dxa"/>
            <w:vAlign w:val="bottom"/>
            <w:tcBorders>
              <w:top w:val="single" w:sz="8" w:color="auto"/>
              <w:bottom w:val="single" w:sz="8" w:color="auto"/>
            </w:tcBorders>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696,626</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322" w:hanging="322"/>
        <w:spacing w:after="0"/>
        <w:tabs>
          <w:tab w:leader="none" w:pos="32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Mortgage fee income on the consolidated statements of earnings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w:t>
      </w:r>
    </w:p>
    <w:p>
      <w:pPr>
        <w:spacing w:after="0" w:line="225"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The Company maintains reserves for estimated losses on current production volumes. For 2025, $805,518 in reserves were added at a rate of 3.5 basis points per loan, the equivalent of $350 per $1,000,000 in loans originated. This is a decrease over 2024, when $932,154 in reserves were added at a rate of 4.1 basis points per loan originated, the equivalent of $410 per $1,000,000 in loans originated. The Company monitors market data and trends and economic conditions (including forecasts) and uses its own experience to determine adequate loss reserves on current production.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51</w:t>
      </w:r>
    </w:p>
    <w:p>
      <w:pPr>
        <w:sectPr>
          <w:pgSz w:w="12240" w:h="15840" w:orient="portrait"/>
          <w:cols w:equalWidth="0" w:num="1">
            <w:col w:w="11222"/>
          </w:cols>
          <w:pgMar w:left="498" w:top="687" w:right="520" w:bottom="0" w:gutter="0" w:footer="0" w:header="0"/>
        </w:sectPr>
      </w:pPr>
    </w:p>
    <w:bookmarkStart w:id="79" w:name="page80"/>
    <w:bookmarkEnd w:id="79"/>
    <w:p>
      <w:pPr>
        <w:jc w:val="center"/>
        <w:ind w:right="-919"/>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Receivables</w:t>
            </w:r>
          </w:p>
        </w:tc>
        <w:tc>
          <w:tcPr>
            <w:tcW w:w="2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consist of the following:</w:t>
            </w: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640" w:type="dxa"/>
            <w:vAlign w:val="bottom"/>
            <w:tcBorders>
              <w:bottom w:val="single" w:sz="8" w:color="DEDEDE"/>
            </w:tcBorders>
          </w:tcPr>
          <w:p>
            <w:pPr>
              <w:spacing w:after="0"/>
              <w:rPr>
                <w:sz w:val="19"/>
                <w:szCs w:val="19"/>
                <w:color w:val="auto"/>
              </w:rPr>
            </w:pPr>
          </w:p>
        </w:tc>
        <w:tc>
          <w:tcPr>
            <w:tcW w:w="880" w:type="dxa"/>
            <w:vAlign w:val="bottom"/>
            <w:tcBorders>
              <w:bottom w:val="single" w:sz="8" w:color="DEDEDE"/>
            </w:tcBorders>
          </w:tcPr>
          <w:p>
            <w:pPr>
              <w:spacing w:after="0"/>
              <w:rPr>
                <w:sz w:val="19"/>
                <w:szCs w:val="19"/>
                <w:color w:val="auto"/>
              </w:rPr>
            </w:pPr>
          </w:p>
        </w:tc>
        <w:tc>
          <w:tcPr>
            <w:tcW w:w="2600" w:type="dxa"/>
            <w:vAlign w:val="bottom"/>
            <w:tcBorders>
              <w:bottom w:val="single" w:sz="8" w:color="DEDEDE"/>
            </w:tcBorders>
          </w:tcPr>
          <w:p>
            <w:pPr>
              <w:spacing w:after="0"/>
              <w:rPr>
                <w:sz w:val="19"/>
                <w:szCs w:val="19"/>
                <w:color w:val="auto"/>
              </w:rPr>
            </w:pPr>
          </w:p>
        </w:tc>
        <w:tc>
          <w:tcPr>
            <w:tcW w:w="146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DEDEDE"/>
            </w:tcBorders>
          </w:tcPr>
          <w:p>
            <w:pPr>
              <w:spacing w:after="0"/>
              <w:rPr>
                <w:sz w:val="19"/>
                <w:szCs w:val="19"/>
                <w:color w:val="auto"/>
              </w:rPr>
            </w:pPr>
          </w:p>
        </w:tc>
        <w:tc>
          <w:tcPr>
            <w:tcW w:w="10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09"/>
        </w:trPr>
        <w:tc>
          <w:tcPr>
            <w:tcW w:w="41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Contracts with customers</w:t>
            </w:r>
          </w:p>
        </w:tc>
        <w:tc>
          <w:tcPr>
            <w:tcW w:w="1460" w:type="dxa"/>
            <w:vAlign w:val="bottom"/>
            <w:shd w:val="clear" w:color="auto" w:fill="DEDEDE"/>
          </w:tcPr>
          <w:p>
            <w:pPr>
              <w:spacing w:after="0"/>
              <w:rPr>
                <w:sz w:val="18"/>
                <w:szCs w:val="18"/>
                <w:color w:val="auto"/>
              </w:rPr>
            </w:pP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6,981,676</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7,095,589</w:t>
            </w:r>
          </w:p>
        </w:tc>
        <w:tc>
          <w:tcPr>
            <w:tcW w:w="80" w:type="dxa"/>
            <w:vAlign w:val="bottom"/>
            <w:shd w:val="clear" w:color="auto" w:fill="DEDEDE"/>
          </w:tcPr>
          <w:p>
            <w:pPr>
              <w:spacing w:after="0"/>
              <w:rPr>
                <w:sz w:val="18"/>
                <w:szCs w:val="18"/>
                <w:color w:val="auto"/>
              </w:rPr>
            </w:pPr>
          </w:p>
        </w:tc>
      </w:tr>
      <w:tr>
        <w:trPr>
          <w:trHeight w:val="216"/>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from sales agents</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4,193,842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4,028,881</w:t>
            </w:r>
          </w:p>
        </w:tc>
        <w:tc>
          <w:tcPr>
            <w:tcW w:w="80" w:type="dxa"/>
            <w:vAlign w:val="bottom"/>
          </w:tcPr>
          <w:p>
            <w:pPr>
              <w:spacing w:after="0"/>
              <w:rPr>
                <w:sz w:val="18"/>
                <w:szCs w:val="18"/>
                <w:color w:val="auto"/>
              </w:rPr>
            </w:pPr>
          </w:p>
        </w:tc>
      </w:tr>
      <w:tr>
        <w:trPr>
          <w:trHeight w:val="216"/>
        </w:trPr>
        <w:tc>
          <w:tcPr>
            <w:tcW w:w="41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Insurance premiums due</w:t>
            </w:r>
          </w:p>
        </w:tc>
        <w:tc>
          <w:tcPr>
            <w:tcW w:w="146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1,275,664</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1,294,070</w:t>
            </w:r>
          </w:p>
        </w:tc>
        <w:tc>
          <w:tcPr>
            <w:tcW w:w="80" w:type="dxa"/>
            <w:vAlign w:val="bottom"/>
            <w:shd w:val="clear" w:color="auto" w:fill="DEDEDE"/>
          </w:tcPr>
          <w:p>
            <w:pPr>
              <w:spacing w:after="0"/>
              <w:rPr>
                <w:sz w:val="18"/>
                <w:szCs w:val="18"/>
                <w:color w:val="auto"/>
              </w:rPr>
            </w:pPr>
          </w:p>
        </w:tc>
      </w:tr>
      <w:tr>
        <w:trPr>
          <w:trHeight w:val="229"/>
        </w:trPr>
        <w:tc>
          <w:tcPr>
            <w:tcW w:w="64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Borders>
              <w:bottom w:val="single" w:sz="8" w:color="DEDEDE"/>
            </w:tcBorders>
          </w:tcPr>
          <w:p>
            <w:pPr>
              <w:spacing w:after="0"/>
              <w:rPr>
                <w:sz w:val="19"/>
                <w:szCs w:val="19"/>
                <w:color w:val="auto"/>
              </w:rPr>
            </w:pPr>
          </w:p>
        </w:tc>
        <w:tc>
          <w:tcPr>
            <w:tcW w:w="2600" w:type="dxa"/>
            <w:vAlign w:val="bottom"/>
            <w:tcBorders>
              <w:bottom w:val="single" w:sz="8" w:color="DEDEDE"/>
            </w:tcBorders>
          </w:tcPr>
          <w:p>
            <w:pPr>
              <w:spacing w:after="0"/>
              <w:rPr>
                <w:sz w:val="19"/>
                <w:szCs w:val="19"/>
                <w:color w:val="auto"/>
              </w:rPr>
            </w:pPr>
          </w:p>
        </w:tc>
        <w:tc>
          <w:tcPr>
            <w:tcW w:w="146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4,588,564</w:t>
            </w:r>
          </w:p>
        </w:tc>
        <w:tc>
          <w:tcPr>
            <w:tcW w:w="140" w:type="dxa"/>
            <w:vAlign w:val="bottom"/>
            <w:tcBorders>
              <w:bottom w:val="single" w:sz="8" w:color="DEDEDE"/>
            </w:tcBorders>
          </w:tcPr>
          <w:p>
            <w:pPr>
              <w:spacing w:after="0"/>
              <w:rPr>
                <w:sz w:val="19"/>
                <w:szCs w:val="19"/>
                <w:color w:val="auto"/>
              </w:rPr>
            </w:pPr>
          </w:p>
        </w:tc>
        <w:tc>
          <w:tcPr>
            <w:tcW w:w="10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5,118,734</w:t>
            </w:r>
          </w:p>
        </w:tc>
        <w:tc>
          <w:tcPr>
            <w:tcW w:w="80" w:type="dxa"/>
            <w:vAlign w:val="bottom"/>
            <w:tcBorders>
              <w:bottom w:val="single" w:sz="8" w:color="DEDEDE"/>
            </w:tcBorders>
          </w:tcPr>
          <w:p>
            <w:pPr>
              <w:spacing w:after="0"/>
              <w:rPr>
                <w:sz w:val="19"/>
                <w:szCs w:val="19"/>
                <w:color w:val="auto"/>
              </w:rPr>
            </w:pPr>
          </w:p>
        </w:tc>
      </w:tr>
      <w:tr>
        <w:trPr>
          <w:trHeight w:val="210"/>
        </w:trPr>
        <w:tc>
          <w:tcPr>
            <w:tcW w:w="412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receivables</w:t>
            </w:r>
          </w:p>
        </w:tc>
        <w:tc>
          <w:tcPr>
            <w:tcW w:w="146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17,039,746</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17,537,274</w:t>
            </w:r>
          </w:p>
        </w:tc>
        <w:tc>
          <w:tcPr>
            <w:tcW w:w="80" w:type="dxa"/>
            <w:vAlign w:val="bottom"/>
            <w:shd w:val="clear" w:color="auto" w:fill="DEDEDE"/>
          </w:tcPr>
          <w:p>
            <w:pPr>
              <w:spacing w:after="0"/>
              <w:rPr>
                <w:sz w:val="18"/>
                <w:szCs w:val="18"/>
                <w:color w:val="auto"/>
              </w:rPr>
            </w:pPr>
          </w:p>
        </w:tc>
      </w:tr>
      <w:tr>
        <w:trPr>
          <w:trHeight w:val="229"/>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(1,428,672)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(1,678,531)</w:t>
            </w:r>
          </w:p>
        </w:tc>
      </w:tr>
      <w:tr>
        <w:trPr>
          <w:trHeight w:val="223"/>
        </w:trPr>
        <w:tc>
          <w:tcPr>
            <w:tcW w:w="4120" w:type="dxa"/>
            <w:vAlign w:val="bottom"/>
            <w:tcBorders>
              <w:top w:val="single" w:sz="8" w:color="DEDEDE"/>
              <w:bottom w:val="single" w:sz="8" w:color="DEDEDE"/>
            </w:tcBorders>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receivables</w:t>
            </w:r>
          </w:p>
        </w:tc>
        <w:tc>
          <w:tcPr>
            <w:tcW w:w="1460" w:type="dxa"/>
            <w:vAlign w:val="bottom"/>
            <w:tcBorders>
              <w:top w:val="single" w:sz="8" w:color="DEDEDE"/>
              <w:bottom w:val="single" w:sz="8" w:color="DEDEDE"/>
            </w:tcBorders>
            <w:shd w:val="clear" w:color="auto" w:fill="DEDEDE"/>
          </w:tcPr>
          <w:p>
            <w:pPr>
              <w:spacing w:after="0"/>
              <w:rPr>
                <w:sz w:val="19"/>
                <w:szCs w:val="19"/>
                <w:color w:val="auto"/>
              </w:rPr>
            </w:pPr>
          </w:p>
        </w:tc>
        <w:tc>
          <w:tcPr>
            <w:tcW w:w="340" w:type="dxa"/>
            <w:vAlign w:val="bottom"/>
            <w:tcBorders>
              <w:top w:val="single" w:sz="8" w:color="auto"/>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15,611,074</w:t>
            </w: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c>
          <w:tcPr>
            <w:tcW w:w="480" w:type="dxa"/>
            <w:vAlign w:val="bottom"/>
            <w:tcBorders>
              <w:top w:val="single" w:sz="8" w:color="auto"/>
              <w:bottom w:val="single" w:sz="8" w:color="auto"/>
            </w:tcBorders>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15,858,743</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an allowance for credit losses for its receivables in accordance with GAAP.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 forward of the allowance for credit losses:</w:t>
      </w:r>
    </w:p>
    <w:p>
      <w:pPr>
        <w:spacing w:after="0" w:line="23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Allowance</w:t>
      </w:r>
    </w:p>
    <w:p>
      <w:pPr>
        <w:sectPr>
          <w:pgSz w:w="12240" w:h="15840" w:orient="portrait"/>
          <w:cols w:equalWidth="0" w:num="1">
            <w:col w:w="10300"/>
          </w:cols>
          <w:pgMar w:left="500" w:top="687" w:right="1440" w:bottom="0" w:gutter="0" w:footer="0" w:header="0"/>
        </w:sectPr>
      </w:pP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-127000</wp:posOffset>
                </wp:positionV>
                <wp:extent cx="5699760" cy="145415"/>
                <wp:wrapNone/>
                <wp:docPr id="153" name="Shape 1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9760" cy="145415"/>
                        </a:xfrm>
                        <a:prstGeom prst="rect">
                          <a:avLst/>
                        </a:prstGeom>
                        <a:solidFill>
                          <a:srgbClr val="DEDEDE"/>
                        </a:solidFill>
                      </wps:spPr>
                      <wps:bodyPr/>
                    </wps:wsp>
                  </a:graphicData>
                </a:graphic>
              </wp:anchor>
            </w:drawing>
          </mc:Choice>
          <mc:Fallback>
            <w:pict>
              <v:rect id="Shape 153" o:spid="_x0000_s1178" style="position:absolute;margin-left:-0.0499pt;margin-top:-10pt;width:448.8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left="180"/>
        <w:spacing w:after="0"/>
        <w:rPr>
          <w:sz w:val="20"/>
          <w:szCs w:val="20"/>
          <w:color w:val="auto"/>
        </w:rPr>
      </w:pPr>
      <w:r>
        <w:rPr>
          <w:rFonts w:ascii="Times New Roman" w:cs="Times New Roman" w:eastAsia="Times New Roman" w:hAnsi="Times New Roman"/>
          <w:sz w:val="17"/>
          <w:szCs w:val="17"/>
          <w:color w:val="auto"/>
        </w:rPr>
        <w:t>Change in provision for credit losses (1)</w:t>
      </w:r>
    </w:p>
    <w:p>
      <w:pPr>
        <w:spacing w:after="0" w:line="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Charge-offs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-118110</wp:posOffset>
                </wp:positionV>
                <wp:extent cx="5699760" cy="144780"/>
                <wp:wrapNone/>
                <wp:docPr id="154" name="Shape 1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9760" cy="144780"/>
                        </a:xfrm>
                        <a:prstGeom prst="rect">
                          <a:avLst/>
                        </a:prstGeom>
                        <a:solidFill>
                          <a:srgbClr val="DEDEDE"/>
                        </a:solidFill>
                      </wps:spPr>
                      <wps:bodyPr/>
                    </wps:wsp>
                  </a:graphicData>
                </a:graphic>
              </wp:anchor>
            </w:drawing>
          </mc:Choice>
          <mc:Fallback>
            <w:pict>
              <v:rect id="Shape 154" o:spid="_x0000_s1179" style="position:absolute;margin-left:-0.0499pt;margin-top:-9.2999pt;width:448.8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Ending balance -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-118110</wp:posOffset>
                </wp:positionV>
                <wp:extent cx="5699760" cy="161925"/>
                <wp:wrapNone/>
                <wp:docPr id="155" name="Shape 1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9760" cy="161925"/>
                        </a:xfrm>
                        <a:prstGeom prst="rect">
                          <a:avLst/>
                        </a:prstGeom>
                        <a:solidFill>
                          <a:srgbClr val="FFFFFF"/>
                        </a:solidFill>
                      </wps:spPr>
                      <wps:bodyPr/>
                    </wps:wsp>
                  </a:graphicData>
                </a:graphic>
              </wp:anchor>
            </w:drawing>
          </mc:Choice>
          <mc:Fallback>
            <w:pict>
              <v:rect id="Shape 155" o:spid="_x0000_s1180" style="position:absolute;margin-left:-0.0499pt;margin-top:-9.2999pt;width:448.8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mc:AlternateContent>
          <mc:Choice Requires="wps">
            <w:drawing>
              <wp:anchor simplePos="0" relativeHeight="251657728" behindDoc="1" locked="0" layoutInCell="0" allowOverlap="1">
                <wp:simplePos x="0" y="0"/>
                <wp:positionH relativeFrom="column">
                  <wp:posOffset>-635</wp:posOffset>
                </wp:positionH>
                <wp:positionV relativeFrom="paragraph">
                  <wp:posOffset>43815</wp:posOffset>
                </wp:positionV>
                <wp:extent cx="5699760" cy="154305"/>
                <wp:wrapNone/>
                <wp:docPr id="156" name="Shape 1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699760" cy="154305"/>
                        </a:xfrm>
                        <a:prstGeom prst="rect">
                          <a:avLst/>
                        </a:prstGeom>
                        <a:solidFill>
                          <a:srgbClr val="DEDEDE"/>
                        </a:solidFill>
                      </wps:spPr>
                      <wps:bodyPr/>
                    </wps:wsp>
                  </a:graphicData>
                </a:graphic>
              </wp:anchor>
            </w:drawing>
          </mc:Choice>
          <mc:Fallback>
            <w:pict>
              <v:rect id="Shape 156" o:spid="_x0000_s1181" style="position:absolute;margin-left:-0.0499pt;margin-top:3.45pt;width:448.8pt;height:12.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balance - December 31, 2023</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1,678,531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-122555</wp:posOffset>
                </wp:positionV>
                <wp:extent cx="968375" cy="0"/>
                <wp:wrapNone/>
                <wp:docPr id="157" name="Shape 1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837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57" o:spid="_x0000_s118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9.6499pt" to="76.7pt,-9.6499pt" o:allowincell="f" strokecolor="#000000" strokeweight="0.675pt"/>
            </w:pict>
          </mc:Fallback>
        </mc:AlternateContent>
      </w:r>
    </w:p>
    <w:p>
      <w:pPr>
        <w:ind w:left="940"/>
        <w:spacing w:after="0"/>
        <w:rPr>
          <w:sz w:val="20"/>
          <w:szCs w:val="20"/>
          <w:color w:val="auto"/>
        </w:rPr>
      </w:pPr>
      <w:r>
        <w:rPr>
          <w:rFonts w:ascii="Times New Roman" w:cs="Times New Roman" w:eastAsia="Times New Roman" w:hAnsi="Times New Roman"/>
          <w:sz w:val="18"/>
          <w:szCs w:val="18"/>
          <w:color w:val="auto"/>
        </w:rPr>
        <w:t>192,467</w:t>
      </w:r>
    </w:p>
    <w:p>
      <w:pPr>
        <w:spacing w:after="0" w:line="2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(442,326)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22860</wp:posOffset>
                </wp:positionV>
                <wp:extent cx="968375" cy="0"/>
                <wp:wrapNone/>
                <wp:docPr id="158" name="Shape 1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837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58" o:spid="_x0000_s11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8pt" to="76.7pt,1.8pt" o:allowincell="f" strokecolor="#000000" strokeweight="0.675pt"/>
            </w:pict>
          </mc:Fallback>
        </mc:AlternateContent>
      </w:r>
    </w:p>
    <w:p>
      <w:pPr>
        <w:spacing w:after="0" w:line="1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1,428,672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5715</wp:posOffset>
                </wp:positionH>
                <wp:positionV relativeFrom="paragraph">
                  <wp:posOffset>22860</wp:posOffset>
                </wp:positionV>
                <wp:extent cx="968375" cy="0"/>
                <wp:wrapNone/>
                <wp:docPr id="159" name="Shape 1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837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59" o:spid="_x0000_s118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1.8pt" to="76.7pt,1.8pt" o:allowincell="f" strokecolor="#000000" strokeweight="0.675pt"/>
            </w:pict>
          </mc:Fallback>
        </mc:AlternateContent>
        <mc:AlternateContent>
          <mc:Choice Requires="wps">
            <w:drawing>
              <wp:anchor simplePos="0" relativeHeight="251657728" behindDoc="1" locked="0" layoutInCell="0" allowOverlap="1">
                <wp:simplePos x="0" y="0"/>
                <wp:positionH relativeFrom="column">
                  <wp:posOffset>5715</wp:posOffset>
                </wp:positionH>
                <wp:positionV relativeFrom="paragraph">
                  <wp:posOffset>40005</wp:posOffset>
                </wp:positionV>
                <wp:extent cx="968375" cy="0"/>
                <wp:wrapNone/>
                <wp:docPr id="160" name="Shape 1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6837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60" o:spid="_x0000_s118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5pt,3.15pt" to="76.7pt,3.15pt" o:allowincell="f" strokecolor="#000000" strokeweight="0.675pt"/>
            </w:pict>
          </mc:Fallback>
        </mc:AlternateContent>
      </w:r>
    </w:p>
    <w:p>
      <w:pPr>
        <w:spacing w:after="0" w:line="24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1,897,887</w:t>
      </w:r>
    </w:p>
    <w:p>
      <w:pPr>
        <w:spacing w:after="0" w:line="9" w:lineRule="exact"/>
        <w:rPr>
          <w:sz w:val="20"/>
          <w:szCs w:val="20"/>
          <w:color w:val="auto"/>
        </w:rPr>
      </w:pPr>
    </w:p>
    <w:p>
      <w:pPr>
        <w:sectPr>
          <w:pgSz w:w="12240" w:h="15840" w:orient="portrait"/>
          <w:cols w:equalWidth="0" w:num="2">
            <w:col w:w="6640" w:space="720"/>
            <w:col w:w="2940"/>
          </w:cols>
          <w:pgMar w:left="500" w:top="687" w:right="1440" w:bottom="0" w:gutter="0" w:footer="0" w:header="0"/>
          <w:type w:val="continuous"/>
        </w:sectPr>
      </w:pPr>
    </w:p>
    <w:tbl>
      <w:tblPr>
        <w:tblLayout w:type="fixed"/>
        <w:tblInd w:w="0" w:type="dxa"/>
        <w:tblCellMar>
          <w:top w:w="0" w:type="dxa"/>
          <w:left w:w="0" w:type="dxa"/>
          <w:bottom w:w="0" w:type="dxa"/>
          <w:right w:w="0" w:type="dxa"/>
        </w:tblCellMar>
      </w:tblPr>
      <w:tr>
        <w:trPr>
          <w:trHeight w:val="21"/>
        </w:trPr>
        <w:tc>
          <w:tcPr>
            <w:tcW w:w="7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736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(1)</w:t>
            </w:r>
          </w:p>
        </w:tc>
        <w:tc>
          <w:tcPr>
            <w:tcW w:w="460" w:type="dxa"/>
            <w:vAlign w:val="bottom"/>
            <w:shd w:val="clear" w:color="auto" w:fill="DEDEDE"/>
          </w:tcPr>
          <w:p>
            <w:pPr>
              <w:spacing w:after="0"/>
              <w:rPr>
                <w:sz w:val="18"/>
                <w:szCs w:val="18"/>
                <w:color w:val="auto"/>
              </w:rPr>
            </w:pPr>
          </w:p>
        </w:tc>
        <w:tc>
          <w:tcPr>
            <w:tcW w:w="11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(140,277)</w:t>
            </w:r>
          </w:p>
        </w:tc>
      </w:tr>
      <w:tr>
        <w:trPr>
          <w:trHeight w:val="230"/>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Charge-offs</w:t>
            </w:r>
          </w:p>
        </w:tc>
        <w:tc>
          <w:tcPr>
            <w:tcW w:w="4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(79,079)</w:t>
            </w:r>
          </w:p>
        </w:tc>
      </w:tr>
      <w:tr>
        <w:trPr>
          <w:trHeight w:val="223"/>
        </w:trPr>
        <w:tc>
          <w:tcPr>
            <w:tcW w:w="736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Ending balance - December 31, 2024</w:t>
            </w:r>
          </w:p>
        </w:tc>
        <w:tc>
          <w:tcPr>
            <w:tcW w:w="460" w:type="dxa"/>
            <w:vAlign w:val="bottom"/>
            <w:tcBorders>
              <w:top w:val="single" w:sz="8" w:color="auto"/>
              <w:bottom w:val="single" w:sz="8" w:color="auto"/>
            </w:tcBorders>
            <w:shd w:val="clear" w:color="auto" w:fill="DEDEDE"/>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1,678,531</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140970</wp:posOffset>
                </wp:positionV>
                <wp:extent cx="1782445" cy="0"/>
                <wp:wrapNone/>
                <wp:docPr id="161" name="Shape 1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244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61" o:spid="_x0000_s118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1.1pt" to="140.3pt,11.1pt" o:allowincell="f" strokecolor="#000000" strokeweight="0.675pt"/>
            </w:pict>
          </mc:Fallback>
        </mc:AlternateConten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Included in other expenses on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52</w:t>
      </w:r>
    </w:p>
    <w:p>
      <w:pPr>
        <w:sectPr>
          <w:pgSz w:w="12240" w:h="15840" w:orient="portrait"/>
          <w:cols w:equalWidth="0" w:num="1">
            <w:col w:w="10300"/>
          </w:cols>
          <w:pgMar w:left="500" w:top="687" w:right="1440" w:bottom="0" w:gutter="0" w:footer="0" w:header="0"/>
          <w:type w:val="continuous"/>
        </w:sectPr>
      </w:pPr>
    </w:p>
    <w:bookmarkStart w:id="80" w:name="page81"/>
    <w:bookmarkEnd w:id="80"/>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Contracts with Customers</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reports revenues from contracts with customers pursuant to ASC No. 606, Revenue from Contracts with Customers.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Information about Performance Obligations and Contract Balances</w:t>
      </w:r>
    </w:p>
    <w:p>
      <w:pPr>
        <w:spacing w:after="0" w:line="225"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 The total contract liability for future obligations is included in deferred pre-need cemetery and mortuary contract revenues on the consolidated balance sheets and, as of December 31, 2025 and 2024, the balances were $22,991,603 and $20,168,405, respectively.</w:t>
      </w:r>
    </w:p>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Company’s two types of future obligations are as follows:</w:t>
      </w:r>
    </w:p>
    <w:p>
      <w:pPr>
        <w:spacing w:after="0" w:line="223" w:lineRule="exact"/>
        <w:rPr>
          <w:sz w:val="20"/>
          <w:szCs w:val="20"/>
          <w:color w:val="auto"/>
        </w:rPr>
      </w:pPr>
    </w:p>
    <w:p>
      <w:pPr>
        <w:jc w:val="both"/>
        <w:ind w:left="2" w:right="2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All pre-need merchandise and service revenue are deferred, and the funds are placed in trust until the need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arises; the merchandise is received, or the service is performed. The trust is then relieved, and the revenue and commissions are recognized.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The transfer of goods and services does not fulfill the contract and revenue remains deferred. As of December 31, 2025 and 2024, the balances were $22,177,345 and $19,511,868, respectively.</w:t>
      </w:r>
    </w:p>
    <w:p>
      <w:pPr>
        <w:spacing w:after="0" w:line="182" w:lineRule="exact"/>
        <w:rPr>
          <w:sz w:val="20"/>
          <w:szCs w:val="20"/>
          <w:color w:val="auto"/>
        </w:rPr>
      </w:pPr>
    </w:p>
    <w:p>
      <w:pPr>
        <w:jc w:val="both"/>
        <w:ind w:left="2" w:right="20"/>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revenue consists of customizable merchandise ordered from manufacturers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markers and bases. When specialty merchandise is ordered, it can take time to manufacture and deliver the product. Revenue is deferred until the at-need merchandise is received. As of December 31, 2025 and 2024, the balances were $814,258 and $656,537, respectively. Deferred revenue for at-need specialty revenue is not placed in trust.</w:t>
      </w:r>
    </w:p>
    <w:p>
      <w:pPr>
        <w:spacing w:after="0" w:line="179"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Complete payment does not constitute fulfillment of the contract. Goods or services are deferred until such a time the service is performed, or merchandise is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53</w:t>
      </w:r>
    </w:p>
    <w:p>
      <w:pPr>
        <w:sectPr>
          <w:pgSz w:w="12240" w:h="15840" w:orient="portrait"/>
          <w:cols w:equalWidth="0" w:num="1">
            <w:col w:w="11242"/>
          </w:cols>
          <w:pgMar w:left="498" w:top="687" w:right="500" w:bottom="0" w:gutter="0" w:footer="0" w:header="0"/>
        </w:sectPr>
      </w:pPr>
    </w:p>
    <w:bookmarkStart w:id="81" w:name="page82"/>
    <w:bookmarkEnd w:id="81"/>
    <w:p>
      <w:pPr>
        <w:jc w:val="center"/>
        <w:ind w:right="-92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92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92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92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opening and closing balances of the Company’s receivables, contract assets and contract liabilities are as follows: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9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Contract Balances</w:t>
            </w: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920" w:type="dxa"/>
            <w:vAlign w:val="bottom"/>
            <w:tcBorders>
              <w:bottom w:val="single" w:sz="8" w:color="DEDEDE"/>
            </w:tcBorders>
          </w:tcPr>
          <w:p>
            <w:pPr>
              <w:spacing w:after="0"/>
              <w:rPr>
                <w:sz w:val="19"/>
                <w:szCs w:val="19"/>
                <w:color w:val="auto"/>
              </w:rPr>
            </w:pPr>
          </w:p>
        </w:tc>
        <w:tc>
          <w:tcPr>
            <w:tcW w:w="1340" w:type="dxa"/>
            <w:vAlign w:val="bottom"/>
            <w:tcBorders>
              <w:bottom w:val="single" w:sz="8" w:color="DEDED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Receivables (1)</w:t>
            </w:r>
          </w:p>
        </w:tc>
        <w:tc>
          <w:tcPr>
            <w:tcW w:w="300" w:type="dxa"/>
            <w:vAlign w:val="bottom"/>
            <w:tcBorders>
              <w:bottom w:val="single" w:sz="8" w:color="DEDED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Contract Asset</w:t>
            </w:r>
          </w:p>
        </w:tc>
        <w:tc>
          <w:tcPr>
            <w:tcW w:w="280" w:type="dxa"/>
            <w:vAlign w:val="bottom"/>
            <w:tcBorders>
              <w:bottom w:val="single" w:sz="8" w:color="DEDED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Contract Liability</w:t>
            </w:r>
          </w:p>
        </w:tc>
        <w:tc>
          <w:tcPr>
            <w:tcW w:w="100" w:type="dxa"/>
            <w:vAlign w:val="bottom"/>
            <w:tcBorders>
              <w:bottom w:val="single" w:sz="8" w:color="DEDEDE"/>
            </w:tcBorders>
          </w:tcPr>
          <w:p>
            <w:pPr>
              <w:spacing w:after="0"/>
              <w:rPr>
                <w:sz w:val="19"/>
                <w:szCs w:val="19"/>
                <w:color w:val="auto"/>
              </w:rPr>
            </w:pPr>
          </w:p>
        </w:tc>
      </w:tr>
      <w:tr>
        <w:trPr>
          <w:trHeight w:val="209"/>
        </w:trPr>
        <w:tc>
          <w:tcPr>
            <w:tcW w:w="29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Opening (12/31/2024)</w:t>
            </w:r>
          </w:p>
        </w:tc>
        <w:tc>
          <w:tcPr>
            <w:tcW w:w="134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5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7,095,589</w:t>
            </w:r>
          </w:p>
        </w:tc>
        <w:tc>
          <w:tcPr>
            <w:tcW w:w="3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560" w:type="dxa"/>
            <w:vAlign w:val="bottom"/>
            <w:shd w:val="clear" w:color="auto" w:fill="DEDEDE"/>
          </w:tcPr>
          <w:p>
            <w:pPr>
              <w:ind w:left="14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5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20,168,405</w:t>
            </w:r>
          </w:p>
        </w:tc>
        <w:tc>
          <w:tcPr>
            <w:tcW w:w="100" w:type="dxa"/>
            <w:vAlign w:val="bottom"/>
            <w:shd w:val="clear" w:color="auto" w:fill="DEDEDE"/>
          </w:tcPr>
          <w:p>
            <w:pPr>
              <w:spacing w:after="0"/>
              <w:rPr>
                <w:sz w:val="18"/>
                <w:szCs w:val="18"/>
                <w:color w:val="auto"/>
              </w:rPr>
            </w:pPr>
          </w:p>
        </w:tc>
      </w:tr>
      <w:tr>
        <w:trPr>
          <w:trHeight w:val="230"/>
        </w:trPr>
        <w:tc>
          <w:tcPr>
            <w:tcW w:w="292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Closing (12/31/2025)</w:t>
            </w:r>
          </w:p>
        </w:tc>
        <w:tc>
          <w:tcPr>
            <w:tcW w:w="1340" w:type="dxa"/>
            <w:vAlign w:val="bottom"/>
            <w:tcBorders>
              <w:bottom w:val="single" w:sz="8" w:color="DEDED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6,981,676</w:t>
            </w:r>
          </w:p>
        </w:tc>
        <w:tc>
          <w:tcPr>
            <w:tcW w:w="300" w:type="dxa"/>
            <w:vAlign w:val="bottom"/>
            <w:tcBorders>
              <w:bottom w:val="single" w:sz="8" w:color="DEDED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DEDED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22,991,603</w:t>
            </w:r>
          </w:p>
        </w:tc>
        <w:tc>
          <w:tcPr>
            <w:tcW w:w="100" w:type="dxa"/>
            <w:vAlign w:val="bottom"/>
            <w:tcBorders>
              <w:bottom w:val="single" w:sz="8" w:color="DEDEDE"/>
            </w:tcBorders>
          </w:tcPr>
          <w:p>
            <w:pPr>
              <w:spacing w:after="0"/>
              <w:rPr>
                <w:sz w:val="19"/>
                <w:szCs w:val="19"/>
                <w:color w:val="auto"/>
              </w:rPr>
            </w:pPr>
          </w:p>
        </w:tc>
      </w:tr>
      <w:tr>
        <w:trPr>
          <w:trHeight w:val="228"/>
        </w:trPr>
        <w:tc>
          <w:tcPr>
            <w:tcW w:w="2920" w:type="dxa"/>
            <w:vAlign w:val="bottom"/>
            <w:tcBorders>
              <w:bottom w:val="single" w:sz="8" w:color="DEDEDE"/>
            </w:tcBorders>
            <w:shd w:val="clear" w:color="auto" w:fill="DEDEDE"/>
          </w:tcPr>
          <w:p>
            <w:pPr>
              <w:spacing w:after="0" w:line="169" w:lineRule="exact"/>
              <w:rPr>
                <w:sz w:val="20"/>
                <w:szCs w:val="20"/>
                <w:color w:val="auto"/>
              </w:rPr>
            </w:pPr>
            <w:r>
              <w:rPr>
                <w:rFonts w:ascii="Times New Roman" w:cs="Times New Roman" w:eastAsia="Times New Roman" w:hAnsi="Times New Roman"/>
                <w:sz w:val="18"/>
                <w:szCs w:val="18"/>
                <w:color w:val="auto"/>
              </w:rPr>
              <w:t>Increase/(decrease)</w:t>
            </w:r>
          </w:p>
        </w:tc>
        <w:tc>
          <w:tcPr>
            <w:tcW w:w="1340" w:type="dxa"/>
            <w:vAlign w:val="bottom"/>
            <w:tcBorders>
              <w:bottom w:val="single" w:sz="8" w:color="DEDEDE"/>
            </w:tcBorders>
            <w:shd w:val="clear" w:color="auto" w:fill="DEDEDE"/>
          </w:tcPr>
          <w:p>
            <w:pPr>
              <w:spacing w:after="0"/>
              <w:rPr>
                <w:sz w:val="19"/>
                <w:szCs w:val="19"/>
                <w:color w:val="auto"/>
              </w:rPr>
            </w:pPr>
          </w:p>
        </w:tc>
        <w:tc>
          <w:tcPr>
            <w:tcW w:w="220" w:type="dxa"/>
            <w:vAlign w:val="bottom"/>
            <w:tcBorders>
              <w:bottom w:val="single" w:sz="8" w:color="DEDEDE"/>
            </w:tcBorders>
            <w:shd w:val="clear" w:color="auto" w:fill="DEDEDE"/>
          </w:tcPr>
          <w:p>
            <w:pPr>
              <w:spacing w:after="0"/>
              <w:rPr>
                <w:sz w:val="19"/>
                <w:szCs w:val="19"/>
                <w:color w:val="auto"/>
              </w:rPr>
            </w:pPr>
          </w:p>
        </w:tc>
        <w:tc>
          <w:tcPr>
            <w:tcW w:w="1500" w:type="dxa"/>
            <w:vAlign w:val="bottom"/>
            <w:tcBorders>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(113,913</w:t>
            </w:r>
          </w:p>
        </w:tc>
        <w:tc>
          <w:tcPr>
            <w:tcW w:w="300" w:type="dxa"/>
            <w:vAlign w:val="bottom"/>
            <w:tcBorders>
              <w:bottom w:val="single" w:sz="8" w:color="DEDEDE"/>
            </w:tcBorders>
            <w:shd w:val="clear" w:color="auto" w:fill="DEDEDE"/>
          </w:tcPr>
          <w:p>
            <w:pPr>
              <w:jc w:val="right"/>
              <w:ind w:right="161"/>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DEDEDE"/>
            </w:tcBorders>
            <w:shd w:val="clear" w:color="auto" w:fill="DEDEDE"/>
          </w:tcPr>
          <w:p>
            <w:pPr>
              <w:spacing w:after="0"/>
              <w:rPr>
                <w:sz w:val="19"/>
                <w:szCs w:val="19"/>
                <w:color w:val="auto"/>
              </w:rPr>
            </w:pPr>
          </w:p>
        </w:tc>
        <w:tc>
          <w:tcPr>
            <w:tcW w:w="1560" w:type="dxa"/>
            <w:vAlign w:val="bottom"/>
            <w:tcBorders>
              <w:bottom w:val="single" w:sz="8" w:color="DEDEDE"/>
            </w:tcBorders>
            <w:shd w:val="clear" w:color="auto" w:fill="DEDEDE"/>
          </w:tcPr>
          <w:p>
            <w:pPr>
              <w:ind w:left="14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DEDEDE"/>
            </w:tcBorders>
            <w:shd w:val="clear" w:color="auto" w:fill="DEDEDE"/>
          </w:tcPr>
          <w:p>
            <w:pPr>
              <w:spacing w:after="0"/>
              <w:rPr>
                <w:sz w:val="19"/>
                <w:szCs w:val="19"/>
                <w:color w:val="auto"/>
              </w:rPr>
            </w:pPr>
          </w:p>
        </w:tc>
        <w:tc>
          <w:tcPr>
            <w:tcW w:w="180" w:type="dxa"/>
            <w:vAlign w:val="bottom"/>
            <w:tcBorders>
              <w:bottom w:val="single" w:sz="8" w:color="DEDEDE"/>
            </w:tcBorders>
            <w:shd w:val="clear" w:color="auto" w:fill="DEDEDE"/>
          </w:tcPr>
          <w:p>
            <w:pPr>
              <w:spacing w:after="0"/>
              <w:rPr>
                <w:sz w:val="19"/>
                <w:szCs w:val="19"/>
                <w:color w:val="auto"/>
              </w:rPr>
            </w:pPr>
          </w:p>
        </w:tc>
        <w:tc>
          <w:tcPr>
            <w:tcW w:w="1520" w:type="dxa"/>
            <w:vAlign w:val="bottom"/>
            <w:tcBorders>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2,823,198</w:t>
            </w:r>
          </w:p>
        </w:tc>
        <w:tc>
          <w:tcPr>
            <w:tcW w:w="100" w:type="dxa"/>
            <w:vAlign w:val="bottom"/>
            <w:tcBorders>
              <w:bottom w:val="single" w:sz="8" w:color="DEDEDE"/>
            </w:tcBorders>
            <w:shd w:val="clear" w:color="auto" w:fill="DEDEDE"/>
          </w:tcPr>
          <w:p>
            <w:pPr>
              <w:spacing w:after="0"/>
              <w:rPr>
                <w:sz w:val="19"/>
                <w:szCs w:val="19"/>
                <w:color w:val="auto"/>
              </w:rPr>
            </w:pPr>
          </w:p>
        </w:tc>
      </w:tr>
      <w:tr>
        <w:trPr>
          <w:trHeight w:val="20"/>
        </w:trPr>
        <w:tc>
          <w:tcPr>
            <w:tcW w:w="2920" w:type="dxa"/>
            <w:vAlign w:val="bottom"/>
            <w:tcBorders>
              <w:top w:val="single" w:sz="8" w:color="DEDEDE"/>
            </w:tcBorders>
          </w:tcPr>
          <w:p>
            <w:pPr>
              <w:spacing w:after="0" w:line="20" w:lineRule="exact"/>
              <w:rPr>
                <w:sz w:val="1"/>
                <w:szCs w:val="1"/>
                <w:color w:val="auto"/>
              </w:rPr>
            </w:pPr>
          </w:p>
        </w:tc>
        <w:tc>
          <w:tcPr>
            <w:tcW w:w="1340" w:type="dxa"/>
            <w:vAlign w:val="bottom"/>
            <w:tcBorders>
              <w:top w:val="single" w:sz="8" w:color="DEDED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r>
      <w:tr>
        <w:trPr>
          <w:trHeight w:val="426"/>
        </w:trPr>
        <w:tc>
          <w:tcPr>
            <w:tcW w:w="2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Contract Balances</w:t>
            </w: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23"/>
        </w:trPr>
        <w:tc>
          <w:tcPr>
            <w:tcW w:w="2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Receivables (1)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 Asset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Contract Liability</w:t>
            </w:r>
          </w:p>
        </w:tc>
      </w:tr>
      <w:tr>
        <w:trPr>
          <w:trHeight w:val="210"/>
        </w:trPr>
        <w:tc>
          <w:tcPr>
            <w:tcW w:w="292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Opening (12/31/2023)</w:t>
            </w:r>
          </w:p>
        </w:tc>
        <w:tc>
          <w:tcPr>
            <w:tcW w:w="1340" w:type="dxa"/>
            <w:vAlign w:val="bottom"/>
            <w:tcBorders>
              <w:top w:val="single" w:sz="8" w:color="DEDEDE"/>
            </w:tcBorders>
            <w:shd w:val="clear" w:color="auto" w:fill="DEDEDE"/>
          </w:tcPr>
          <w:p>
            <w:pPr>
              <w:spacing w:after="0"/>
              <w:rPr>
                <w:sz w:val="18"/>
                <w:szCs w:val="18"/>
                <w:color w:val="auto"/>
              </w:rPr>
            </w:pPr>
          </w:p>
        </w:tc>
        <w:tc>
          <w:tcPr>
            <w:tcW w:w="220" w:type="dxa"/>
            <w:vAlign w:val="bottom"/>
            <w:tcBorders>
              <w:top w:val="single" w:sz="8" w:color="auto"/>
            </w:tcBorders>
            <w:shd w:val="clear" w:color="auto" w:fill="DEDEDE"/>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6,321,573</w:t>
            </w:r>
          </w:p>
        </w:tc>
        <w:tc>
          <w:tcPr>
            <w:tcW w:w="30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DEDEDE"/>
          </w:tcPr>
          <w:p>
            <w:pPr>
              <w:ind w:left="14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18,237,246</w:t>
            </w:r>
          </w:p>
        </w:tc>
        <w:tc>
          <w:tcPr>
            <w:tcW w:w="100" w:type="dxa"/>
            <w:vAlign w:val="bottom"/>
            <w:tcBorders>
              <w:top w:val="single" w:sz="8" w:color="DEDEDE"/>
            </w:tcBorders>
            <w:shd w:val="clear" w:color="auto" w:fill="DEDEDE"/>
          </w:tcPr>
          <w:p>
            <w:pPr>
              <w:spacing w:after="0"/>
              <w:rPr>
                <w:sz w:val="18"/>
                <w:szCs w:val="18"/>
                <w:color w:val="auto"/>
              </w:rPr>
            </w:pPr>
          </w:p>
        </w:tc>
      </w:tr>
      <w:tr>
        <w:trPr>
          <w:trHeight w:val="229"/>
        </w:trPr>
        <w:tc>
          <w:tcPr>
            <w:tcW w:w="292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Closing (12/31/2024)</w:t>
            </w:r>
          </w:p>
        </w:tc>
        <w:tc>
          <w:tcPr>
            <w:tcW w:w="1340" w:type="dxa"/>
            <w:vAlign w:val="bottom"/>
            <w:tcBorders>
              <w:bottom w:val="single" w:sz="8" w:color="DEDEDE"/>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7,095,589</w:t>
            </w:r>
          </w:p>
        </w:tc>
        <w:tc>
          <w:tcPr>
            <w:tcW w:w="300" w:type="dxa"/>
            <w:vAlign w:val="bottom"/>
            <w:tcBorders>
              <w:bottom w:val="single" w:sz="8" w:color="DEDED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DEDED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20,168,405</w:t>
            </w:r>
          </w:p>
        </w:tc>
        <w:tc>
          <w:tcPr>
            <w:tcW w:w="100" w:type="dxa"/>
            <w:vAlign w:val="bottom"/>
            <w:tcBorders>
              <w:bottom w:val="single" w:sz="8" w:color="DEDEDE"/>
            </w:tcBorders>
          </w:tcPr>
          <w:p>
            <w:pPr>
              <w:spacing w:after="0"/>
              <w:rPr>
                <w:sz w:val="19"/>
                <w:szCs w:val="19"/>
                <w:color w:val="auto"/>
              </w:rPr>
            </w:pPr>
          </w:p>
        </w:tc>
      </w:tr>
      <w:tr>
        <w:trPr>
          <w:trHeight w:val="223"/>
        </w:trPr>
        <w:tc>
          <w:tcPr>
            <w:tcW w:w="292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Increase/(decrease)</w:t>
            </w:r>
          </w:p>
        </w:tc>
        <w:tc>
          <w:tcPr>
            <w:tcW w:w="1340" w:type="dxa"/>
            <w:vAlign w:val="bottom"/>
            <w:tcBorders>
              <w:bottom w:val="single" w:sz="8" w:color="DEDEDE"/>
            </w:tcBorders>
            <w:shd w:val="clear" w:color="auto" w:fill="DEDEDE"/>
          </w:tcPr>
          <w:p>
            <w:pPr>
              <w:spacing w:after="0"/>
              <w:rPr>
                <w:sz w:val="19"/>
                <w:szCs w:val="19"/>
                <w:color w:val="auto"/>
              </w:rPr>
            </w:pPr>
          </w:p>
        </w:tc>
        <w:tc>
          <w:tcPr>
            <w:tcW w:w="220" w:type="dxa"/>
            <w:vAlign w:val="bottom"/>
            <w:tcBorders>
              <w:bottom w:val="single" w:sz="8" w:color="auto"/>
            </w:tcBorders>
            <w:shd w:val="clear" w:color="auto" w:fill="DEDEDE"/>
          </w:tcPr>
          <w:p>
            <w:pPr>
              <w:spacing w:after="0"/>
              <w:rPr>
                <w:sz w:val="19"/>
                <w:szCs w:val="19"/>
                <w:color w:val="auto"/>
              </w:rPr>
            </w:pPr>
          </w:p>
        </w:tc>
        <w:tc>
          <w:tcPr>
            <w:tcW w:w="15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774,016</w:t>
            </w:r>
          </w:p>
        </w:tc>
        <w:tc>
          <w:tcPr>
            <w:tcW w:w="300" w:type="dxa"/>
            <w:vAlign w:val="bottom"/>
            <w:tcBorders>
              <w:bottom w:val="single" w:sz="8" w:color="DEDEDE"/>
            </w:tcBorders>
            <w:shd w:val="clear" w:color="auto" w:fill="DEDEDE"/>
          </w:tcPr>
          <w:p>
            <w:pPr>
              <w:spacing w:after="0"/>
              <w:rPr>
                <w:sz w:val="19"/>
                <w:szCs w:val="19"/>
                <w:color w:val="auto"/>
              </w:rPr>
            </w:pPr>
          </w:p>
        </w:tc>
        <w:tc>
          <w:tcPr>
            <w:tcW w:w="180" w:type="dxa"/>
            <w:vAlign w:val="bottom"/>
            <w:tcBorders>
              <w:bottom w:val="single" w:sz="8" w:color="auto"/>
            </w:tcBorders>
            <w:shd w:val="clear" w:color="auto" w:fill="DEDEDE"/>
          </w:tcPr>
          <w:p>
            <w:pPr>
              <w:spacing w:after="0"/>
              <w:rPr>
                <w:sz w:val="19"/>
                <w:szCs w:val="19"/>
                <w:color w:val="auto"/>
              </w:rPr>
            </w:pPr>
          </w:p>
        </w:tc>
        <w:tc>
          <w:tcPr>
            <w:tcW w:w="1560" w:type="dxa"/>
            <w:vAlign w:val="bottom"/>
            <w:tcBorders>
              <w:bottom w:val="single" w:sz="8" w:color="auto"/>
            </w:tcBorders>
            <w:shd w:val="clear" w:color="auto" w:fill="DEDEDE"/>
          </w:tcPr>
          <w:p>
            <w:pPr>
              <w:ind w:left="146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DEDEDE"/>
            </w:tcBorders>
            <w:shd w:val="clear" w:color="auto" w:fill="DEDEDE"/>
          </w:tcPr>
          <w:p>
            <w:pPr>
              <w:spacing w:after="0"/>
              <w:rPr>
                <w:sz w:val="19"/>
                <w:szCs w:val="19"/>
                <w:color w:val="auto"/>
              </w:rPr>
            </w:pPr>
          </w:p>
        </w:tc>
        <w:tc>
          <w:tcPr>
            <w:tcW w:w="180" w:type="dxa"/>
            <w:vAlign w:val="bottom"/>
            <w:tcBorders>
              <w:bottom w:val="single" w:sz="8" w:color="auto"/>
            </w:tcBorders>
            <w:shd w:val="clear" w:color="auto" w:fill="DEDEDE"/>
          </w:tcPr>
          <w:p>
            <w:pPr>
              <w:spacing w:after="0"/>
              <w:rPr>
                <w:sz w:val="19"/>
                <w:szCs w:val="19"/>
                <w:color w:val="auto"/>
              </w:rPr>
            </w:pPr>
          </w:p>
        </w:tc>
        <w:tc>
          <w:tcPr>
            <w:tcW w:w="15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1,931,159</w:t>
            </w:r>
          </w:p>
        </w:tc>
        <w:tc>
          <w:tcPr>
            <w:tcW w:w="100" w:type="dxa"/>
            <w:vAlign w:val="bottom"/>
            <w:tcBorders>
              <w:bottom w:val="single" w:sz="8" w:color="DEDEDE"/>
            </w:tcBorders>
            <w:shd w:val="clear" w:color="auto" w:fill="DEDEDE"/>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62" name="Shape 1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62" o:spid="_x0000_s118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(1)  Included in Receivables, net on the consolidated balance sheets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disaggregates the opening and closing balances of the Company’s contract balances.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760" w:type="dxa"/>
            <w:vAlign w:val="bottom"/>
            <w:gridSpan w:val="7"/>
          </w:tcPr>
          <w:p>
            <w:pPr>
              <w:ind w:left="1180"/>
              <w:spacing w:after="0"/>
              <w:rPr>
                <w:sz w:val="20"/>
                <w:szCs w:val="20"/>
                <w:color w:val="auto"/>
              </w:rPr>
            </w:pPr>
            <w:r>
              <w:rPr>
                <w:rFonts w:ascii="Times New Roman" w:cs="Times New Roman" w:eastAsia="Times New Roman" w:hAnsi="Times New Roman"/>
                <w:sz w:val="18"/>
                <w:szCs w:val="18"/>
                <w:color w:val="auto"/>
              </w:rPr>
              <w:t>Contract Balances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DEDEDE"/>
            </w:tcBorders>
          </w:tcPr>
          <w:p>
            <w:pPr>
              <w:spacing w:after="0"/>
              <w:rPr>
                <w:sz w:val="19"/>
                <w:szCs w:val="19"/>
                <w:color w:val="auto"/>
              </w:rPr>
            </w:pPr>
          </w:p>
        </w:tc>
        <w:tc>
          <w:tcPr>
            <w:tcW w:w="1340" w:type="dxa"/>
            <w:vAlign w:val="bottom"/>
            <w:tcBorders>
              <w:bottom w:val="single" w:sz="8" w:color="DEDEDE"/>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Contract Asset</w:t>
            </w: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DEDEDE"/>
            </w:tcBorders>
          </w:tcPr>
          <w:p>
            <w:pPr>
              <w:spacing w:after="0"/>
              <w:rPr>
                <w:sz w:val="19"/>
                <w:szCs w:val="19"/>
                <w:color w:val="auto"/>
              </w:rPr>
            </w:pPr>
          </w:p>
        </w:tc>
        <w:tc>
          <w:tcPr>
            <w:tcW w:w="140" w:type="dxa"/>
            <w:vAlign w:val="bottom"/>
            <w:tcBorders>
              <w:top w:val="single" w:sz="8" w:color="auto"/>
              <w:bottom w:val="single" w:sz="8" w:color="DEDED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1340" w:type="dxa"/>
            <w:vAlign w:val="bottom"/>
            <w:shd w:val="clear" w:color="auto" w:fill="DEDEDE"/>
          </w:tcPr>
          <w:p>
            <w:pPr>
              <w:spacing w:after="0"/>
              <w:rPr>
                <w:sz w:val="18"/>
                <w:szCs w:val="18"/>
                <w:color w:val="auto"/>
              </w:rPr>
            </w:pPr>
          </w:p>
        </w:tc>
        <w:tc>
          <w:tcPr>
            <w:tcW w:w="1500" w:type="dxa"/>
            <w:vAlign w:val="bottom"/>
            <w:shd w:val="clear" w:color="auto" w:fill="DEDEDE"/>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19,511,868</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1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656,537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1340" w:type="dxa"/>
            <w:vAlign w:val="bottom"/>
            <w:shd w:val="clear" w:color="auto" w:fill="DEDEDE"/>
          </w:tcPr>
          <w:p>
            <w:pPr>
              <w:spacing w:after="0"/>
              <w:rPr>
                <w:sz w:val="19"/>
                <w:szCs w:val="19"/>
                <w:color w:val="auto"/>
              </w:rPr>
            </w:pPr>
          </w:p>
        </w:tc>
        <w:tc>
          <w:tcPr>
            <w:tcW w:w="1500" w:type="dxa"/>
            <w:vAlign w:val="bottom"/>
            <w:shd w:val="clear" w:color="auto" w:fill="DEDEDE"/>
          </w:tcPr>
          <w:p>
            <w:pPr>
              <w:spacing w:after="0"/>
              <w:rPr>
                <w:sz w:val="19"/>
                <w:szCs w:val="19"/>
                <w:color w:val="auto"/>
              </w:rPr>
            </w:pPr>
          </w:p>
        </w:tc>
        <w:tc>
          <w:tcPr>
            <w:tcW w:w="340" w:type="dxa"/>
            <w:vAlign w:val="bottom"/>
            <w:gridSpan w:val="2"/>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6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6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Opening (12/31/2024)</w:t>
            </w:r>
          </w:p>
        </w:tc>
        <w:tc>
          <w:tcPr>
            <w:tcW w:w="1340" w:type="dxa"/>
            <w:vAlign w:val="bottom"/>
            <w:tcBorders>
              <w:bottom w:val="single" w:sz="8" w:color="DEDEDE"/>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DEDEDE"/>
            </w:tcBorders>
          </w:tcPr>
          <w:p>
            <w:pPr>
              <w:spacing w:after="0"/>
              <w:rPr>
                <w:sz w:val="22"/>
                <w:szCs w:val="22"/>
                <w:color w:val="auto"/>
              </w:rPr>
            </w:pPr>
          </w:p>
        </w:tc>
        <w:tc>
          <w:tcPr>
            <w:tcW w:w="140" w:type="dxa"/>
            <w:vAlign w:val="bottom"/>
            <w:tcBorders>
              <w:bottom w:val="single" w:sz="8" w:color="DEDED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20,168,405</w:t>
            </w:r>
          </w:p>
        </w:tc>
        <w:tc>
          <w:tcPr>
            <w:tcW w:w="80" w:type="dxa"/>
            <w:vAlign w:val="bottom"/>
            <w:tcBorders>
              <w:bottom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60" w:type="dxa"/>
            <w:vAlign w:val="bottom"/>
            <w:shd w:val="clear" w:color="auto" w:fill="DEDEDE"/>
          </w:tcPr>
          <w:p>
            <w:pPr>
              <w:spacing w:after="0"/>
              <w:rPr>
                <w:sz w:val="17"/>
                <w:szCs w:val="17"/>
                <w:color w:val="auto"/>
              </w:rPr>
            </w:pPr>
          </w:p>
        </w:tc>
        <w:tc>
          <w:tcPr>
            <w:tcW w:w="1340" w:type="dxa"/>
            <w:vAlign w:val="bottom"/>
            <w:shd w:val="clear" w:color="auto" w:fill="DEDEDE"/>
          </w:tcPr>
          <w:p>
            <w:pPr>
              <w:spacing w:after="0"/>
              <w:rPr>
                <w:sz w:val="17"/>
                <w:szCs w:val="17"/>
                <w:color w:val="auto"/>
              </w:rPr>
            </w:pPr>
          </w:p>
        </w:tc>
        <w:tc>
          <w:tcPr>
            <w:tcW w:w="1500" w:type="dxa"/>
            <w:vAlign w:val="bottom"/>
            <w:shd w:val="clear" w:color="auto" w:fill="DEDEDE"/>
          </w:tcPr>
          <w:p>
            <w:pPr>
              <w:spacing w:after="0"/>
              <w:rPr>
                <w:sz w:val="17"/>
                <w:szCs w:val="17"/>
                <w:color w:val="auto"/>
              </w:rPr>
            </w:pPr>
          </w:p>
        </w:tc>
        <w:tc>
          <w:tcPr>
            <w:tcW w:w="22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56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284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22,177,345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1340" w:type="dxa"/>
            <w:vAlign w:val="bottom"/>
            <w:shd w:val="clear" w:color="auto" w:fill="DEDEDE"/>
          </w:tcPr>
          <w:p>
            <w:pPr>
              <w:spacing w:after="0"/>
              <w:rPr>
                <w:sz w:val="18"/>
                <w:szCs w:val="18"/>
                <w:color w:val="auto"/>
              </w:rPr>
            </w:pPr>
          </w:p>
        </w:tc>
        <w:tc>
          <w:tcPr>
            <w:tcW w:w="1500" w:type="dxa"/>
            <w:vAlign w:val="bottom"/>
            <w:shd w:val="clear" w:color="auto" w:fill="DEDEDE"/>
          </w:tcPr>
          <w:p>
            <w:pPr>
              <w:spacing w:after="0"/>
              <w:rPr>
                <w:sz w:val="18"/>
                <w:szCs w:val="18"/>
                <w:color w:val="auto"/>
              </w:rPr>
            </w:pPr>
          </w:p>
        </w:tc>
        <w:tc>
          <w:tcPr>
            <w:tcW w:w="340" w:type="dxa"/>
            <w:vAlign w:val="bottom"/>
            <w:gridSpan w:val="2"/>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5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814,258</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1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Closing (12/31/2025)</w:t>
            </w:r>
          </w:p>
        </w:tc>
        <w:tc>
          <w:tcPr>
            <w:tcW w:w="1340" w:type="dxa"/>
            <w:vAlign w:val="bottom"/>
            <w:tcBorders>
              <w:top w:val="single" w:sz="8" w:color="DEDEDE"/>
              <w:bottom w:val="single" w:sz="8" w:color="DEDEDE"/>
            </w:tcBorders>
            <w:shd w:val="clear" w:color="auto" w:fill="DEDEDE"/>
          </w:tcPr>
          <w:p>
            <w:pPr>
              <w:spacing w:after="0"/>
              <w:rPr>
                <w:sz w:val="19"/>
                <w:szCs w:val="19"/>
                <w:color w:val="auto"/>
              </w:rPr>
            </w:pPr>
          </w:p>
        </w:tc>
        <w:tc>
          <w:tcPr>
            <w:tcW w:w="1500" w:type="dxa"/>
            <w:vAlign w:val="bottom"/>
            <w:tcBorders>
              <w:top w:val="single" w:sz="8" w:color="auto"/>
              <w:bottom w:val="single" w:sz="8" w:color="auto"/>
            </w:tcBorders>
            <w:shd w:val="clear" w:color="auto" w:fill="DEDEDE"/>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22,991,603</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760" w:type="dxa"/>
            <w:vAlign w:val="bottom"/>
            <w:gridSpan w:val="7"/>
          </w:tcPr>
          <w:p>
            <w:pPr>
              <w:ind w:left="1180"/>
              <w:spacing w:after="0"/>
              <w:rPr>
                <w:sz w:val="20"/>
                <w:szCs w:val="20"/>
                <w:color w:val="auto"/>
              </w:rPr>
            </w:pPr>
            <w:r>
              <w:rPr>
                <w:rFonts w:ascii="Times New Roman" w:cs="Times New Roman" w:eastAsia="Times New Roman" w:hAnsi="Times New Roman"/>
                <w:sz w:val="18"/>
                <w:szCs w:val="18"/>
                <w:color w:val="auto"/>
              </w:rPr>
              <w:t>Contract Balances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DEDEDE"/>
            </w:tcBorders>
          </w:tcPr>
          <w:p>
            <w:pPr>
              <w:spacing w:after="0"/>
              <w:rPr>
                <w:sz w:val="19"/>
                <w:szCs w:val="19"/>
                <w:color w:val="auto"/>
              </w:rPr>
            </w:pPr>
          </w:p>
        </w:tc>
        <w:tc>
          <w:tcPr>
            <w:tcW w:w="1340" w:type="dxa"/>
            <w:vAlign w:val="bottom"/>
            <w:tcBorders>
              <w:bottom w:val="single" w:sz="8" w:color="DEDEDE"/>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Contract Asset</w:t>
            </w: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DEDEDE"/>
            </w:tcBorders>
          </w:tcPr>
          <w:p>
            <w:pPr>
              <w:spacing w:after="0"/>
              <w:rPr>
                <w:sz w:val="19"/>
                <w:szCs w:val="19"/>
                <w:color w:val="auto"/>
              </w:rPr>
            </w:pPr>
          </w:p>
        </w:tc>
        <w:tc>
          <w:tcPr>
            <w:tcW w:w="140" w:type="dxa"/>
            <w:vAlign w:val="bottom"/>
            <w:tcBorders>
              <w:top w:val="single" w:sz="8" w:color="auto"/>
              <w:bottom w:val="single" w:sz="8" w:color="DEDED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Contract Liability</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1340" w:type="dxa"/>
            <w:vAlign w:val="bottom"/>
            <w:shd w:val="clear" w:color="auto" w:fill="DEDEDE"/>
          </w:tcPr>
          <w:p>
            <w:pPr>
              <w:spacing w:after="0"/>
              <w:rPr>
                <w:sz w:val="18"/>
                <w:szCs w:val="18"/>
                <w:color w:val="auto"/>
              </w:rPr>
            </w:pPr>
          </w:p>
        </w:tc>
        <w:tc>
          <w:tcPr>
            <w:tcW w:w="1500" w:type="dxa"/>
            <w:vAlign w:val="bottom"/>
            <w:shd w:val="clear" w:color="auto" w:fill="DEDEDE"/>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17,424,764</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1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1340" w:type="dxa"/>
            <w:vAlign w:val="bottom"/>
            <w:shd w:val="clear" w:color="auto" w:fill="DEDEDE"/>
          </w:tcPr>
          <w:p>
            <w:pPr>
              <w:spacing w:after="0"/>
              <w:rPr>
                <w:sz w:val="19"/>
                <w:szCs w:val="19"/>
                <w:color w:val="auto"/>
              </w:rPr>
            </w:pPr>
          </w:p>
        </w:tc>
        <w:tc>
          <w:tcPr>
            <w:tcW w:w="1500" w:type="dxa"/>
            <w:vAlign w:val="bottom"/>
            <w:shd w:val="clear" w:color="auto" w:fill="DEDEDE"/>
          </w:tcPr>
          <w:p>
            <w:pPr>
              <w:spacing w:after="0"/>
              <w:rPr>
                <w:sz w:val="19"/>
                <w:szCs w:val="19"/>
                <w:color w:val="auto"/>
              </w:rPr>
            </w:pPr>
          </w:p>
        </w:tc>
        <w:tc>
          <w:tcPr>
            <w:tcW w:w="340" w:type="dxa"/>
            <w:vAlign w:val="bottom"/>
            <w:gridSpan w:val="2"/>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6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6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Opening (12/31/2023)</w:t>
            </w:r>
          </w:p>
        </w:tc>
        <w:tc>
          <w:tcPr>
            <w:tcW w:w="1340" w:type="dxa"/>
            <w:vAlign w:val="bottom"/>
            <w:tcBorders>
              <w:bottom w:val="single" w:sz="8" w:color="DEDEDE"/>
            </w:tcBorders>
          </w:tcPr>
          <w:p>
            <w:pPr>
              <w:spacing w:after="0"/>
              <w:rPr>
                <w:sz w:val="22"/>
                <w:szCs w:val="22"/>
                <w:color w:val="auto"/>
              </w:rPr>
            </w:pPr>
          </w:p>
        </w:tc>
        <w:tc>
          <w:tcPr>
            <w:tcW w:w="1500" w:type="dxa"/>
            <w:vAlign w:val="bottom"/>
            <w:tcBorders>
              <w:top w:val="single" w:sz="8" w:color="auto"/>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DEDEDE"/>
            </w:tcBorders>
          </w:tcPr>
          <w:p>
            <w:pPr>
              <w:spacing w:after="0"/>
              <w:rPr>
                <w:sz w:val="22"/>
                <w:szCs w:val="22"/>
                <w:color w:val="auto"/>
              </w:rPr>
            </w:pPr>
          </w:p>
        </w:tc>
        <w:tc>
          <w:tcPr>
            <w:tcW w:w="140" w:type="dxa"/>
            <w:vAlign w:val="bottom"/>
            <w:tcBorders>
              <w:bottom w:val="single" w:sz="8" w:color="DEDED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18,237,246</w:t>
            </w:r>
          </w:p>
        </w:tc>
        <w:tc>
          <w:tcPr>
            <w:tcW w:w="80" w:type="dxa"/>
            <w:vAlign w:val="bottom"/>
            <w:tcBorders>
              <w:bottom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3860" w:type="dxa"/>
            <w:vAlign w:val="bottom"/>
            <w:shd w:val="clear" w:color="auto" w:fill="DEDEDE"/>
          </w:tcPr>
          <w:p>
            <w:pPr>
              <w:spacing w:after="0"/>
              <w:rPr>
                <w:sz w:val="17"/>
                <w:szCs w:val="17"/>
                <w:color w:val="auto"/>
              </w:rPr>
            </w:pPr>
          </w:p>
        </w:tc>
        <w:tc>
          <w:tcPr>
            <w:tcW w:w="1340" w:type="dxa"/>
            <w:vAlign w:val="bottom"/>
            <w:shd w:val="clear" w:color="auto" w:fill="DEDEDE"/>
          </w:tcPr>
          <w:p>
            <w:pPr>
              <w:spacing w:after="0"/>
              <w:rPr>
                <w:sz w:val="17"/>
                <w:szCs w:val="17"/>
                <w:color w:val="auto"/>
              </w:rPr>
            </w:pPr>
          </w:p>
        </w:tc>
        <w:tc>
          <w:tcPr>
            <w:tcW w:w="1500" w:type="dxa"/>
            <w:vAlign w:val="bottom"/>
            <w:shd w:val="clear" w:color="auto" w:fill="DEDEDE"/>
          </w:tcPr>
          <w:p>
            <w:pPr>
              <w:spacing w:after="0"/>
              <w:rPr>
                <w:sz w:val="17"/>
                <w:szCs w:val="17"/>
                <w:color w:val="auto"/>
              </w:rPr>
            </w:pPr>
          </w:p>
        </w:tc>
        <w:tc>
          <w:tcPr>
            <w:tcW w:w="22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56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284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19,511,868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1340" w:type="dxa"/>
            <w:vAlign w:val="bottom"/>
            <w:shd w:val="clear" w:color="auto" w:fill="DEDEDE"/>
          </w:tcPr>
          <w:p>
            <w:pPr>
              <w:spacing w:after="0"/>
              <w:rPr>
                <w:sz w:val="18"/>
                <w:szCs w:val="18"/>
                <w:color w:val="auto"/>
              </w:rPr>
            </w:pPr>
          </w:p>
        </w:tc>
        <w:tc>
          <w:tcPr>
            <w:tcW w:w="1500" w:type="dxa"/>
            <w:vAlign w:val="bottom"/>
            <w:shd w:val="clear" w:color="auto" w:fill="DEDEDE"/>
          </w:tcPr>
          <w:p>
            <w:pPr>
              <w:spacing w:after="0"/>
              <w:rPr>
                <w:sz w:val="18"/>
                <w:szCs w:val="18"/>
                <w:color w:val="auto"/>
              </w:rPr>
            </w:pPr>
          </w:p>
        </w:tc>
        <w:tc>
          <w:tcPr>
            <w:tcW w:w="340" w:type="dxa"/>
            <w:vAlign w:val="bottom"/>
            <w:gridSpan w:val="2"/>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5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656,537</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1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Closing (12/31/2024)</w:t>
            </w:r>
          </w:p>
        </w:tc>
        <w:tc>
          <w:tcPr>
            <w:tcW w:w="1340" w:type="dxa"/>
            <w:vAlign w:val="bottom"/>
            <w:tcBorders>
              <w:top w:val="single" w:sz="8" w:color="DEDEDE"/>
              <w:bottom w:val="single" w:sz="8" w:color="DEDEDE"/>
            </w:tcBorders>
            <w:shd w:val="clear" w:color="auto" w:fill="DEDEDE"/>
          </w:tcPr>
          <w:p>
            <w:pPr>
              <w:spacing w:after="0"/>
              <w:rPr>
                <w:sz w:val="19"/>
                <w:szCs w:val="19"/>
                <w:color w:val="auto"/>
              </w:rPr>
            </w:pPr>
          </w:p>
        </w:tc>
        <w:tc>
          <w:tcPr>
            <w:tcW w:w="1500" w:type="dxa"/>
            <w:vAlign w:val="bottom"/>
            <w:tcBorders>
              <w:top w:val="single" w:sz="8" w:color="auto"/>
              <w:bottom w:val="single" w:sz="8" w:color="auto"/>
            </w:tcBorders>
            <w:shd w:val="clear" w:color="auto" w:fill="DEDEDE"/>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shd w:val="clear" w:color="auto" w:fill="DEDEDE"/>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20,168,405</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42"/>
        <w:spacing w:after="0"/>
        <w:rPr>
          <w:sz w:val="20"/>
          <w:szCs w:val="20"/>
          <w:color w:val="auto"/>
        </w:rPr>
      </w:pPr>
      <w:r>
        <w:rPr>
          <w:rFonts w:ascii="Times New Roman" w:cs="Times New Roman" w:eastAsia="Times New Roman" w:hAnsi="Times New Roman"/>
          <w:sz w:val="18"/>
          <w:szCs w:val="18"/>
          <w:color w:val="auto"/>
        </w:rPr>
        <w:t>54</w:t>
      </w:r>
    </w:p>
    <w:p>
      <w:pPr>
        <w:sectPr>
          <w:pgSz w:w="12240" w:h="15840" w:orient="portrait"/>
          <w:cols w:equalWidth="0" w:num="1">
            <w:col w:w="10302"/>
          </w:cols>
          <w:pgMar w:left="498" w:top="687" w:right="1440" w:bottom="0" w:gutter="0" w:footer="0" w:header="0"/>
        </w:sectPr>
      </w:pPr>
    </w:p>
    <w:bookmarkStart w:id="82" w:name="page83"/>
    <w:bookmarkEnd w:id="82"/>
    <w:p>
      <w:pPr>
        <w:jc w:val="center"/>
        <w:ind w:right="-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spacing w:after="0" w:line="283" w:lineRule="auto"/>
        <w:rPr>
          <w:sz w:val="20"/>
          <w:szCs w:val="20"/>
          <w:color w:val="auto"/>
        </w:rPr>
      </w:pPr>
      <w:r>
        <w:rPr>
          <w:rFonts w:ascii="Times New Roman" w:cs="Times New Roman" w:eastAsia="Times New Roman" w:hAnsi="Times New Roman"/>
          <w:sz w:val="18"/>
          <w:szCs w:val="18"/>
          <w:color w:val="auto"/>
        </w:rPr>
        <w:t>The amount of revenue recognized for 2025, and 2024 that was included in the opening contract liability balance was $4,806,347 and $5,324,668, respectively.</w:t>
      </w:r>
    </w:p>
    <w:p>
      <w:pPr>
        <w:spacing w:after="0" w:line="160" w:lineRule="exact"/>
        <w:rPr>
          <w:sz w:val="20"/>
          <w:szCs w:val="20"/>
          <w:color w:val="auto"/>
        </w:rPr>
      </w:pPr>
    </w:p>
    <w:p>
      <w:pPr>
        <w:jc w:val="both"/>
        <w:ind w:left="2"/>
        <w:spacing w:after="0" w:line="283"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disaggregates revenue for the Company’s cemetery and mortuary contracts.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3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6"/>
          </w:tcPr>
          <w:p>
            <w:pPr>
              <w:ind w:left="22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3780" w:type="dxa"/>
            <w:vAlign w:val="bottom"/>
            <w:tcBorders>
              <w:bottom w:val="single" w:sz="8" w:color="DEDEDE"/>
            </w:tcBorders>
          </w:tcPr>
          <w:p>
            <w:pPr>
              <w:spacing w:after="0"/>
              <w:rPr>
                <w:sz w:val="19"/>
                <w:szCs w:val="19"/>
                <w:color w:val="auto"/>
              </w:rPr>
            </w:pPr>
          </w:p>
        </w:tc>
        <w:tc>
          <w:tcPr>
            <w:tcW w:w="1100" w:type="dxa"/>
            <w:vAlign w:val="bottom"/>
            <w:tcBorders>
              <w:bottom w:val="single" w:sz="8" w:color="DEDED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top w:val="single" w:sz="8" w:color="auto"/>
              <w:bottom w:val="single" w:sz="8" w:color="DEDEDE"/>
            </w:tcBorders>
          </w:tcPr>
          <w:p>
            <w:pPr>
              <w:spacing w:after="0"/>
              <w:rPr>
                <w:sz w:val="19"/>
                <w:szCs w:val="19"/>
                <w:color w:val="auto"/>
              </w:rPr>
            </w:pPr>
          </w:p>
        </w:tc>
        <w:tc>
          <w:tcPr>
            <w:tcW w:w="120" w:type="dxa"/>
            <w:vAlign w:val="bottom"/>
            <w:tcBorders>
              <w:top w:val="single" w:sz="8" w:color="auto"/>
              <w:bottom w:val="single" w:sz="8" w:color="DEDED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09"/>
        </w:trPr>
        <w:tc>
          <w:tcPr>
            <w:tcW w:w="37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u w:val="single" w:color="auto"/>
                <w:color w:val="auto"/>
              </w:rPr>
              <w:t>Major goods/service lines</w:t>
            </w:r>
          </w:p>
        </w:tc>
        <w:tc>
          <w:tcPr>
            <w:tcW w:w="1100" w:type="dxa"/>
            <w:vAlign w:val="bottom"/>
            <w:shd w:val="clear" w:color="auto" w:fill="DEDEDE"/>
          </w:tcPr>
          <w:p>
            <w:pPr>
              <w:spacing w:after="0"/>
              <w:rPr>
                <w:sz w:val="18"/>
                <w:szCs w:val="18"/>
                <w:color w:val="auto"/>
              </w:rPr>
            </w:pPr>
          </w:p>
        </w:tc>
        <w:tc>
          <w:tcPr>
            <w:tcW w:w="2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30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At-need</w:t>
            </w:r>
          </w:p>
        </w:tc>
        <w:tc>
          <w:tcPr>
            <w:tcW w:w="1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21,300,289</w:t>
            </w:r>
          </w:p>
        </w:tc>
        <w:tc>
          <w:tcPr>
            <w:tcW w:w="4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19,989,995</w:t>
            </w:r>
          </w:p>
        </w:tc>
      </w:tr>
      <w:tr>
        <w:trPr>
          <w:trHeight w:val="249"/>
        </w:trPr>
        <w:tc>
          <w:tcPr>
            <w:tcW w:w="37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Pre-need</w:t>
            </w:r>
          </w:p>
        </w:tc>
        <w:tc>
          <w:tcPr>
            <w:tcW w:w="1100" w:type="dxa"/>
            <w:vAlign w:val="bottom"/>
            <w:shd w:val="clear" w:color="auto" w:fill="DEDEDE"/>
          </w:tcPr>
          <w:p>
            <w:pPr>
              <w:spacing w:after="0"/>
              <w:rPr>
                <w:sz w:val="21"/>
                <w:szCs w:val="21"/>
                <w:color w:val="auto"/>
              </w:rPr>
            </w:pPr>
          </w:p>
        </w:tc>
        <w:tc>
          <w:tcPr>
            <w:tcW w:w="280" w:type="dxa"/>
            <w:vAlign w:val="bottom"/>
            <w:shd w:val="clear" w:color="auto" w:fill="DEDEDE"/>
          </w:tcPr>
          <w:p>
            <w:pPr>
              <w:spacing w:after="0"/>
              <w:rPr>
                <w:sz w:val="21"/>
                <w:szCs w:val="21"/>
                <w:color w:val="auto"/>
              </w:rPr>
            </w:pPr>
          </w:p>
        </w:tc>
        <w:tc>
          <w:tcPr>
            <w:tcW w:w="116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7,404,161</w:t>
            </w:r>
          </w:p>
        </w:tc>
        <w:tc>
          <w:tcPr>
            <w:tcW w:w="120" w:type="dxa"/>
            <w:vAlign w:val="bottom"/>
            <w:shd w:val="clear" w:color="auto" w:fill="DEDEDE"/>
          </w:tcPr>
          <w:p>
            <w:pPr>
              <w:spacing w:after="0"/>
              <w:rPr>
                <w:sz w:val="21"/>
                <w:szCs w:val="21"/>
                <w:color w:val="auto"/>
              </w:rPr>
            </w:pPr>
          </w:p>
        </w:tc>
        <w:tc>
          <w:tcPr>
            <w:tcW w:w="300" w:type="dxa"/>
            <w:vAlign w:val="bottom"/>
            <w:shd w:val="clear" w:color="auto" w:fill="DEDEDE"/>
          </w:tcPr>
          <w:p>
            <w:pPr>
              <w:spacing w:after="0"/>
              <w:rPr>
                <w:sz w:val="21"/>
                <w:szCs w:val="21"/>
                <w:color w:val="auto"/>
              </w:rPr>
            </w:pPr>
          </w:p>
        </w:tc>
        <w:tc>
          <w:tcPr>
            <w:tcW w:w="1040" w:type="dxa"/>
            <w:vAlign w:val="bottom"/>
            <w:shd w:val="clear" w:color="auto" w:fill="DEDEDE"/>
          </w:tcPr>
          <w:p>
            <w:pPr>
              <w:ind w:left="320"/>
              <w:spacing w:after="0"/>
              <w:rPr>
                <w:sz w:val="20"/>
                <w:szCs w:val="20"/>
                <w:color w:val="auto"/>
              </w:rPr>
            </w:pPr>
            <w:r>
              <w:rPr>
                <w:rFonts w:ascii="Times New Roman" w:cs="Times New Roman" w:eastAsia="Times New Roman" w:hAnsi="Times New Roman"/>
                <w:sz w:val="18"/>
                <w:szCs w:val="18"/>
                <w:color w:val="auto"/>
                <w:w w:val="97"/>
              </w:rPr>
              <w:t>9,047,178</w:t>
            </w:r>
          </w:p>
        </w:tc>
        <w:tc>
          <w:tcPr>
            <w:tcW w:w="80" w:type="dxa"/>
            <w:vAlign w:val="bottom"/>
            <w:shd w:val="clear" w:color="auto" w:fill="DEDEDE"/>
          </w:tcPr>
          <w:p>
            <w:pPr>
              <w:spacing w:after="0"/>
              <w:rPr>
                <w:sz w:val="21"/>
                <w:szCs w:val="21"/>
                <w:color w:val="auto"/>
              </w:rPr>
            </w:pPr>
          </w:p>
        </w:tc>
      </w:tr>
      <w:tr>
        <w:trPr>
          <w:trHeight w:val="243"/>
        </w:trPr>
        <w:tc>
          <w:tcPr>
            <w:tcW w:w="3780" w:type="dxa"/>
            <w:vAlign w:val="bottom"/>
            <w:tcBorders>
              <w:top w:val="single" w:sz="8" w:color="DEDEDE"/>
              <w:bottom w:val="single" w:sz="8" w:color="DEDEDE"/>
            </w:tcBorders>
          </w:tcPr>
          <w:p>
            <w:pPr>
              <w:spacing w:after="0"/>
              <w:rPr>
                <w:sz w:val="21"/>
                <w:szCs w:val="21"/>
                <w:color w:val="auto"/>
              </w:rPr>
            </w:pPr>
          </w:p>
        </w:tc>
        <w:tc>
          <w:tcPr>
            <w:tcW w:w="1100" w:type="dxa"/>
            <w:vAlign w:val="bottom"/>
            <w:tcBorders>
              <w:top w:val="single" w:sz="8" w:color="DEDEDE"/>
              <w:bottom w:val="single" w:sz="8" w:color="DEDEDE"/>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28,704,450</w:t>
            </w:r>
          </w:p>
        </w:tc>
        <w:tc>
          <w:tcPr>
            <w:tcW w:w="100" w:type="dxa"/>
            <w:vAlign w:val="bottom"/>
            <w:tcBorders>
              <w:top w:val="single" w:sz="8" w:color="DEDEDE"/>
              <w:bottom w:val="single" w:sz="8" w:color="DEDEDE"/>
            </w:tcBorders>
          </w:tcPr>
          <w:p>
            <w:pPr>
              <w:spacing w:after="0"/>
              <w:rPr>
                <w:sz w:val="21"/>
                <w:szCs w:val="21"/>
                <w:color w:val="auto"/>
              </w:rPr>
            </w:pPr>
          </w:p>
        </w:tc>
        <w:tc>
          <w:tcPr>
            <w:tcW w:w="120" w:type="dxa"/>
            <w:vAlign w:val="bottom"/>
            <w:tcBorders>
              <w:top w:val="single" w:sz="8" w:color="DEDEDE"/>
              <w:bottom w:val="single" w:sz="8" w:color="DEDEDE"/>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ind w:left="240"/>
              <w:spacing w:after="0" w:line="203" w:lineRule="exact"/>
              <w:rPr>
                <w:sz w:val="20"/>
                <w:szCs w:val="20"/>
                <w:color w:val="auto"/>
              </w:rPr>
            </w:pPr>
            <w:r>
              <w:rPr>
                <w:rFonts w:ascii="Times New Roman" w:cs="Times New Roman" w:eastAsia="Times New Roman" w:hAnsi="Times New Roman"/>
                <w:sz w:val="18"/>
                <w:szCs w:val="18"/>
                <w:color w:val="auto"/>
                <w:w w:val="96"/>
              </w:rPr>
              <w:t>29,037,173</w:t>
            </w:r>
          </w:p>
        </w:tc>
        <w:tc>
          <w:tcPr>
            <w:tcW w:w="80" w:type="dxa"/>
            <w:vAlign w:val="bottom"/>
            <w:tcBorders>
              <w:top w:val="single" w:sz="8" w:color="DEDEDE"/>
              <w:bottom w:val="single" w:sz="8" w:color="DEDEDE"/>
            </w:tcBorders>
          </w:tcPr>
          <w:p>
            <w:pPr>
              <w:spacing w:after="0"/>
              <w:rPr>
                <w:sz w:val="21"/>
                <w:szCs w:val="21"/>
                <w:color w:val="auto"/>
              </w:rPr>
            </w:pPr>
          </w:p>
        </w:tc>
      </w:tr>
      <w:tr>
        <w:trPr>
          <w:trHeight w:val="197"/>
        </w:trPr>
        <w:tc>
          <w:tcPr>
            <w:tcW w:w="3780" w:type="dxa"/>
            <w:vAlign w:val="bottom"/>
            <w:shd w:val="clear" w:color="auto" w:fill="DEDEDE"/>
          </w:tcPr>
          <w:p>
            <w:pPr>
              <w:spacing w:after="0"/>
              <w:rPr>
                <w:sz w:val="17"/>
                <w:szCs w:val="17"/>
                <w:color w:val="auto"/>
              </w:rPr>
            </w:pPr>
          </w:p>
        </w:tc>
        <w:tc>
          <w:tcPr>
            <w:tcW w:w="1100" w:type="dxa"/>
            <w:vAlign w:val="bottom"/>
            <w:shd w:val="clear" w:color="auto" w:fill="DEDEDE"/>
          </w:tcPr>
          <w:p>
            <w:pPr>
              <w:spacing w:after="0"/>
              <w:rPr>
                <w:sz w:val="17"/>
                <w:szCs w:val="17"/>
                <w:color w:val="auto"/>
              </w:rPr>
            </w:pPr>
          </w:p>
        </w:tc>
        <w:tc>
          <w:tcPr>
            <w:tcW w:w="280" w:type="dxa"/>
            <w:vAlign w:val="bottom"/>
            <w:shd w:val="clear" w:color="auto" w:fill="DEDEDE"/>
          </w:tcPr>
          <w:p>
            <w:pPr>
              <w:spacing w:after="0"/>
              <w:rPr>
                <w:sz w:val="17"/>
                <w:szCs w:val="17"/>
                <w:color w:val="auto"/>
              </w:rPr>
            </w:pPr>
          </w:p>
        </w:tc>
        <w:tc>
          <w:tcPr>
            <w:tcW w:w="1060" w:type="dxa"/>
            <w:vAlign w:val="bottom"/>
            <w:shd w:val="clear" w:color="auto" w:fill="DEDEDE"/>
          </w:tcPr>
          <w:p>
            <w:pPr>
              <w:spacing w:after="0"/>
              <w:rPr>
                <w:sz w:val="17"/>
                <w:szCs w:val="17"/>
                <w:color w:val="auto"/>
              </w:rPr>
            </w:pPr>
          </w:p>
        </w:tc>
        <w:tc>
          <w:tcPr>
            <w:tcW w:w="10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300" w:type="dxa"/>
            <w:vAlign w:val="bottom"/>
            <w:shd w:val="clear" w:color="auto" w:fill="DEDEDE"/>
          </w:tcPr>
          <w:p>
            <w:pPr>
              <w:spacing w:after="0"/>
              <w:rPr>
                <w:sz w:val="17"/>
                <w:szCs w:val="17"/>
                <w:color w:val="auto"/>
              </w:rPr>
            </w:pPr>
          </w:p>
        </w:tc>
        <w:tc>
          <w:tcPr>
            <w:tcW w:w="104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Timing of Revenue Recognition</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Goods transferred at a point in time</w:t>
            </w:r>
          </w:p>
        </w:tc>
        <w:tc>
          <w:tcPr>
            <w:tcW w:w="1380" w:type="dxa"/>
            <w:vAlign w:val="bottom"/>
            <w:gridSpan w:val="2"/>
            <w:shd w:val="clear" w:color="auto" w:fill="DEDEDE"/>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17,979,697</w:t>
            </w:r>
          </w:p>
        </w:tc>
        <w:tc>
          <w:tcPr>
            <w:tcW w:w="420" w:type="dxa"/>
            <w:vAlign w:val="bottom"/>
            <w:gridSpan w:val="2"/>
            <w:shd w:val="clear" w:color="auto" w:fill="DEDEDE"/>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DEDEDE"/>
          </w:tcPr>
          <w:p>
            <w:pPr>
              <w:ind w:left="240"/>
              <w:spacing w:after="0"/>
              <w:rPr>
                <w:sz w:val="20"/>
                <w:szCs w:val="20"/>
                <w:color w:val="auto"/>
              </w:rPr>
            </w:pPr>
            <w:r>
              <w:rPr>
                <w:rFonts w:ascii="Times New Roman" w:cs="Times New Roman" w:eastAsia="Times New Roman" w:hAnsi="Times New Roman"/>
                <w:sz w:val="18"/>
                <w:szCs w:val="18"/>
                <w:color w:val="auto"/>
              </w:rPr>
              <w:t>18,147,136</w:t>
            </w:r>
          </w:p>
        </w:tc>
      </w:tr>
      <w:tr>
        <w:trPr>
          <w:trHeight w:val="230"/>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10,724,753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10,890,037</w:t>
            </w:r>
          </w:p>
        </w:tc>
      </w:tr>
      <w:tr>
        <w:trPr>
          <w:trHeight w:val="223"/>
        </w:trPr>
        <w:tc>
          <w:tcPr>
            <w:tcW w:w="3780" w:type="dxa"/>
            <w:vAlign w:val="bottom"/>
            <w:tcBorders>
              <w:top w:val="single" w:sz="8" w:color="DEDEDE"/>
              <w:bottom w:val="single" w:sz="8" w:color="DEDEDE"/>
            </w:tcBorders>
            <w:shd w:val="clear" w:color="auto" w:fill="DEDEDE"/>
          </w:tcPr>
          <w:p>
            <w:pPr>
              <w:spacing w:after="0"/>
              <w:rPr>
                <w:sz w:val="19"/>
                <w:szCs w:val="19"/>
                <w:color w:val="auto"/>
              </w:rPr>
            </w:pPr>
          </w:p>
        </w:tc>
        <w:tc>
          <w:tcPr>
            <w:tcW w:w="1100" w:type="dxa"/>
            <w:vAlign w:val="bottom"/>
            <w:tcBorders>
              <w:top w:val="single" w:sz="8" w:color="DEDEDE"/>
              <w:bottom w:val="single" w:sz="8" w:color="DEDEDE"/>
            </w:tcBorders>
            <w:shd w:val="clear" w:color="auto" w:fill="DEDEDE"/>
          </w:tcPr>
          <w:p>
            <w:pPr>
              <w:spacing w:after="0"/>
              <w:rPr>
                <w:sz w:val="19"/>
                <w:szCs w:val="19"/>
                <w:color w:val="auto"/>
              </w:rPr>
            </w:pPr>
          </w:p>
        </w:tc>
        <w:tc>
          <w:tcPr>
            <w:tcW w:w="280" w:type="dxa"/>
            <w:vAlign w:val="bottom"/>
            <w:tcBorders>
              <w:top w:val="single" w:sz="8" w:color="auto"/>
              <w:bottom w:val="single" w:sz="8" w:color="auto"/>
            </w:tcBorders>
            <w:shd w:val="clear" w:color="auto" w:fill="DEDED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28,704,450</w:t>
            </w: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300" w:type="dxa"/>
            <w:vAlign w:val="bottom"/>
            <w:tcBorders>
              <w:top w:val="single" w:sz="8" w:color="auto"/>
              <w:bottom w:val="single" w:sz="8" w:color="auto"/>
            </w:tcBorders>
            <w:shd w:val="clear" w:color="auto" w:fill="DEDED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DEDEDE"/>
          </w:tcPr>
          <w:p>
            <w:pPr>
              <w:ind w:left="240"/>
              <w:spacing w:after="0"/>
              <w:rPr>
                <w:sz w:val="20"/>
                <w:szCs w:val="20"/>
                <w:color w:val="auto"/>
              </w:rPr>
            </w:pPr>
            <w:r>
              <w:rPr>
                <w:rFonts w:ascii="Times New Roman" w:cs="Times New Roman" w:eastAsia="Times New Roman" w:hAnsi="Times New Roman"/>
                <w:sz w:val="18"/>
                <w:szCs w:val="18"/>
                <w:color w:val="auto"/>
                <w:w w:val="96"/>
              </w:rPr>
              <w:t>29,037,173</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Significant Judgments and Estimates</w:t>
      </w:r>
    </w:p>
    <w:p>
      <w:pPr>
        <w:spacing w:after="0" w:line="228"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The Company’s cemetery and mortuary segment recognizes revenue on future performance obligations when goods are delivered and when services are performed and is not determined by the terms or payments of the contract as long as any good or service is paid in full prior to delivery. Prices are determined based on the market at the time a contract is created. Goods or services are not partially completed. There are no significant judgements, estimations, or allocation methods for when revenue should be recognized.</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Practical Expedients</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has not elected to use any of the practical expedients.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55</w:t>
      </w:r>
    </w:p>
    <w:p>
      <w:pPr>
        <w:sectPr>
          <w:pgSz w:w="12240" w:h="15840" w:orient="portrait"/>
          <w:cols w:equalWidth="0" w:num="1">
            <w:col w:w="11222"/>
          </w:cols>
          <w:pgMar w:left="498" w:top="687" w:right="520" w:bottom="0" w:gutter="0" w:footer="0" w:header="0"/>
        </w:sectPr>
      </w:pPr>
    </w:p>
    <w:bookmarkStart w:id="83" w:name="page84"/>
    <w:bookmarkEnd w:id="83"/>
    <w:p>
      <w:pPr>
        <w:jc w:val="center"/>
        <w:ind w:right="-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Contract Costs</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Company’s cemetery and mortuary segment defer certain costs associated with obtaining a contract on future obligations.</w:t>
      </w:r>
    </w:p>
    <w:p>
      <w:pPr>
        <w:spacing w:after="0" w:line="222" w:lineRule="exact"/>
        <w:rPr>
          <w:sz w:val="20"/>
          <w:szCs w:val="20"/>
          <w:color w:val="auto"/>
        </w:rPr>
      </w:pPr>
    </w:p>
    <w:p>
      <w:pPr>
        <w:jc w:val="both"/>
        <w:ind w:left="2"/>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Pre-need Merchandise and Service Revenue</w:t>
      </w:r>
      <w:r>
        <w:rPr>
          <w:rFonts w:ascii="Times New Roman" w:cs="Times New Roman" w:eastAsia="Times New Roman" w:hAnsi="Times New Roman"/>
          <w:sz w:val="18"/>
          <w:szCs w:val="18"/>
          <w:color w:val="auto"/>
        </w:rPr>
        <w:t>: Pre-need merchandise and service revenues are deferred until the goods or services are delivered. Recognition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be years until the obligations are satisfied. Commissions and other costs are capitalized and deferred until the obligation is satisfied. Other costs include rent on pre-need offices and training rooms, and call center costs. Costs that are allocated based on a percentage include family service advisor compensation, bonuses, utilities, and supplies that are all used to procure a pre-need sale.</w:t>
      </w:r>
    </w:p>
    <w:p>
      <w:pPr>
        <w:spacing w:after="0" w:line="176"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At-need Specialty Merchandise Revenue</w:t>
      </w:r>
      <w:r>
        <w:rPr>
          <w:rFonts w:ascii="Times New Roman" w:cs="Times New Roman" w:eastAsia="Times New Roman" w:hAnsi="Times New Roman"/>
          <w:sz w:val="18"/>
          <w:szCs w:val="18"/>
          <w:color w:val="auto"/>
        </w:rPr>
        <w:t>: At-need specialty merchandise is ordered from a third-party manufacturer. Generally, at-need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merchandise is ordered and received within 90 days of order. These orders are also short-term in nature and are deferred until the product is received from the manufacturer and the obligation is satisfied.</w:t>
      </w:r>
    </w:p>
    <w:p>
      <w:pPr>
        <w:spacing w:after="0" w:line="173" w:lineRule="exact"/>
        <w:rPr>
          <w:sz w:val="20"/>
          <w:szCs w:val="20"/>
          <w:color w:val="auto"/>
        </w:rPr>
      </w:pPr>
    </w:p>
    <w:p>
      <w:pPr>
        <w:jc w:val="both"/>
        <w:ind w:left="2"/>
        <w:spacing w:after="0" w:line="283" w:lineRule="auto"/>
        <w:rPr>
          <w:sz w:val="20"/>
          <w:szCs w:val="20"/>
          <w:color w:val="auto"/>
        </w:rPr>
      </w:pPr>
      <w:r>
        <w:rPr>
          <w:rFonts w:ascii="Times New Roman" w:cs="Times New Roman" w:eastAsia="Times New Roman" w:hAnsi="Times New Roman"/>
          <w:sz w:val="18"/>
          <w:szCs w:val="18"/>
          <w:color w:val="auto"/>
        </w:rPr>
        <w:t>The following table disaggregates contract costs that are included in the deferred policy and pre-need contract acquisition costs on the consolidated balances sheets.</w:t>
      </w:r>
    </w:p>
    <w:p>
      <w:pPr>
        <w:spacing w:after="0" w:line="173"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4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7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4880" w:type="dxa"/>
            <w:vAlign w:val="bottom"/>
            <w:tcBorders>
              <w:bottom w:val="single" w:sz="8" w:color="DEDED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top w:val="single" w:sz="8" w:color="auto"/>
              <w:bottom w:val="single" w:sz="8" w:color="DEDEDE"/>
            </w:tcBorders>
          </w:tcPr>
          <w:p>
            <w:pPr>
              <w:spacing w:after="0"/>
              <w:rPr>
                <w:sz w:val="19"/>
                <w:szCs w:val="19"/>
                <w:color w:val="auto"/>
              </w:rPr>
            </w:pPr>
          </w:p>
        </w:tc>
        <w:tc>
          <w:tcPr>
            <w:tcW w:w="20" w:type="dxa"/>
            <w:vAlign w:val="bottom"/>
            <w:tcBorders>
              <w:top w:val="single" w:sz="8" w:color="auto"/>
              <w:bottom w:val="single" w:sz="8" w:color="DEDED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09"/>
        </w:trPr>
        <w:tc>
          <w:tcPr>
            <w:tcW w:w="48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Pre-need merchandise and services</w:t>
            </w:r>
          </w:p>
        </w:tc>
        <w:tc>
          <w:tcPr>
            <w:tcW w:w="280" w:type="dxa"/>
            <w:vAlign w:val="bottom"/>
            <w:shd w:val="clear" w:color="auto" w:fill="DEDED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4,321,822</w:t>
            </w:r>
          </w:p>
        </w:tc>
        <w:tc>
          <w:tcPr>
            <w:tcW w:w="2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80" w:type="dxa"/>
            <w:vAlign w:val="bottom"/>
            <w:shd w:val="clear" w:color="auto" w:fill="DEDEDE"/>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4,113,793</w:t>
            </w:r>
          </w:p>
        </w:tc>
        <w:tc>
          <w:tcPr>
            <w:tcW w:w="80" w:type="dxa"/>
            <w:vAlign w:val="bottom"/>
            <w:shd w:val="clear" w:color="auto" w:fill="DEDEDE"/>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At-need specialty merchandise</w:t>
            </w:r>
          </w:p>
        </w:tc>
        <w:tc>
          <w:tcPr>
            <w:tcW w:w="2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15,807</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11,268</w:t>
            </w:r>
          </w:p>
        </w:tc>
      </w:tr>
      <w:tr>
        <w:trPr>
          <w:trHeight w:val="230"/>
        </w:trPr>
        <w:tc>
          <w:tcPr>
            <w:tcW w:w="48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Pre-need land sales</w:t>
            </w:r>
          </w:p>
        </w:tc>
        <w:tc>
          <w:tcPr>
            <w:tcW w:w="280" w:type="dxa"/>
            <w:vAlign w:val="bottom"/>
            <w:shd w:val="clear" w:color="auto" w:fill="DEDEDE"/>
          </w:tcPr>
          <w:p>
            <w:pPr>
              <w:spacing w:after="0"/>
              <w:rPr>
                <w:sz w:val="19"/>
                <w:szCs w:val="19"/>
                <w:color w:val="auto"/>
              </w:rPr>
            </w:pPr>
          </w:p>
        </w:tc>
        <w:tc>
          <w:tcPr>
            <w:tcW w:w="128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EDEDE"/>
          </w:tcPr>
          <w:p>
            <w:pPr>
              <w:spacing w:after="0"/>
              <w:rPr>
                <w:sz w:val="19"/>
                <w:szCs w:val="19"/>
                <w:color w:val="auto"/>
              </w:rPr>
            </w:pPr>
          </w:p>
        </w:tc>
        <w:tc>
          <w:tcPr>
            <w:tcW w:w="280" w:type="dxa"/>
            <w:vAlign w:val="bottom"/>
            <w:shd w:val="clear" w:color="auto" w:fill="DEDEDE"/>
          </w:tcPr>
          <w:p>
            <w:pPr>
              <w:spacing w:after="0"/>
              <w:rPr>
                <w:sz w:val="19"/>
                <w:szCs w:val="19"/>
                <w:color w:val="auto"/>
              </w:rPr>
            </w:pPr>
          </w:p>
        </w:tc>
        <w:tc>
          <w:tcPr>
            <w:tcW w:w="112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4,337,629</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4,125,061</w:t>
            </w:r>
          </w:p>
        </w:tc>
        <w:tc>
          <w:tcPr>
            <w:tcW w:w="8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56</w:t>
      </w:r>
    </w:p>
    <w:p>
      <w:pPr>
        <w:sectPr>
          <w:pgSz w:w="12240" w:h="15840" w:orient="portrait"/>
          <w:cols w:equalWidth="0" w:num="1">
            <w:col w:w="11222"/>
          </w:cols>
          <w:pgMar w:left="498" w:top="687" w:right="520" w:bottom="0" w:gutter="0" w:footer="0" w:header="0"/>
        </w:sectPr>
      </w:pPr>
    </w:p>
    <w:bookmarkStart w:id="84" w:name="page85"/>
    <w:bookmarkEnd w:id="84"/>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Assets</w:t>
      </w:r>
    </w:p>
    <w:p>
      <w:pPr>
        <w:spacing w:after="0" w:line="225"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Company has established certain restricted assets to provide for future merchandise and service obligations incurred in connection with its pre-need sales for its cemetery and mortuary segment.</w:t>
      </w:r>
    </w:p>
    <w:p>
      <w:pPr>
        <w:spacing w:after="0" w:line="160"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Restricted cash also represents escrows held for borrowers and investors under servicing and appraisal agreements relating to mortgage loans, funds held by warehouse banks in accordance with loan purchase agreements and funds held in escrow for certain real estate construction development projects. Additionally, the Company elected to maintain its medical benefit fund without change from the prior year and has included this amount as a component of restricted cash. These restricted cash items are for the Company’s life insurance and mortgage segments.</w:t>
      </w:r>
    </w:p>
    <w:p>
      <w:pPr>
        <w:spacing w:after="0" w:line="17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Restricted assets as of December 31, 2025 are summarized as follows:</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Gross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Unrealized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Estimated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top w:val="single" w:sz="8" w:color="DEDEDE"/>
              <w:right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u w:val="single" w:color="auto"/>
                <w:color w:val="auto"/>
              </w:rPr>
              <w:t>December 31, 2025:</w:t>
            </w:r>
          </w:p>
        </w:tc>
        <w:tc>
          <w:tcPr>
            <w:tcW w:w="180" w:type="dxa"/>
            <w:vAlign w:val="bottom"/>
            <w:tcBorders>
              <w:top w:val="single" w:sz="8" w:color="auto"/>
            </w:tcBorders>
            <w:shd w:val="clear" w:color="auto" w:fill="DEDEDE"/>
          </w:tcPr>
          <w:p>
            <w:pPr>
              <w:spacing w:after="0"/>
              <w:rPr>
                <w:sz w:val="18"/>
                <w:szCs w:val="18"/>
                <w:color w:val="auto"/>
              </w:rPr>
            </w:pPr>
          </w:p>
        </w:tc>
        <w:tc>
          <w:tcPr>
            <w:tcW w:w="116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spacing w:after="0"/>
              <w:rPr>
                <w:sz w:val="18"/>
                <w:szCs w:val="18"/>
                <w:color w:val="auto"/>
              </w:rPr>
            </w:pPr>
          </w:p>
        </w:tc>
        <w:tc>
          <w:tcPr>
            <w:tcW w:w="118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spacing w:after="0"/>
              <w:rPr>
                <w:sz w:val="18"/>
                <w:szCs w:val="18"/>
                <w:color w:val="auto"/>
              </w:rPr>
            </w:pPr>
          </w:p>
        </w:tc>
        <w:tc>
          <w:tcPr>
            <w:tcW w:w="116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200" w:type="dxa"/>
            <w:vAlign w:val="bottom"/>
            <w:tcBorders>
              <w:top w:val="single" w:sz="8" w:color="auto"/>
            </w:tcBorders>
            <w:shd w:val="clear" w:color="auto" w:fill="DEDEDE"/>
          </w:tcPr>
          <w:p>
            <w:pPr>
              <w:spacing w:after="0"/>
              <w:rPr>
                <w:sz w:val="18"/>
                <w:szCs w:val="18"/>
                <w:color w:val="auto"/>
              </w:rPr>
            </w:pPr>
          </w:p>
        </w:tc>
        <w:tc>
          <w:tcPr>
            <w:tcW w:w="114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20" w:type="dxa"/>
            <w:vAlign w:val="bottom"/>
            <w:tcBorders>
              <w:right w:val="single" w:sz="8" w:color="DEDEDE"/>
            </w:tcBorders>
            <w:shd w:val="clear" w:color="auto" w:fill="DEDEDE"/>
          </w:tcPr>
          <w:p>
            <w:pPr>
              <w:ind w:left="160"/>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80" w:type="dxa"/>
            <w:vAlign w:val="bottom"/>
            <w:shd w:val="clear" w:color="auto" w:fill="DEDEDE"/>
          </w:tcPr>
          <w:p>
            <w:pPr>
              <w:spacing w:after="0"/>
              <w:rPr>
                <w:sz w:val="17"/>
                <w:szCs w:val="17"/>
                <w:color w:val="auto"/>
              </w:rPr>
            </w:pPr>
          </w:p>
        </w:tc>
        <w:tc>
          <w:tcPr>
            <w:tcW w:w="116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6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1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720" w:type="dxa"/>
            <w:vAlign w:val="bottom"/>
            <w:tcBorders>
              <w:right w:val="single" w:sz="8" w:color="DEDEDE"/>
            </w:tcBorders>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Government agencies</w:t>
            </w:r>
          </w:p>
        </w:tc>
        <w:tc>
          <w:tcPr>
            <w:tcW w:w="1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895,817</w:t>
            </w:r>
          </w:p>
        </w:tc>
        <w:tc>
          <w:tcPr>
            <w:tcW w:w="200" w:type="dxa"/>
            <w:vAlign w:val="bottom"/>
            <w:shd w:val="clear" w:color="auto" w:fill="DEDEDE"/>
          </w:tcPr>
          <w:p>
            <w:pPr>
              <w:spacing w:after="0"/>
              <w:rPr>
                <w:sz w:val="20"/>
                <w:szCs w:val="20"/>
                <w:color w:val="auto"/>
              </w:rPr>
            </w:pPr>
          </w:p>
        </w:tc>
        <w:tc>
          <w:tcPr>
            <w:tcW w:w="34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5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DEDEDE"/>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897,552</w:t>
            </w:r>
          </w:p>
        </w:tc>
        <w:tc>
          <w:tcPr>
            <w:tcW w:w="1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right w:val="single" w:sz="8" w:color="DEDEDE"/>
            </w:tcBorders>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80" w:type="dxa"/>
            <w:vAlign w:val="bottom"/>
            <w:shd w:val="clear" w:color="auto" w:fill="DEDEDE"/>
          </w:tcPr>
          <w:p>
            <w:pPr>
              <w:spacing w:after="0"/>
              <w:rPr>
                <w:sz w:val="19"/>
                <w:szCs w:val="19"/>
                <w:color w:val="auto"/>
              </w:rPr>
            </w:pP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52,030</w:t>
            </w:r>
          </w:p>
        </w:tc>
        <w:tc>
          <w:tcPr>
            <w:tcW w:w="2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36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51,071</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vMerge w:val="restart"/>
          </w:tcPr>
          <w:p>
            <w:pPr>
              <w:ind w:left="340"/>
              <w:spacing w:after="0" w:line="189" w:lineRule="exact"/>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720" w:type="dxa"/>
            <w:vAlign w:val="bottom"/>
            <w:vMerge w:val="continue"/>
          </w:tcPr>
          <w:p>
            <w:pPr>
              <w:spacing w:after="0"/>
              <w:rPr>
                <w:sz w:val="14"/>
                <w:szCs w:val="1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1,176,359</w:t>
            </w:r>
          </w:p>
        </w:tc>
        <w:tc>
          <w:tcPr>
            <w:tcW w:w="200" w:type="dxa"/>
            <w:vAlign w:val="bottom"/>
          </w:tcPr>
          <w:p>
            <w:pPr>
              <w:spacing w:after="0"/>
              <w:rPr>
                <w:sz w:val="14"/>
                <w:szCs w:val="14"/>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200" w:type="dxa"/>
            <w:vAlign w:val="bottom"/>
            <w:vMerge w:val="continue"/>
          </w:tcPr>
          <w:p>
            <w:pPr>
              <w:spacing w:after="0"/>
              <w:rPr>
                <w:sz w:val="14"/>
                <w:szCs w:val="14"/>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1,177,251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7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Borders>
              <w:top w:val="single" w:sz="8" w:color="DEDEDE"/>
              <w:right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60" w:type="dxa"/>
            <w:vAlign w:val="bottom"/>
            <w:tcBorders>
              <w:top w:val="single" w:sz="8" w:color="auto"/>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80" w:type="dxa"/>
            <w:vAlign w:val="bottom"/>
            <w:tcBorders>
              <w:top w:val="single" w:sz="8" w:color="auto"/>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60" w:type="dxa"/>
            <w:vAlign w:val="bottom"/>
            <w:tcBorders>
              <w:top w:val="single" w:sz="8" w:color="auto"/>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auto"/>
            </w:tcBorders>
            <w:shd w:val="clear" w:color="auto" w:fill="DEDEDE"/>
          </w:tcPr>
          <w:p>
            <w:pPr>
              <w:spacing w:after="0"/>
              <w:rPr>
                <w:sz w:val="17"/>
                <w:szCs w:val="17"/>
                <w:color w:val="auto"/>
              </w:rPr>
            </w:pPr>
          </w:p>
        </w:tc>
        <w:tc>
          <w:tcPr>
            <w:tcW w:w="1140" w:type="dxa"/>
            <w:vAlign w:val="bottom"/>
            <w:tcBorders>
              <w:top w:val="single" w:sz="8" w:color="auto"/>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right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12,582,890</w:t>
            </w:r>
          </w:p>
        </w:tc>
        <w:tc>
          <w:tcPr>
            <w:tcW w:w="20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2,690,346</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(344,319)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14,928,917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right w:val="single" w:sz="8" w:color="DEDEDE"/>
            </w:tcBorders>
            <w:vMerge w:val="restart"/>
            <w:shd w:val="clear" w:color="auto" w:fill="DEDEDE"/>
          </w:tcPr>
          <w:p>
            <w:pPr>
              <w:ind w:left="160"/>
              <w:spacing w:after="0" w:line="189" w:lineRule="exact"/>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DEDEDE"/>
          </w:tcPr>
          <w:p>
            <w:pPr>
              <w:spacing w:after="0" w:line="20" w:lineRule="exact"/>
              <w:rPr>
                <w:sz w:val="1"/>
                <w:szCs w:val="1"/>
                <w:color w:val="auto"/>
              </w:rPr>
            </w:pPr>
          </w:p>
        </w:tc>
        <w:tc>
          <w:tcPr>
            <w:tcW w:w="160" w:type="dxa"/>
            <w:vAlign w:val="bottom"/>
            <w:shd w:val="clear" w:color="auto" w:fill="DEDED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DEDED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DEDEDE"/>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DED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720" w:type="dxa"/>
            <w:vAlign w:val="bottom"/>
            <w:tcBorders>
              <w:right w:val="single" w:sz="8" w:color="DEDEDE"/>
            </w:tcBorders>
            <w:vMerge w:val="continue"/>
            <w:shd w:val="clear" w:color="auto" w:fill="DEDEDE"/>
          </w:tcPr>
          <w:p>
            <w:pPr>
              <w:spacing w:after="0"/>
              <w:rPr>
                <w:sz w:val="14"/>
                <w:szCs w:val="14"/>
                <w:color w:val="auto"/>
              </w:rPr>
            </w:pPr>
          </w:p>
        </w:tc>
        <w:tc>
          <w:tcPr>
            <w:tcW w:w="180" w:type="dxa"/>
            <w:vAlign w:val="bottom"/>
            <w:vMerge w:val="restart"/>
            <w:shd w:val="clear" w:color="auto" w:fill="DEDEDE"/>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12,582,890</w:t>
            </w:r>
          </w:p>
        </w:tc>
        <w:tc>
          <w:tcPr>
            <w:tcW w:w="200" w:type="dxa"/>
            <w:vAlign w:val="bottom"/>
            <w:shd w:val="clear" w:color="auto" w:fill="DEDEDE"/>
          </w:tcPr>
          <w:p>
            <w:pPr>
              <w:spacing w:after="0"/>
              <w:rPr>
                <w:sz w:val="14"/>
                <w:szCs w:val="14"/>
                <w:color w:val="auto"/>
              </w:rPr>
            </w:pPr>
          </w:p>
        </w:tc>
        <w:tc>
          <w:tcPr>
            <w:tcW w:w="340" w:type="dxa"/>
            <w:vAlign w:val="bottom"/>
            <w:gridSpan w:val="2"/>
            <w:vMerge w:val="restart"/>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2,690,346</w:t>
            </w:r>
          </w:p>
        </w:tc>
        <w:tc>
          <w:tcPr>
            <w:tcW w:w="500" w:type="dxa"/>
            <w:vAlign w:val="bottom"/>
            <w:gridSpan w:val="2"/>
            <w:vMerge w:val="restart"/>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(344,319</w:t>
            </w:r>
          </w:p>
        </w:tc>
        <w:tc>
          <w:tcPr>
            <w:tcW w:w="200" w:type="dxa"/>
            <w:vAlign w:val="bottom"/>
            <w:vMerge w:val="continue"/>
            <w:shd w:val="clear" w:color="auto" w:fill="DEDEDE"/>
          </w:tcPr>
          <w:p>
            <w:pPr>
              <w:spacing w:after="0"/>
              <w:rPr>
                <w:sz w:val="14"/>
                <w:szCs w:val="14"/>
                <w:color w:val="auto"/>
              </w:rPr>
            </w:pPr>
          </w:p>
        </w:tc>
        <w:tc>
          <w:tcPr>
            <w:tcW w:w="320" w:type="dxa"/>
            <w:vAlign w:val="bottom"/>
            <w:gridSpan w:val="2"/>
            <w:vMerge w:val="restart"/>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14,928,917</w:t>
            </w:r>
          </w:p>
        </w:tc>
        <w:tc>
          <w:tcPr>
            <w:tcW w:w="120" w:type="dxa"/>
            <w:vAlign w:val="bottom"/>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720" w:type="dxa"/>
            <w:vAlign w:val="bottom"/>
            <w:tcBorders>
              <w:right w:val="single" w:sz="8" w:color="DEDEDE"/>
            </w:tcBorders>
            <w:shd w:val="clear" w:color="auto" w:fill="DEDEDE"/>
          </w:tcPr>
          <w:p>
            <w:pPr>
              <w:spacing w:after="0"/>
              <w:rPr>
                <w:sz w:val="4"/>
                <w:szCs w:val="4"/>
                <w:color w:val="auto"/>
              </w:rPr>
            </w:pPr>
          </w:p>
        </w:tc>
        <w:tc>
          <w:tcPr>
            <w:tcW w:w="180" w:type="dxa"/>
            <w:vAlign w:val="bottom"/>
            <w:vMerge w:val="continue"/>
            <w:shd w:val="clear" w:color="auto" w:fill="DEDEDE"/>
          </w:tcPr>
          <w:p>
            <w:pPr>
              <w:spacing w:after="0"/>
              <w:rPr>
                <w:sz w:val="4"/>
                <w:szCs w:val="4"/>
                <w:color w:val="auto"/>
              </w:rPr>
            </w:pPr>
          </w:p>
        </w:tc>
        <w:tc>
          <w:tcPr>
            <w:tcW w:w="1160" w:type="dxa"/>
            <w:vAlign w:val="bottom"/>
            <w:vMerge w:val="continue"/>
            <w:shd w:val="clear" w:color="auto" w:fill="DEDEDE"/>
          </w:tcPr>
          <w:p>
            <w:pPr>
              <w:spacing w:after="0"/>
              <w:rPr>
                <w:sz w:val="4"/>
                <w:szCs w:val="4"/>
                <w:color w:val="auto"/>
              </w:rPr>
            </w:pPr>
          </w:p>
        </w:tc>
        <w:tc>
          <w:tcPr>
            <w:tcW w:w="200" w:type="dxa"/>
            <w:vAlign w:val="bottom"/>
            <w:shd w:val="clear" w:color="auto" w:fill="DEDEDE"/>
          </w:tcPr>
          <w:p>
            <w:pPr>
              <w:spacing w:after="0"/>
              <w:rPr>
                <w:sz w:val="4"/>
                <w:szCs w:val="4"/>
                <w:color w:val="auto"/>
              </w:rPr>
            </w:pPr>
          </w:p>
        </w:tc>
        <w:tc>
          <w:tcPr>
            <w:tcW w:w="340" w:type="dxa"/>
            <w:vAlign w:val="bottom"/>
            <w:gridSpan w:val="2"/>
            <w:vMerge w:val="continue"/>
            <w:shd w:val="clear" w:color="auto" w:fill="DEDEDE"/>
          </w:tcPr>
          <w:p>
            <w:pPr>
              <w:spacing w:after="0"/>
              <w:rPr>
                <w:sz w:val="4"/>
                <w:szCs w:val="4"/>
                <w:color w:val="auto"/>
              </w:rPr>
            </w:pPr>
          </w:p>
        </w:tc>
        <w:tc>
          <w:tcPr>
            <w:tcW w:w="1180" w:type="dxa"/>
            <w:vAlign w:val="bottom"/>
            <w:vMerge w:val="continue"/>
            <w:shd w:val="clear" w:color="auto" w:fill="DEDEDE"/>
          </w:tcPr>
          <w:p>
            <w:pPr>
              <w:spacing w:after="0"/>
              <w:rPr>
                <w:sz w:val="4"/>
                <w:szCs w:val="4"/>
                <w:color w:val="auto"/>
              </w:rPr>
            </w:pPr>
          </w:p>
        </w:tc>
        <w:tc>
          <w:tcPr>
            <w:tcW w:w="500" w:type="dxa"/>
            <w:vAlign w:val="bottom"/>
            <w:gridSpan w:val="2"/>
            <w:vMerge w:val="continue"/>
            <w:shd w:val="clear" w:color="auto" w:fill="DEDEDE"/>
          </w:tcPr>
          <w:p>
            <w:pPr>
              <w:spacing w:after="0"/>
              <w:rPr>
                <w:sz w:val="4"/>
                <w:szCs w:val="4"/>
                <w:color w:val="auto"/>
              </w:rPr>
            </w:pPr>
          </w:p>
        </w:tc>
        <w:tc>
          <w:tcPr>
            <w:tcW w:w="1160" w:type="dxa"/>
            <w:vAlign w:val="bottom"/>
            <w:vMerge w:val="continue"/>
            <w:shd w:val="clear" w:color="auto" w:fill="DEDEDE"/>
          </w:tcPr>
          <w:p>
            <w:pPr>
              <w:spacing w:after="0"/>
              <w:rPr>
                <w:sz w:val="4"/>
                <w:szCs w:val="4"/>
                <w:color w:val="auto"/>
              </w:rPr>
            </w:pPr>
          </w:p>
        </w:tc>
        <w:tc>
          <w:tcPr>
            <w:tcW w:w="200" w:type="dxa"/>
            <w:vAlign w:val="bottom"/>
            <w:shd w:val="clear" w:color="auto" w:fill="DEDEDE"/>
          </w:tcPr>
          <w:p>
            <w:pPr>
              <w:spacing w:after="0"/>
              <w:rPr>
                <w:sz w:val="4"/>
                <w:szCs w:val="4"/>
                <w:color w:val="auto"/>
              </w:rPr>
            </w:pPr>
          </w:p>
        </w:tc>
        <w:tc>
          <w:tcPr>
            <w:tcW w:w="320" w:type="dxa"/>
            <w:vAlign w:val="bottom"/>
            <w:gridSpan w:val="2"/>
            <w:vMerge w:val="continue"/>
            <w:shd w:val="clear" w:color="auto" w:fill="DEDEDE"/>
          </w:tcPr>
          <w:p>
            <w:pPr>
              <w:spacing w:after="0"/>
              <w:rPr>
                <w:sz w:val="4"/>
                <w:szCs w:val="4"/>
                <w:color w:val="auto"/>
              </w:rPr>
            </w:pPr>
          </w:p>
        </w:tc>
        <w:tc>
          <w:tcPr>
            <w:tcW w:w="1140" w:type="dxa"/>
            <w:vAlign w:val="bottom"/>
            <w:vMerge w:val="continue"/>
            <w:shd w:val="clear" w:color="auto" w:fill="DEDEDE"/>
          </w:tcPr>
          <w:p>
            <w:pPr>
              <w:spacing w:after="0"/>
              <w:rPr>
                <w:sz w:val="4"/>
                <w:szCs w:val="4"/>
                <w:color w:val="auto"/>
              </w:rPr>
            </w:pPr>
          </w:p>
        </w:tc>
        <w:tc>
          <w:tcPr>
            <w:tcW w:w="120" w:type="dxa"/>
            <w:vAlign w:val="bottom"/>
            <w:shd w:val="clear" w:color="auto" w:fill="DEDED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Borders>
              <w:right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812,427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right w:val="single" w:sz="8" w:color="DEDEDE"/>
            </w:tcBorders>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shd w:val="clear" w:color="auto" w:fill="DEDEDE"/>
          </w:tcPr>
          <w:p>
            <w:pPr>
              <w:spacing w:after="0"/>
              <w:rPr>
                <w:sz w:val="19"/>
                <w:szCs w:val="19"/>
                <w:color w:val="auto"/>
              </w:rPr>
            </w:pPr>
          </w:p>
        </w:tc>
        <w:tc>
          <w:tcPr>
            <w:tcW w:w="136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(1,625)</w:t>
            </w:r>
          </w:p>
        </w:tc>
        <w:tc>
          <w:tcPr>
            <w:tcW w:w="16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180" w:type="dxa"/>
            <w:vAlign w:val="bottom"/>
            <w:shd w:val="clear" w:color="auto" w:fill="DEDEDE"/>
          </w:tcPr>
          <w:p>
            <w:pPr>
              <w:spacing w:after="0"/>
              <w:rPr>
                <w:sz w:val="19"/>
                <w:szCs w:val="19"/>
                <w:color w:val="auto"/>
              </w:rPr>
            </w:pPr>
          </w:p>
        </w:tc>
        <w:tc>
          <w:tcPr>
            <w:tcW w:w="32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16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14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2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810,802</w:t>
            </w:r>
          </w:p>
        </w:tc>
        <w:tc>
          <w:tcPr>
            <w:tcW w:w="200" w:type="dxa"/>
            <w:vAlign w:val="bottom"/>
            <w:tcBorders>
              <w:bottom w:val="single" w:sz="8" w:color="DEDEDE"/>
            </w:tcBorders>
          </w:tcPr>
          <w:p>
            <w:pPr>
              <w:spacing w:after="0"/>
              <w:rPr>
                <w:sz w:val="22"/>
                <w:szCs w:val="22"/>
                <w:color w:val="auto"/>
              </w:rPr>
            </w:pPr>
          </w:p>
        </w:tc>
        <w:tc>
          <w:tcPr>
            <w:tcW w:w="160" w:type="dxa"/>
            <w:vAlign w:val="bottom"/>
            <w:tcBorders>
              <w:bottom w:val="single" w:sz="8" w:color="DEDEDE"/>
            </w:tcBorders>
          </w:tcPr>
          <w:p>
            <w:pPr>
              <w:spacing w:after="0"/>
              <w:rPr>
                <w:sz w:val="22"/>
                <w:szCs w:val="22"/>
                <w:color w:val="auto"/>
              </w:rPr>
            </w:pPr>
          </w:p>
        </w:tc>
        <w:tc>
          <w:tcPr>
            <w:tcW w:w="180" w:type="dxa"/>
            <w:vAlign w:val="bottom"/>
            <w:tcBorders>
              <w:bottom w:val="single" w:sz="8" w:color="DEDEDE"/>
            </w:tcBorders>
          </w:tcPr>
          <w:p>
            <w:pPr>
              <w:spacing w:after="0"/>
              <w:rPr>
                <w:sz w:val="22"/>
                <w:szCs w:val="22"/>
                <w:color w:val="auto"/>
              </w:rPr>
            </w:pPr>
          </w:p>
        </w:tc>
        <w:tc>
          <w:tcPr>
            <w:tcW w:w="1180" w:type="dxa"/>
            <w:vAlign w:val="bottom"/>
            <w:tcBorders>
              <w:bottom w:val="single" w:sz="8" w:color="DEDEDE"/>
            </w:tcBorders>
          </w:tcPr>
          <w:p>
            <w:pPr>
              <w:spacing w:after="0"/>
              <w:rPr>
                <w:sz w:val="22"/>
                <w:szCs w:val="22"/>
                <w:color w:val="auto"/>
              </w:rPr>
            </w:pPr>
          </w:p>
        </w:tc>
        <w:tc>
          <w:tcPr>
            <w:tcW w:w="320" w:type="dxa"/>
            <w:vAlign w:val="bottom"/>
            <w:tcBorders>
              <w:bottom w:val="single" w:sz="8" w:color="DEDEDE"/>
            </w:tcBorders>
          </w:tcPr>
          <w:p>
            <w:pPr>
              <w:spacing w:after="0"/>
              <w:rPr>
                <w:sz w:val="22"/>
                <w:szCs w:val="22"/>
                <w:color w:val="auto"/>
              </w:rPr>
            </w:pPr>
          </w:p>
        </w:tc>
        <w:tc>
          <w:tcPr>
            <w:tcW w:w="180" w:type="dxa"/>
            <w:vAlign w:val="bottom"/>
            <w:tcBorders>
              <w:bottom w:val="single" w:sz="8" w:color="DEDEDE"/>
            </w:tcBorders>
          </w:tcPr>
          <w:p>
            <w:pPr>
              <w:spacing w:after="0"/>
              <w:rPr>
                <w:sz w:val="22"/>
                <w:szCs w:val="22"/>
                <w:color w:val="auto"/>
              </w:rPr>
            </w:pPr>
          </w:p>
        </w:tc>
        <w:tc>
          <w:tcPr>
            <w:tcW w:w="1160" w:type="dxa"/>
            <w:vAlign w:val="bottom"/>
            <w:tcBorders>
              <w:bottom w:val="single" w:sz="8" w:color="DEDEDE"/>
            </w:tcBorders>
          </w:tcPr>
          <w:p>
            <w:pPr>
              <w:spacing w:after="0"/>
              <w:rPr>
                <w:sz w:val="22"/>
                <w:szCs w:val="22"/>
                <w:color w:val="auto"/>
              </w:rPr>
            </w:pPr>
          </w:p>
        </w:tc>
        <w:tc>
          <w:tcPr>
            <w:tcW w:w="200" w:type="dxa"/>
            <w:vAlign w:val="bottom"/>
            <w:tcBorders>
              <w:bottom w:val="single" w:sz="8" w:color="DEDEDE"/>
            </w:tcBorders>
          </w:tcPr>
          <w:p>
            <w:pPr>
              <w:spacing w:after="0"/>
              <w:rPr>
                <w:sz w:val="22"/>
                <w:szCs w:val="22"/>
                <w:color w:val="auto"/>
              </w:rPr>
            </w:pPr>
          </w:p>
        </w:tc>
        <w:tc>
          <w:tcPr>
            <w:tcW w:w="120" w:type="dxa"/>
            <w:vAlign w:val="bottom"/>
            <w:tcBorders>
              <w:bottom w:val="single" w:sz="8" w:color="DEDEDE"/>
            </w:tcBorders>
          </w:tcPr>
          <w:p>
            <w:pPr>
              <w:spacing w:after="0"/>
              <w:rPr>
                <w:sz w:val="22"/>
                <w:szCs w:val="22"/>
                <w:color w:val="auto"/>
              </w:rPr>
            </w:pPr>
          </w:p>
        </w:tc>
        <w:tc>
          <w:tcPr>
            <w:tcW w:w="200" w:type="dxa"/>
            <w:vAlign w:val="bottom"/>
            <w:tcBorders>
              <w:bottom w:val="single" w:sz="8" w:color="DEDEDE"/>
            </w:tcBorders>
          </w:tcPr>
          <w:p>
            <w:pPr>
              <w:spacing w:after="0"/>
              <w:rPr>
                <w:sz w:val="22"/>
                <w:szCs w:val="22"/>
                <w:color w:val="auto"/>
              </w:rPr>
            </w:pPr>
          </w:p>
        </w:tc>
        <w:tc>
          <w:tcPr>
            <w:tcW w:w="1140" w:type="dxa"/>
            <w:vAlign w:val="bottom"/>
            <w:tcBorders>
              <w:bottom w:val="single" w:sz="8" w:color="DEDEDE"/>
            </w:tcBorders>
          </w:tcPr>
          <w:p>
            <w:pPr>
              <w:spacing w:after="0"/>
              <w:rPr>
                <w:sz w:val="22"/>
                <w:szCs w:val="22"/>
                <w:color w:val="auto"/>
              </w:rPr>
            </w:pPr>
          </w:p>
        </w:tc>
        <w:tc>
          <w:tcPr>
            <w:tcW w:w="120" w:type="dxa"/>
            <w:vAlign w:val="bottom"/>
            <w:tcBorders>
              <w:bottom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right w:val="single" w:sz="8" w:color="DEDEDE"/>
            </w:tcBorders>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6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6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1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1,957,888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Borders>
              <w:top w:val="single" w:sz="8" w:color="DEDEDE"/>
              <w:right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60" w:type="dxa"/>
            <w:vAlign w:val="bottom"/>
            <w:tcBorders>
              <w:top w:val="single" w:sz="8" w:color="auto"/>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180" w:type="dxa"/>
            <w:vAlign w:val="bottom"/>
            <w:tcBorders>
              <w:top w:val="single" w:sz="8" w:color="DEDEDE"/>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16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14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 w:type="dxa"/>
            <w:vAlign w:val="bottom"/>
            <w:vMerge w:val="continue"/>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9,919,800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Borders>
              <w:top w:val="single" w:sz="8" w:color="DEDEDE"/>
              <w:right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60" w:type="dxa"/>
            <w:vAlign w:val="bottom"/>
            <w:tcBorders>
              <w:top w:val="single" w:sz="8" w:color="auto"/>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180" w:type="dxa"/>
            <w:vAlign w:val="bottom"/>
            <w:tcBorders>
              <w:top w:val="single" w:sz="8" w:color="DEDEDE"/>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16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14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 w:type="dxa"/>
            <w:vAlign w:val="bottom"/>
            <w:vMerge w:val="continue"/>
          </w:tcPr>
          <w:p>
            <w:pPr>
              <w:spacing w:after="0"/>
              <w:rPr>
                <w:sz w:val="24"/>
                <w:szCs w:val="24"/>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20" w:type="dxa"/>
            <w:vAlign w:val="bottom"/>
            <w:tcBorders>
              <w:top w:val="single" w:sz="8" w:color="DEDEDE"/>
              <w:right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60" w:type="dxa"/>
            <w:vAlign w:val="bottom"/>
            <w:tcBorders>
              <w:top w:val="single" w:sz="8" w:color="auto"/>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180" w:type="dxa"/>
            <w:vAlign w:val="bottom"/>
            <w:tcBorders>
              <w:top w:val="single" w:sz="8" w:color="DEDEDE"/>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16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14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28,805,946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158115</wp:posOffset>
                </wp:positionV>
                <wp:extent cx="1783080" cy="0"/>
                <wp:wrapNone/>
                <wp:docPr id="163" name="Shape 1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63" o:spid="_x0000_s118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2.45pt" to="140.4pt,12.45pt" o:allowincell="f" strokecolor="#000000" strokeweight="0.675pt"/>
            </w:pict>
          </mc:Fallback>
        </mc:AlternateContent>
      </w:r>
    </w:p>
    <w:p>
      <w:pPr>
        <w:spacing w:after="0" w:line="23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(1)  Including cash and cash equivalents of $8,383,847 for the life insurance and mortgage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57</w:t>
      </w:r>
    </w:p>
    <w:p>
      <w:pPr>
        <w:sectPr>
          <w:pgSz w:w="12240" w:h="15840" w:orient="portrait"/>
          <w:cols w:equalWidth="0" w:num="1">
            <w:col w:w="11242"/>
          </w:cols>
          <w:pgMar w:left="498" w:top="687" w:right="500" w:bottom="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60" w:hanging="64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Assets</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Restricted assets as of December 31, 2024 are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Gross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Amortized</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Unrealized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Estimated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Cost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DEDEDE"/>
              <w:right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u w:val="single" w:color="auto"/>
                <w:color w:val="auto"/>
              </w:rPr>
              <w:t>December 31, 2024:</w:t>
            </w:r>
          </w:p>
        </w:tc>
        <w:tc>
          <w:tcPr>
            <w:tcW w:w="180" w:type="dxa"/>
            <w:vAlign w:val="bottom"/>
            <w:tcBorders>
              <w:top w:val="single" w:sz="8" w:color="auto"/>
            </w:tcBorders>
            <w:shd w:val="clear" w:color="auto" w:fill="DEDEDE"/>
          </w:tcPr>
          <w:p>
            <w:pPr>
              <w:spacing w:after="0"/>
              <w:rPr>
                <w:sz w:val="18"/>
                <w:szCs w:val="18"/>
                <w:color w:val="auto"/>
              </w:rPr>
            </w:pPr>
          </w:p>
        </w:tc>
        <w:tc>
          <w:tcPr>
            <w:tcW w:w="116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spacing w:after="0"/>
              <w:rPr>
                <w:sz w:val="18"/>
                <w:szCs w:val="18"/>
                <w:color w:val="auto"/>
              </w:rPr>
            </w:pPr>
          </w:p>
        </w:tc>
        <w:tc>
          <w:tcPr>
            <w:tcW w:w="118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spacing w:after="0"/>
              <w:rPr>
                <w:sz w:val="18"/>
                <w:szCs w:val="18"/>
                <w:color w:val="auto"/>
              </w:rPr>
            </w:pPr>
          </w:p>
        </w:tc>
        <w:tc>
          <w:tcPr>
            <w:tcW w:w="116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200" w:type="dxa"/>
            <w:vAlign w:val="bottom"/>
            <w:tcBorders>
              <w:top w:val="single" w:sz="8" w:color="auto"/>
            </w:tcBorders>
            <w:shd w:val="clear" w:color="auto" w:fill="DEDEDE"/>
          </w:tcPr>
          <w:p>
            <w:pPr>
              <w:spacing w:after="0"/>
              <w:rPr>
                <w:sz w:val="18"/>
                <w:szCs w:val="18"/>
                <w:color w:val="auto"/>
              </w:rPr>
            </w:pPr>
          </w:p>
        </w:tc>
        <w:tc>
          <w:tcPr>
            <w:tcW w:w="114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740" w:type="dxa"/>
            <w:vAlign w:val="bottom"/>
            <w:tcBorders>
              <w:right w:val="single" w:sz="8" w:color="DEDEDE"/>
            </w:tcBorders>
            <w:shd w:val="clear" w:color="auto" w:fill="DEDEDE"/>
          </w:tcPr>
          <w:p>
            <w:pPr>
              <w:ind w:left="180"/>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80" w:type="dxa"/>
            <w:vAlign w:val="bottom"/>
            <w:shd w:val="clear" w:color="auto" w:fill="DEDEDE"/>
          </w:tcPr>
          <w:p>
            <w:pPr>
              <w:spacing w:after="0"/>
              <w:rPr>
                <w:sz w:val="17"/>
                <w:szCs w:val="17"/>
                <w:color w:val="auto"/>
              </w:rPr>
            </w:pPr>
          </w:p>
        </w:tc>
        <w:tc>
          <w:tcPr>
            <w:tcW w:w="116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6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1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740" w:type="dxa"/>
            <w:vAlign w:val="bottom"/>
            <w:tcBorders>
              <w:right w:val="single" w:sz="8" w:color="DEDEDE"/>
            </w:tcBorders>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1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1,741,029</w:t>
            </w:r>
          </w:p>
        </w:tc>
        <w:tc>
          <w:tcPr>
            <w:tcW w:w="200" w:type="dxa"/>
            <w:vAlign w:val="bottom"/>
            <w:shd w:val="clear" w:color="auto" w:fill="DEDEDE"/>
          </w:tcPr>
          <w:p>
            <w:pPr>
              <w:spacing w:after="0"/>
              <w:rPr>
                <w:sz w:val="20"/>
                <w:szCs w:val="20"/>
                <w:color w:val="auto"/>
              </w:rPr>
            </w:pPr>
          </w:p>
        </w:tc>
        <w:tc>
          <w:tcPr>
            <w:tcW w:w="34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5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(1,511)</w:t>
            </w:r>
          </w:p>
        </w:tc>
        <w:tc>
          <w:tcPr>
            <w:tcW w:w="3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1,741,774</w:t>
            </w:r>
          </w:p>
        </w:tc>
        <w:tc>
          <w:tcPr>
            <w:tcW w:w="1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471,217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(4,223)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Borders>
              <w:right w:val="single" w:sz="8" w:color="DEDEDE"/>
            </w:tcBorders>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80" w:type="dxa"/>
            <w:vAlign w:val="bottom"/>
            <w:shd w:val="clear" w:color="auto" w:fill="DEDEDE"/>
          </w:tcPr>
          <w:p>
            <w:pPr>
              <w:spacing w:after="0"/>
              <w:rPr>
                <w:sz w:val="19"/>
                <w:szCs w:val="19"/>
                <w:color w:val="auto"/>
              </w:rPr>
            </w:pP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144,616</w:t>
            </w:r>
          </w:p>
        </w:tc>
        <w:tc>
          <w:tcPr>
            <w:tcW w:w="2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36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142,421</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vMerge w:val="restart"/>
          </w:tcPr>
          <w:p>
            <w:pPr>
              <w:ind w:left="360"/>
              <w:spacing w:after="0" w:line="189" w:lineRule="exact"/>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740" w:type="dxa"/>
            <w:vAlign w:val="bottom"/>
            <w:vMerge w:val="continue"/>
          </w:tcPr>
          <w:p>
            <w:pPr>
              <w:spacing w:after="0"/>
              <w:rPr>
                <w:sz w:val="14"/>
                <w:szCs w:val="14"/>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2,356,862</w:t>
            </w:r>
          </w:p>
        </w:tc>
        <w:tc>
          <w:tcPr>
            <w:tcW w:w="200" w:type="dxa"/>
            <w:vAlign w:val="bottom"/>
          </w:tcPr>
          <w:p>
            <w:pPr>
              <w:spacing w:after="0"/>
              <w:rPr>
                <w:sz w:val="14"/>
                <w:szCs w:val="14"/>
                <w:color w:val="auto"/>
              </w:rPr>
            </w:pP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2,468</w:t>
            </w: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200" w:type="dxa"/>
            <w:vAlign w:val="bottom"/>
            <w:vMerge w:val="continue"/>
          </w:tcPr>
          <w:p>
            <w:pPr>
              <w:spacing w:after="0"/>
              <w:rPr>
                <w:sz w:val="14"/>
                <w:szCs w:val="14"/>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2,351,369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40" w:type="dxa"/>
            <w:vAlign w:val="bottom"/>
            <w:tcBorders>
              <w:top w:val="single" w:sz="8" w:color="DEDEDE"/>
              <w:right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60" w:type="dxa"/>
            <w:vAlign w:val="bottom"/>
            <w:tcBorders>
              <w:top w:val="single" w:sz="8" w:color="auto"/>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80" w:type="dxa"/>
            <w:vAlign w:val="bottom"/>
            <w:tcBorders>
              <w:top w:val="single" w:sz="8" w:color="auto"/>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60" w:type="dxa"/>
            <w:vAlign w:val="bottom"/>
            <w:tcBorders>
              <w:top w:val="single" w:sz="8" w:color="auto"/>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auto"/>
            </w:tcBorders>
            <w:shd w:val="clear" w:color="auto" w:fill="DEDEDE"/>
          </w:tcPr>
          <w:p>
            <w:pPr>
              <w:spacing w:after="0"/>
              <w:rPr>
                <w:sz w:val="17"/>
                <w:szCs w:val="17"/>
                <w:color w:val="auto"/>
              </w:rPr>
            </w:pPr>
          </w:p>
        </w:tc>
        <w:tc>
          <w:tcPr>
            <w:tcW w:w="1140" w:type="dxa"/>
            <w:vAlign w:val="bottom"/>
            <w:tcBorders>
              <w:top w:val="single" w:sz="8" w:color="auto"/>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Borders>
              <w:right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8,547,709</w:t>
            </w:r>
          </w:p>
        </w:tc>
        <w:tc>
          <w:tcPr>
            <w:tcW w:w="200" w:type="dxa"/>
            <w:vAlign w:val="bottom"/>
          </w:tcPr>
          <w:p>
            <w:pPr>
              <w:spacing w:after="0"/>
              <w:rPr>
                <w:sz w:val="19"/>
                <w:szCs w:val="19"/>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1,914,309</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(489,852)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9,972,166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right w:val="single" w:sz="8" w:color="DEDEDE"/>
            </w:tcBorders>
            <w:vMerge w:val="restart"/>
            <w:shd w:val="clear" w:color="auto" w:fill="DEDEDE"/>
          </w:tcPr>
          <w:p>
            <w:pPr>
              <w:ind w:left="180"/>
              <w:spacing w:after="0" w:line="189" w:lineRule="exact"/>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DEDEDE"/>
          </w:tcPr>
          <w:p>
            <w:pPr>
              <w:spacing w:after="0" w:line="20" w:lineRule="exact"/>
              <w:rPr>
                <w:sz w:val="1"/>
                <w:szCs w:val="1"/>
                <w:color w:val="auto"/>
              </w:rPr>
            </w:pPr>
          </w:p>
        </w:tc>
        <w:tc>
          <w:tcPr>
            <w:tcW w:w="160" w:type="dxa"/>
            <w:vAlign w:val="bottom"/>
            <w:shd w:val="clear" w:color="auto" w:fill="DEDED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DEDED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DEDEDE"/>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DED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740" w:type="dxa"/>
            <w:vAlign w:val="bottom"/>
            <w:tcBorders>
              <w:right w:val="single" w:sz="8" w:color="DEDEDE"/>
            </w:tcBorders>
            <w:vMerge w:val="continue"/>
            <w:shd w:val="clear" w:color="auto" w:fill="DEDEDE"/>
          </w:tcPr>
          <w:p>
            <w:pPr>
              <w:spacing w:after="0"/>
              <w:rPr>
                <w:sz w:val="14"/>
                <w:szCs w:val="14"/>
                <w:color w:val="auto"/>
              </w:rPr>
            </w:pPr>
          </w:p>
        </w:tc>
        <w:tc>
          <w:tcPr>
            <w:tcW w:w="180" w:type="dxa"/>
            <w:vAlign w:val="bottom"/>
            <w:vMerge w:val="restart"/>
            <w:shd w:val="clear" w:color="auto" w:fill="DEDEDE"/>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8,547,709</w:t>
            </w:r>
          </w:p>
        </w:tc>
        <w:tc>
          <w:tcPr>
            <w:tcW w:w="200" w:type="dxa"/>
            <w:vAlign w:val="bottom"/>
            <w:shd w:val="clear" w:color="auto" w:fill="DEDEDE"/>
          </w:tcPr>
          <w:p>
            <w:pPr>
              <w:spacing w:after="0"/>
              <w:rPr>
                <w:sz w:val="14"/>
                <w:szCs w:val="14"/>
                <w:color w:val="auto"/>
              </w:rPr>
            </w:pPr>
          </w:p>
        </w:tc>
        <w:tc>
          <w:tcPr>
            <w:tcW w:w="340" w:type="dxa"/>
            <w:vAlign w:val="bottom"/>
            <w:gridSpan w:val="2"/>
            <w:vMerge w:val="restart"/>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1,914,309</w:t>
            </w:r>
          </w:p>
        </w:tc>
        <w:tc>
          <w:tcPr>
            <w:tcW w:w="500" w:type="dxa"/>
            <w:vAlign w:val="bottom"/>
            <w:gridSpan w:val="2"/>
            <w:vMerge w:val="restart"/>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(489,852</w:t>
            </w:r>
          </w:p>
        </w:tc>
        <w:tc>
          <w:tcPr>
            <w:tcW w:w="200" w:type="dxa"/>
            <w:vAlign w:val="bottom"/>
            <w:vMerge w:val="continue"/>
            <w:shd w:val="clear" w:color="auto" w:fill="DEDEDE"/>
          </w:tcPr>
          <w:p>
            <w:pPr>
              <w:spacing w:after="0"/>
              <w:rPr>
                <w:sz w:val="14"/>
                <w:szCs w:val="14"/>
                <w:color w:val="auto"/>
              </w:rPr>
            </w:pPr>
          </w:p>
        </w:tc>
        <w:tc>
          <w:tcPr>
            <w:tcW w:w="320" w:type="dxa"/>
            <w:vAlign w:val="bottom"/>
            <w:gridSpan w:val="2"/>
            <w:vMerge w:val="restart"/>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9,972,166</w:t>
            </w:r>
          </w:p>
        </w:tc>
        <w:tc>
          <w:tcPr>
            <w:tcW w:w="120" w:type="dxa"/>
            <w:vAlign w:val="bottom"/>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4740" w:type="dxa"/>
            <w:vAlign w:val="bottom"/>
            <w:tcBorders>
              <w:right w:val="single" w:sz="8" w:color="DEDEDE"/>
            </w:tcBorders>
            <w:shd w:val="clear" w:color="auto" w:fill="DEDEDE"/>
          </w:tcPr>
          <w:p>
            <w:pPr>
              <w:spacing w:after="0"/>
              <w:rPr>
                <w:sz w:val="4"/>
                <w:szCs w:val="4"/>
                <w:color w:val="auto"/>
              </w:rPr>
            </w:pPr>
          </w:p>
        </w:tc>
        <w:tc>
          <w:tcPr>
            <w:tcW w:w="180" w:type="dxa"/>
            <w:vAlign w:val="bottom"/>
            <w:vMerge w:val="continue"/>
            <w:shd w:val="clear" w:color="auto" w:fill="DEDEDE"/>
          </w:tcPr>
          <w:p>
            <w:pPr>
              <w:spacing w:after="0"/>
              <w:rPr>
                <w:sz w:val="4"/>
                <w:szCs w:val="4"/>
                <w:color w:val="auto"/>
              </w:rPr>
            </w:pPr>
          </w:p>
        </w:tc>
        <w:tc>
          <w:tcPr>
            <w:tcW w:w="1160" w:type="dxa"/>
            <w:vAlign w:val="bottom"/>
            <w:vMerge w:val="continue"/>
            <w:shd w:val="clear" w:color="auto" w:fill="DEDEDE"/>
          </w:tcPr>
          <w:p>
            <w:pPr>
              <w:spacing w:after="0"/>
              <w:rPr>
                <w:sz w:val="4"/>
                <w:szCs w:val="4"/>
                <w:color w:val="auto"/>
              </w:rPr>
            </w:pPr>
          </w:p>
        </w:tc>
        <w:tc>
          <w:tcPr>
            <w:tcW w:w="200" w:type="dxa"/>
            <w:vAlign w:val="bottom"/>
            <w:shd w:val="clear" w:color="auto" w:fill="DEDEDE"/>
          </w:tcPr>
          <w:p>
            <w:pPr>
              <w:spacing w:after="0"/>
              <w:rPr>
                <w:sz w:val="4"/>
                <w:szCs w:val="4"/>
                <w:color w:val="auto"/>
              </w:rPr>
            </w:pPr>
          </w:p>
        </w:tc>
        <w:tc>
          <w:tcPr>
            <w:tcW w:w="340" w:type="dxa"/>
            <w:vAlign w:val="bottom"/>
            <w:gridSpan w:val="2"/>
            <w:vMerge w:val="continue"/>
            <w:shd w:val="clear" w:color="auto" w:fill="DEDEDE"/>
          </w:tcPr>
          <w:p>
            <w:pPr>
              <w:spacing w:after="0"/>
              <w:rPr>
                <w:sz w:val="4"/>
                <w:szCs w:val="4"/>
                <w:color w:val="auto"/>
              </w:rPr>
            </w:pPr>
          </w:p>
        </w:tc>
        <w:tc>
          <w:tcPr>
            <w:tcW w:w="1180" w:type="dxa"/>
            <w:vAlign w:val="bottom"/>
            <w:vMerge w:val="continue"/>
            <w:shd w:val="clear" w:color="auto" w:fill="DEDEDE"/>
          </w:tcPr>
          <w:p>
            <w:pPr>
              <w:spacing w:after="0"/>
              <w:rPr>
                <w:sz w:val="4"/>
                <w:szCs w:val="4"/>
                <w:color w:val="auto"/>
              </w:rPr>
            </w:pPr>
          </w:p>
        </w:tc>
        <w:tc>
          <w:tcPr>
            <w:tcW w:w="500" w:type="dxa"/>
            <w:vAlign w:val="bottom"/>
            <w:gridSpan w:val="2"/>
            <w:vMerge w:val="continue"/>
            <w:shd w:val="clear" w:color="auto" w:fill="DEDEDE"/>
          </w:tcPr>
          <w:p>
            <w:pPr>
              <w:spacing w:after="0"/>
              <w:rPr>
                <w:sz w:val="4"/>
                <w:szCs w:val="4"/>
                <w:color w:val="auto"/>
              </w:rPr>
            </w:pPr>
          </w:p>
        </w:tc>
        <w:tc>
          <w:tcPr>
            <w:tcW w:w="1160" w:type="dxa"/>
            <w:vAlign w:val="bottom"/>
            <w:vMerge w:val="continue"/>
            <w:shd w:val="clear" w:color="auto" w:fill="DEDEDE"/>
          </w:tcPr>
          <w:p>
            <w:pPr>
              <w:spacing w:after="0"/>
              <w:rPr>
                <w:sz w:val="4"/>
                <w:szCs w:val="4"/>
                <w:color w:val="auto"/>
              </w:rPr>
            </w:pPr>
          </w:p>
        </w:tc>
        <w:tc>
          <w:tcPr>
            <w:tcW w:w="200" w:type="dxa"/>
            <w:vAlign w:val="bottom"/>
            <w:shd w:val="clear" w:color="auto" w:fill="DEDEDE"/>
          </w:tcPr>
          <w:p>
            <w:pPr>
              <w:spacing w:after="0"/>
              <w:rPr>
                <w:sz w:val="4"/>
                <w:szCs w:val="4"/>
                <w:color w:val="auto"/>
              </w:rPr>
            </w:pPr>
          </w:p>
        </w:tc>
        <w:tc>
          <w:tcPr>
            <w:tcW w:w="320" w:type="dxa"/>
            <w:vAlign w:val="bottom"/>
            <w:gridSpan w:val="2"/>
            <w:vMerge w:val="continue"/>
            <w:shd w:val="clear" w:color="auto" w:fill="DEDEDE"/>
          </w:tcPr>
          <w:p>
            <w:pPr>
              <w:spacing w:after="0"/>
              <w:rPr>
                <w:sz w:val="4"/>
                <w:szCs w:val="4"/>
                <w:color w:val="auto"/>
              </w:rPr>
            </w:pPr>
          </w:p>
        </w:tc>
        <w:tc>
          <w:tcPr>
            <w:tcW w:w="1140" w:type="dxa"/>
            <w:vAlign w:val="bottom"/>
            <w:vMerge w:val="continue"/>
            <w:shd w:val="clear" w:color="auto" w:fill="DEDEDE"/>
          </w:tcPr>
          <w:p>
            <w:pPr>
              <w:spacing w:after="0"/>
              <w:rPr>
                <w:sz w:val="4"/>
                <w:szCs w:val="4"/>
                <w:color w:val="auto"/>
              </w:rPr>
            </w:pPr>
          </w:p>
        </w:tc>
        <w:tc>
          <w:tcPr>
            <w:tcW w:w="120" w:type="dxa"/>
            <w:vAlign w:val="bottom"/>
            <w:shd w:val="clear" w:color="auto" w:fill="DEDED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Borders>
              <w:right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985,806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40" w:type="dxa"/>
            <w:vAlign w:val="bottom"/>
            <w:tcBorders>
              <w:right w:val="single" w:sz="8" w:color="DEDEDE"/>
            </w:tcBorders>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shd w:val="clear" w:color="auto" w:fill="DEDEDE"/>
          </w:tcPr>
          <w:p>
            <w:pPr>
              <w:spacing w:after="0"/>
              <w:rPr>
                <w:sz w:val="19"/>
                <w:szCs w:val="19"/>
                <w:color w:val="auto"/>
              </w:rPr>
            </w:pPr>
          </w:p>
        </w:tc>
        <w:tc>
          <w:tcPr>
            <w:tcW w:w="136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(1,972)</w:t>
            </w:r>
          </w:p>
        </w:tc>
        <w:tc>
          <w:tcPr>
            <w:tcW w:w="16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180" w:type="dxa"/>
            <w:vAlign w:val="bottom"/>
            <w:shd w:val="clear" w:color="auto" w:fill="DEDEDE"/>
          </w:tcPr>
          <w:p>
            <w:pPr>
              <w:spacing w:after="0"/>
              <w:rPr>
                <w:sz w:val="19"/>
                <w:szCs w:val="19"/>
                <w:color w:val="auto"/>
              </w:rPr>
            </w:pPr>
          </w:p>
        </w:tc>
        <w:tc>
          <w:tcPr>
            <w:tcW w:w="32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16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14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983,834</w:t>
            </w:r>
          </w:p>
        </w:tc>
        <w:tc>
          <w:tcPr>
            <w:tcW w:w="200" w:type="dxa"/>
            <w:vAlign w:val="bottom"/>
            <w:tcBorders>
              <w:bottom w:val="single" w:sz="8" w:color="DEDEDE"/>
            </w:tcBorders>
          </w:tcPr>
          <w:p>
            <w:pPr>
              <w:spacing w:after="0"/>
              <w:rPr>
                <w:sz w:val="22"/>
                <w:szCs w:val="22"/>
                <w:color w:val="auto"/>
              </w:rPr>
            </w:pPr>
          </w:p>
        </w:tc>
        <w:tc>
          <w:tcPr>
            <w:tcW w:w="160" w:type="dxa"/>
            <w:vAlign w:val="bottom"/>
            <w:tcBorders>
              <w:bottom w:val="single" w:sz="8" w:color="DEDEDE"/>
            </w:tcBorders>
          </w:tcPr>
          <w:p>
            <w:pPr>
              <w:spacing w:after="0"/>
              <w:rPr>
                <w:sz w:val="22"/>
                <w:szCs w:val="22"/>
                <w:color w:val="auto"/>
              </w:rPr>
            </w:pPr>
          </w:p>
        </w:tc>
        <w:tc>
          <w:tcPr>
            <w:tcW w:w="180" w:type="dxa"/>
            <w:vAlign w:val="bottom"/>
            <w:tcBorders>
              <w:bottom w:val="single" w:sz="8" w:color="DEDEDE"/>
            </w:tcBorders>
          </w:tcPr>
          <w:p>
            <w:pPr>
              <w:spacing w:after="0"/>
              <w:rPr>
                <w:sz w:val="22"/>
                <w:szCs w:val="22"/>
                <w:color w:val="auto"/>
              </w:rPr>
            </w:pPr>
          </w:p>
        </w:tc>
        <w:tc>
          <w:tcPr>
            <w:tcW w:w="1180" w:type="dxa"/>
            <w:vAlign w:val="bottom"/>
            <w:tcBorders>
              <w:bottom w:val="single" w:sz="8" w:color="DEDEDE"/>
            </w:tcBorders>
          </w:tcPr>
          <w:p>
            <w:pPr>
              <w:spacing w:after="0"/>
              <w:rPr>
                <w:sz w:val="22"/>
                <w:szCs w:val="22"/>
                <w:color w:val="auto"/>
              </w:rPr>
            </w:pPr>
          </w:p>
        </w:tc>
        <w:tc>
          <w:tcPr>
            <w:tcW w:w="320" w:type="dxa"/>
            <w:vAlign w:val="bottom"/>
            <w:tcBorders>
              <w:bottom w:val="single" w:sz="8" w:color="DEDEDE"/>
            </w:tcBorders>
          </w:tcPr>
          <w:p>
            <w:pPr>
              <w:spacing w:after="0"/>
              <w:rPr>
                <w:sz w:val="22"/>
                <w:szCs w:val="22"/>
                <w:color w:val="auto"/>
              </w:rPr>
            </w:pPr>
          </w:p>
        </w:tc>
        <w:tc>
          <w:tcPr>
            <w:tcW w:w="180" w:type="dxa"/>
            <w:vAlign w:val="bottom"/>
            <w:tcBorders>
              <w:bottom w:val="single" w:sz="8" w:color="DEDEDE"/>
            </w:tcBorders>
          </w:tcPr>
          <w:p>
            <w:pPr>
              <w:spacing w:after="0"/>
              <w:rPr>
                <w:sz w:val="22"/>
                <w:szCs w:val="22"/>
                <w:color w:val="auto"/>
              </w:rPr>
            </w:pPr>
          </w:p>
        </w:tc>
        <w:tc>
          <w:tcPr>
            <w:tcW w:w="1160" w:type="dxa"/>
            <w:vAlign w:val="bottom"/>
            <w:tcBorders>
              <w:bottom w:val="single" w:sz="8" w:color="DEDEDE"/>
            </w:tcBorders>
          </w:tcPr>
          <w:p>
            <w:pPr>
              <w:spacing w:after="0"/>
              <w:rPr>
                <w:sz w:val="22"/>
                <w:szCs w:val="22"/>
                <w:color w:val="auto"/>
              </w:rPr>
            </w:pPr>
          </w:p>
        </w:tc>
        <w:tc>
          <w:tcPr>
            <w:tcW w:w="200" w:type="dxa"/>
            <w:vAlign w:val="bottom"/>
            <w:tcBorders>
              <w:bottom w:val="single" w:sz="8" w:color="DEDEDE"/>
            </w:tcBorders>
          </w:tcPr>
          <w:p>
            <w:pPr>
              <w:spacing w:after="0"/>
              <w:rPr>
                <w:sz w:val="22"/>
                <w:szCs w:val="22"/>
                <w:color w:val="auto"/>
              </w:rPr>
            </w:pPr>
          </w:p>
        </w:tc>
        <w:tc>
          <w:tcPr>
            <w:tcW w:w="120" w:type="dxa"/>
            <w:vAlign w:val="bottom"/>
            <w:tcBorders>
              <w:bottom w:val="single" w:sz="8" w:color="DEDEDE"/>
            </w:tcBorders>
          </w:tcPr>
          <w:p>
            <w:pPr>
              <w:spacing w:after="0"/>
              <w:rPr>
                <w:sz w:val="22"/>
                <w:szCs w:val="22"/>
                <w:color w:val="auto"/>
              </w:rPr>
            </w:pPr>
          </w:p>
        </w:tc>
        <w:tc>
          <w:tcPr>
            <w:tcW w:w="200" w:type="dxa"/>
            <w:vAlign w:val="bottom"/>
            <w:tcBorders>
              <w:bottom w:val="single" w:sz="8" w:color="DEDEDE"/>
            </w:tcBorders>
          </w:tcPr>
          <w:p>
            <w:pPr>
              <w:spacing w:after="0"/>
              <w:rPr>
                <w:sz w:val="22"/>
                <w:szCs w:val="22"/>
                <w:color w:val="auto"/>
              </w:rPr>
            </w:pPr>
          </w:p>
        </w:tc>
        <w:tc>
          <w:tcPr>
            <w:tcW w:w="1140" w:type="dxa"/>
            <w:vAlign w:val="bottom"/>
            <w:tcBorders>
              <w:bottom w:val="single" w:sz="8" w:color="DEDEDE"/>
            </w:tcBorders>
          </w:tcPr>
          <w:p>
            <w:pPr>
              <w:spacing w:after="0"/>
              <w:rPr>
                <w:sz w:val="22"/>
                <w:szCs w:val="22"/>
                <w:color w:val="auto"/>
              </w:rPr>
            </w:pPr>
          </w:p>
        </w:tc>
        <w:tc>
          <w:tcPr>
            <w:tcW w:w="120" w:type="dxa"/>
            <w:vAlign w:val="bottom"/>
            <w:tcBorders>
              <w:bottom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740" w:type="dxa"/>
            <w:vAlign w:val="bottom"/>
            <w:tcBorders>
              <w:right w:val="single" w:sz="8" w:color="DEDEDE"/>
            </w:tcBorders>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6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6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1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 w:type="dxa"/>
            <w:vAlign w:val="bottom"/>
            <w:vMerge w:val="continue"/>
          </w:tcPr>
          <w:p>
            <w:pPr>
              <w:spacing w:after="0"/>
              <w:rPr>
                <w:sz w:val="24"/>
                <w:szCs w:val="24"/>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1,939,269</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DEDEDE"/>
              <w:right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60" w:type="dxa"/>
            <w:vAlign w:val="bottom"/>
            <w:tcBorders>
              <w:top w:val="single" w:sz="8" w:color="auto"/>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180" w:type="dxa"/>
            <w:vAlign w:val="bottom"/>
            <w:tcBorders>
              <w:top w:val="single" w:sz="8" w:color="DEDEDE"/>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16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14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 w:type="dxa"/>
            <w:vAlign w:val="bottom"/>
            <w:vMerge w:val="continue"/>
          </w:tcPr>
          <w:p>
            <w:pPr>
              <w:spacing w:after="0"/>
              <w:rPr>
                <w:sz w:val="24"/>
                <w:szCs w:val="24"/>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8,553,803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DEDEDE"/>
              <w:right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60" w:type="dxa"/>
            <w:vAlign w:val="bottom"/>
            <w:tcBorders>
              <w:top w:val="single" w:sz="8" w:color="auto"/>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180" w:type="dxa"/>
            <w:vAlign w:val="bottom"/>
            <w:tcBorders>
              <w:top w:val="single" w:sz="8" w:color="DEDEDE"/>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16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14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 w:type="dxa"/>
            <w:vAlign w:val="bottom"/>
            <w:vMerge w:val="continue"/>
          </w:tcPr>
          <w:p>
            <w:pPr>
              <w:spacing w:after="0"/>
              <w:rPr>
                <w:sz w:val="24"/>
                <w:szCs w:val="24"/>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740" w:type="dxa"/>
            <w:vAlign w:val="bottom"/>
            <w:tcBorders>
              <w:top w:val="single" w:sz="8" w:color="DEDEDE"/>
              <w:right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60" w:type="dxa"/>
            <w:vAlign w:val="bottom"/>
            <w:tcBorders>
              <w:top w:val="single" w:sz="8" w:color="auto"/>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180" w:type="dxa"/>
            <w:vAlign w:val="bottom"/>
            <w:tcBorders>
              <w:top w:val="single" w:sz="8" w:color="DEDEDE"/>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16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14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restricted assets</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23,806,836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140970</wp:posOffset>
                </wp:positionV>
                <wp:extent cx="1783080"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11.1pt" to="141.3pt,11.1pt" o:allowincell="f" strokecolor="#000000" strokeweight="0.675pt"/>
            </w:pict>
          </mc:Fallback>
        </mc:AlternateConten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Including cash and cash equivalents of $7,657,958 for the life insurance and mortgage segments.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surplus note receivable in the amount of $4,000,000 at December 31, 2025 and 2024, from Security National Life, was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2240" w:h="15840" w:orient="portrait"/>
          <w:cols w:equalWidth="0" w:num="1">
            <w:col w:w="11260"/>
          </w:cols>
          <w:pgMar w:left="480" w:top="687" w:right="500" w:bottom="0" w:gutter="0" w:footer="0" w:header="0"/>
        </w:sectPr>
      </w:pPr>
    </w:p>
    <w:bookmarkStart w:id="86" w:name="page87"/>
    <w:bookmarkEnd w:id="86"/>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2" w:right="8440" w:hanging="2"/>
        <w:spacing w:after="0" w:line="500" w:lineRule="auto"/>
        <w:tabs>
          <w:tab w:leader="none" w:pos="65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Assets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Fixed Maturity Securities</w:t>
      </w:r>
    </w:p>
    <w:p>
      <w:pPr>
        <w:spacing w:after="0" w:line="1"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December 31, 2025, and 2024. The unrealized losses were primarily related to interest rate fluctuations. The tables set forth unrealized losses by duration with the fair value of the related fixed maturity securities.</w:t>
      </w:r>
    </w:p>
    <w:p>
      <w:pPr>
        <w:sectPr>
          <w:pgSz w:w="12240" w:h="15840" w:orient="portrait"/>
          <w:cols w:equalWidth="0" w:num="1">
            <w:col w:w="11242"/>
          </w:cols>
          <w:pgMar w:left="498" w:top="687"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At December 31, 2025</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Obligations of states and political subdivisions</w:t>
      </w:r>
    </w:p>
    <w:p>
      <w:pPr>
        <w:spacing w:after="0" w:line="2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p>
      <w:pPr>
        <w:spacing w:after="0" w:line="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Total unrealized losses</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Unrealized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Losses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for Less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rPr>
              <w:t>for More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than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than</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Twelve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Fair</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Twelve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w:t>
            </w:r>
          </w:p>
        </w:tc>
        <w:tc>
          <w:tcPr>
            <w:tcW w:w="142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Unrealized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Fair</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7"/>
              </w:rPr>
              <w:t>Value</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Loss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420"/>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103,504</w:t>
            </w:r>
          </w:p>
        </w:tc>
        <w:tc>
          <w:tcPr>
            <w:tcW w:w="4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103,504</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51,071</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154,575</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-2997835</wp:posOffset>
                </wp:positionH>
                <wp:positionV relativeFrom="paragraph">
                  <wp:posOffset>-608330</wp:posOffset>
                </wp:positionV>
                <wp:extent cx="7131685" cy="14605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46050"/>
                        </a:xfrm>
                        <a:prstGeom prst="rect">
                          <a:avLst/>
                        </a:prstGeom>
                        <a:solidFill>
                          <a:srgbClr val="DEDEDE"/>
                        </a:solidFill>
                      </wps:spPr>
                      <wps:bodyPr/>
                    </wps:wsp>
                  </a:graphicData>
                </a:graphic>
              </wp:anchor>
            </w:drawing>
          </mc:Choice>
          <mc:Fallback>
            <w:pict>
              <v:rect id="Shape 165" o:spid="_x0000_s1190" style="position:absolute;margin-left:-236.0499pt;margin-top:-47.8999pt;width:561.5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-2997835</wp:posOffset>
                </wp:positionH>
                <wp:positionV relativeFrom="paragraph">
                  <wp:posOffset>-325120</wp:posOffset>
                </wp:positionV>
                <wp:extent cx="7131685" cy="145415"/>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45415"/>
                        </a:xfrm>
                        <a:prstGeom prst="rect">
                          <a:avLst/>
                        </a:prstGeom>
                        <a:solidFill>
                          <a:srgbClr val="DEDEDE"/>
                        </a:solidFill>
                      </wps:spPr>
                      <wps:bodyPr/>
                    </wps:wsp>
                  </a:graphicData>
                </a:graphic>
              </wp:anchor>
            </w:drawing>
          </mc:Choice>
          <mc:Fallback>
            <w:pict>
              <v:rect id="Shape 166" o:spid="_x0000_s1191" style="position:absolute;margin-left:-236.0499pt;margin-top:-25.5999pt;width:561.5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20" w:lineRule="exact"/>
        <w:rPr>
          <w:sz w:val="20"/>
          <w:szCs w:val="20"/>
          <w:color w:val="auto"/>
        </w:rPr>
      </w:pPr>
    </w:p>
    <w:p>
      <w:pPr>
        <w:sectPr>
          <w:pgSz w:w="12240" w:h="15840" w:orient="portrait"/>
          <w:cols w:equalWidth="0" w:num="2">
            <w:col w:w="4002" w:space="720"/>
            <w:col w:w="6520"/>
          </w:cols>
          <w:pgMar w:left="498" w:top="687" w:right="500" w:bottom="0" w:gutter="0" w:footer="0" w:header="0"/>
          <w:type w:val="continuous"/>
        </w:sectPr>
      </w:pPr>
    </w:p>
    <w:tbl>
      <w:tblPr>
        <w:tblLayout w:type="fixed"/>
        <w:tblInd w:w="2" w:type="dxa"/>
        <w:tblCellMar>
          <w:top w:w="0" w:type="dxa"/>
          <w:left w:w="0" w:type="dxa"/>
          <w:bottom w:w="0" w:type="dxa"/>
          <w:right w:w="0" w:type="dxa"/>
        </w:tblCellMar>
      </w:tblPr>
      <w:tr>
        <w:trPr>
          <w:trHeight w:val="196"/>
        </w:trPr>
        <w:tc>
          <w:tcPr>
            <w:tcW w:w="454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580" w:type="dxa"/>
            <w:vAlign w:val="bottom"/>
            <w:shd w:val="clear" w:color="auto" w:fill="DEDEDE"/>
          </w:tcPr>
          <w:p>
            <w:pPr>
              <w:spacing w:after="0"/>
              <w:rPr>
                <w:sz w:val="17"/>
                <w:szCs w:val="17"/>
                <w:color w:val="auto"/>
              </w:rPr>
            </w:pPr>
          </w:p>
        </w:tc>
        <w:tc>
          <w:tcPr>
            <w:tcW w:w="3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64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54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64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54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7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At December 31, 2024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7"/>
        </w:trPr>
        <w:tc>
          <w:tcPr>
            <w:tcW w:w="4540" w:type="dxa"/>
            <w:vAlign w:val="bottom"/>
            <w:shd w:val="clear" w:color="auto" w:fill="DEDEDE"/>
          </w:tcPr>
          <w:p>
            <w:pPr>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18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580" w:type="dxa"/>
            <w:vAlign w:val="bottom"/>
            <w:shd w:val="clear" w:color="auto" w:fill="DEDEDE"/>
          </w:tcPr>
          <w:p>
            <w:pPr>
              <w:spacing w:after="0"/>
              <w:rPr>
                <w:sz w:val="17"/>
                <w:szCs w:val="17"/>
                <w:color w:val="auto"/>
              </w:rPr>
            </w:pPr>
          </w:p>
        </w:tc>
        <w:tc>
          <w:tcPr>
            <w:tcW w:w="3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64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54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64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54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7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r>
      <w:tr>
        <w:trPr>
          <w:trHeight w:val="235"/>
        </w:trPr>
        <w:tc>
          <w:tcPr>
            <w:tcW w:w="45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agencies</w:t>
            </w:r>
          </w:p>
        </w:tc>
        <w:tc>
          <w:tcPr>
            <w:tcW w:w="420" w:type="dxa"/>
            <w:vAlign w:val="bottom"/>
            <w:gridSpan w:val="2"/>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4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558,707</w:t>
            </w:r>
          </w:p>
        </w:tc>
        <w:tc>
          <w:tcPr>
            <w:tcW w:w="560" w:type="dxa"/>
            <w:vAlign w:val="bottom"/>
            <w:gridSpan w:val="2"/>
            <w:shd w:val="clear" w:color="auto" w:fill="DEDEDE"/>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DEDEDE"/>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320" w:type="dxa"/>
            <w:vAlign w:val="bottom"/>
            <w:shd w:val="clear" w:color="auto" w:fill="DEDEDE"/>
          </w:tcPr>
          <w:p>
            <w:pPr>
              <w:spacing w:after="0"/>
              <w:rPr>
                <w:sz w:val="20"/>
                <w:szCs w:val="20"/>
                <w:color w:val="auto"/>
              </w:rPr>
            </w:pPr>
          </w:p>
        </w:tc>
        <w:tc>
          <w:tcPr>
            <w:tcW w:w="1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558,707</w:t>
            </w:r>
          </w:p>
        </w:tc>
        <w:tc>
          <w:tcPr>
            <w:tcW w:w="120" w:type="dxa"/>
            <w:vAlign w:val="bottom"/>
            <w:shd w:val="clear" w:color="auto" w:fill="DEDEDE"/>
          </w:tcPr>
          <w:p>
            <w:pPr>
              <w:spacing w:after="0"/>
              <w:rPr>
                <w:sz w:val="20"/>
                <w:szCs w:val="20"/>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237,636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129,358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366,994</w:t>
            </w:r>
          </w:p>
        </w:tc>
        <w:tc>
          <w:tcPr>
            <w:tcW w:w="120" w:type="dxa"/>
            <w:vAlign w:val="bottom"/>
          </w:tcPr>
          <w:p>
            <w:pPr>
              <w:spacing w:after="0"/>
              <w:rPr>
                <w:sz w:val="18"/>
                <w:szCs w:val="18"/>
                <w:color w:val="auto"/>
              </w:rPr>
            </w:pPr>
          </w:p>
        </w:tc>
      </w:tr>
      <w:tr>
        <w:trPr>
          <w:trHeight w:val="230"/>
        </w:trPr>
        <w:tc>
          <w:tcPr>
            <w:tcW w:w="45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Corporate securities including public utilities</w:t>
            </w:r>
          </w:p>
        </w:tc>
        <w:tc>
          <w:tcPr>
            <w:tcW w:w="180" w:type="dxa"/>
            <w:vAlign w:val="bottom"/>
            <w:shd w:val="clear" w:color="auto" w:fill="DEDEDE"/>
          </w:tcPr>
          <w:p>
            <w:pPr>
              <w:spacing w:after="0"/>
              <w:rPr>
                <w:sz w:val="19"/>
                <w:szCs w:val="19"/>
                <w:color w:val="auto"/>
              </w:rPr>
            </w:pPr>
          </w:p>
        </w:tc>
        <w:tc>
          <w:tcPr>
            <w:tcW w:w="240" w:type="dxa"/>
            <w:vAlign w:val="bottom"/>
            <w:tcBorders>
              <w:bottom w:val="single" w:sz="8" w:color="auto"/>
            </w:tcBorders>
            <w:shd w:val="clear" w:color="auto" w:fill="DEDEDE"/>
          </w:tcPr>
          <w:p>
            <w:pPr>
              <w:spacing w:after="0"/>
              <w:rPr>
                <w:sz w:val="19"/>
                <w:szCs w:val="19"/>
                <w:color w:val="auto"/>
              </w:rPr>
            </w:pPr>
          </w:p>
        </w:tc>
        <w:tc>
          <w:tcPr>
            <w:tcW w:w="5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340" w:type="dxa"/>
            <w:vAlign w:val="bottom"/>
            <w:shd w:val="clear" w:color="auto" w:fill="DEDEDE"/>
          </w:tcPr>
          <w:p>
            <w:pPr>
              <w:spacing w:after="0"/>
              <w:rPr>
                <w:sz w:val="19"/>
                <w:szCs w:val="19"/>
                <w:color w:val="auto"/>
              </w:rPr>
            </w:pPr>
          </w:p>
        </w:tc>
        <w:tc>
          <w:tcPr>
            <w:tcW w:w="140" w:type="dxa"/>
            <w:vAlign w:val="bottom"/>
            <w:tcBorders>
              <w:bottom w:val="single" w:sz="8" w:color="auto"/>
            </w:tcBorders>
            <w:shd w:val="clear" w:color="auto" w:fill="DEDEDE"/>
          </w:tcPr>
          <w:p>
            <w:pPr>
              <w:spacing w:after="0"/>
              <w:rPr>
                <w:sz w:val="19"/>
                <w:szCs w:val="19"/>
                <w:color w:val="auto"/>
              </w:rPr>
            </w:pPr>
          </w:p>
        </w:tc>
        <w:tc>
          <w:tcPr>
            <w:tcW w:w="6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51,685</w:t>
            </w:r>
          </w:p>
        </w:tc>
        <w:tc>
          <w:tcPr>
            <w:tcW w:w="320" w:type="dxa"/>
            <w:vAlign w:val="bottom"/>
            <w:shd w:val="clear" w:color="auto" w:fill="DEDEDE"/>
          </w:tcPr>
          <w:p>
            <w:pPr>
              <w:spacing w:after="0"/>
              <w:rPr>
                <w:sz w:val="19"/>
                <w:szCs w:val="19"/>
                <w:color w:val="auto"/>
              </w:rPr>
            </w:pPr>
          </w:p>
        </w:tc>
        <w:tc>
          <w:tcPr>
            <w:tcW w:w="240" w:type="dxa"/>
            <w:vAlign w:val="bottom"/>
            <w:tcBorders>
              <w:bottom w:val="single" w:sz="8" w:color="auto"/>
            </w:tcBorders>
            <w:shd w:val="clear" w:color="auto" w:fill="DEDEDE"/>
          </w:tcPr>
          <w:p>
            <w:pPr>
              <w:spacing w:after="0"/>
              <w:rPr>
                <w:sz w:val="19"/>
                <w:szCs w:val="19"/>
                <w:color w:val="auto"/>
              </w:rPr>
            </w:pPr>
          </w:p>
        </w:tc>
        <w:tc>
          <w:tcPr>
            <w:tcW w:w="5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20" w:type="dxa"/>
            <w:vAlign w:val="bottom"/>
            <w:shd w:val="clear" w:color="auto" w:fill="DEDEDE"/>
          </w:tcPr>
          <w:p>
            <w:pPr>
              <w:spacing w:after="0"/>
              <w:rPr>
                <w:sz w:val="19"/>
                <w:szCs w:val="19"/>
                <w:color w:val="auto"/>
              </w:rPr>
            </w:pPr>
          </w:p>
        </w:tc>
        <w:tc>
          <w:tcPr>
            <w:tcW w:w="140" w:type="dxa"/>
            <w:vAlign w:val="bottom"/>
            <w:tcBorders>
              <w:bottom w:val="single" w:sz="8" w:color="auto"/>
            </w:tcBorders>
            <w:shd w:val="clear" w:color="auto" w:fill="DEDEDE"/>
          </w:tcPr>
          <w:p>
            <w:pPr>
              <w:spacing w:after="0"/>
              <w:rPr>
                <w:sz w:val="19"/>
                <w:szCs w:val="19"/>
                <w:color w:val="auto"/>
              </w:rPr>
            </w:pPr>
          </w:p>
        </w:tc>
        <w:tc>
          <w:tcPr>
            <w:tcW w:w="6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65,704</w:t>
            </w:r>
          </w:p>
        </w:tc>
        <w:tc>
          <w:tcPr>
            <w:tcW w:w="320" w:type="dxa"/>
            <w:vAlign w:val="bottom"/>
            <w:shd w:val="clear" w:color="auto" w:fill="DEDEDE"/>
          </w:tcPr>
          <w:p>
            <w:pPr>
              <w:spacing w:after="0"/>
              <w:rPr>
                <w:sz w:val="19"/>
                <w:szCs w:val="19"/>
                <w:color w:val="auto"/>
              </w:rPr>
            </w:pPr>
          </w:p>
        </w:tc>
        <w:tc>
          <w:tcPr>
            <w:tcW w:w="240" w:type="dxa"/>
            <w:vAlign w:val="bottom"/>
            <w:tcBorders>
              <w:bottom w:val="single" w:sz="8" w:color="auto"/>
            </w:tcBorders>
            <w:shd w:val="clear" w:color="auto" w:fill="DEDEDE"/>
          </w:tcPr>
          <w:p>
            <w:pPr>
              <w:spacing w:after="0"/>
              <w:rPr>
                <w:sz w:val="19"/>
                <w:szCs w:val="19"/>
                <w:color w:val="auto"/>
              </w:rPr>
            </w:pPr>
          </w:p>
        </w:tc>
        <w:tc>
          <w:tcPr>
            <w:tcW w:w="5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32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80" w:type="dxa"/>
            <w:vAlign w:val="bottom"/>
            <w:tcBorders>
              <w:bottom w:val="single" w:sz="8" w:color="auto"/>
            </w:tcBorders>
            <w:shd w:val="clear" w:color="auto" w:fill="DEDEDE"/>
          </w:tcPr>
          <w:p>
            <w:pPr>
              <w:spacing w:after="0"/>
              <w:rPr>
                <w:sz w:val="19"/>
                <w:szCs w:val="19"/>
                <w:color w:val="auto"/>
              </w:rPr>
            </w:pPr>
          </w:p>
        </w:tc>
        <w:tc>
          <w:tcPr>
            <w:tcW w:w="7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117,389</w:t>
            </w:r>
          </w:p>
        </w:tc>
        <w:tc>
          <w:tcPr>
            <w:tcW w:w="120" w:type="dxa"/>
            <w:vAlign w:val="bottom"/>
            <w:shd w:val="clear" w:color="auto" w:fill="DEDEDE"/>
          </w:tcPr>
          <w:p>
            <w:pPr>
              <w:spacing w:after="0"/>
              <w:rPr>
                <w:sz w:val="19"/>
                <w:szCs w:val="19"/>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848,028</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195,062</w:t>
            </w:r>
          </w:p>
        </w:tc>
        <w:tc>
          <w:tcPr>
            <w:tcW w:w="32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1,043,090</w:t>
            </w:r>
          </w:p>
        </w:tc>
        <w:tc>
          <w:tcPr>
            <w:tcW w:w="12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Relevant holdings were comprised of two securities with fair values aggregating 99.4% of aggregate amortized cost as of December 31, 2025 compared to 15 securities with fair values aggregating of 99.2% of aggregate amortized cost at December 31, 2024. No credit losses have been recognized for 2025, and 2024, since the unrealized losses are primarily a result of increases in interest rates. See Note 2 for additional information regarding the Company’s evaluation of the allowance for credit losses for fixed maturity securities available for sale.</w:t>
      </w:r>
    </w:p>
    <w:p>
      <w:pPr>
        <w:spacing w:after="0" w:line="179"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December 31, 2025, by contractual maturity. Expected maturities may differ from contractual maturities because certain borrowers may have the right to call or prepay obligations with or without call or prepayment penalties.</w:t>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Amortized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5"/>
        </w:trPr>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488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180" w:type="dxa"/>
            <w:vAlign w:val="bottom"/>
            <w:tcBorders>
              <w:top w:val="single" w:sz="8" w:color="auto"/>
            </w:tcBorders>
            <w:shd w:val="clear" w:color="auto" w:fill="DEDED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945,818</w:t>
            </w:r>
          </w:p>
        </w:tc>
        <w:tc>
          <w:tcPr>
            <w:tcW w:w="22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947,563</w:t>
            </w:r>
          </w:p>
        </w:tc>
        <w:tc>
          <w:tcPr>
            <w:tcW w:w="80" w:type="dxa"/>
            <w:vAlign w:val="bottom"/>
            <w:tcBorders>
              <w:top w:val="single" w:sz="8" w:color="DEDEDE"/>
            </w:tcBorders>
            <w:shd w:val="clear" w:color="auto" w:fill="DEDEDE"/>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3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88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230,541</w:t>
            </w:r>
          </w:p>
        </w:tc>
        <w:tc>
          <w:tcPr>
            <w:tcW w:w="220" w:type="dxa"/>
            <w:vAlign w:val="bottom"/>
            <w:tcBorders>
              <w:bottom w:val="single" w:sz="8" w:color="DEDEDE"/>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229,688</w:t>
            </w:r>
          </w:p>
        </w:tc>
        <w:tc>
          <w:tcPr>
            <w:tcW w:w="80" w:type="dxa"/>
            <w:vAlign w:val="bottom"/>
            <w:tcBorders>
              <w:bottom w:val="single" w:sz="8" w:color="DEDEDE"/>
            </w:tcBorders>
          </w:tcPr>
          <w:p>
            <w:pPr>
              <w:spacing w:after="0"/>
              <w:rPr>
                <w:sz w:val="19"/>
                <w:szCs w:val="19"/>
                <w:color w:val="auto"/>
              </w:rPr>
            </w:pPr>
          </w:p>
        </w:tc>
      </w:tr>
      <w:tr>
        <w:trPr>
          <w:trHeight w:val="223"/>
        </w:trPr>
        <w:tc>
          <w:tcPr>
            <w:tcW w:w="4880" w:type="dxa"/>
            <w:vAlign w:val="bottom"/>
            <w:tcBorders>
              <w:bottom w:val="single" w:sz="8" w:color="DEDEDE"/>
            </w:tcBorders>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DEDED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1,176,359</w:t>
            </w:r>
          </w:p>
        </w:tc>
        <w:tc>
          <w:tcPr>
            <w:tcW w:w="220" w:type="dxa"/>
            <w:vAlign w:val="bottom"/>
            <w:tcBorders>
              <w:bottom w:val="single" w:sz="8" w:color="DEDEDE"/>
            </w:tcBorders>
            <w:shd w:val="clear" w:color="auto" w:fill="DEDEDE"/>
          </w:tcPr>
          <w:p>
            <w:pPr>
              <w:spacing w:after="0"/>
              <w:rPr>
                <w:sz w:val="19"/>
                <w:szCs w:val="19"/>
                <w:color w:val="auto"/>
              </w:rPr>
            </w:pPr>
          </w:p>
        </w:tc>
        <w:tc>
          <w:tcPr>
            <w:tcW w:w="1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1,177,251</w:t>
            </w:r>
          </w:p>
        </w:tc>
        <w:tc>
          <w:tcPr>
            <w:tcW w:w="80" w:type="dxa"/>
            <w:vAlign w:val="bottom"/>
            <w:tcBorders>
              <w:bottom w:val="single" w:sz="8" w:color="DEDEDE"/>
            </w:tcBorders>
            <w:shd w:val="clear" w:color="auto" w:fill="DEDEDE"/>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See Notes 1, 2 and 21 for additional information regarding restricted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59</w:t>
      </w:r>
    </w:p>
    <w:p>
      <w:pPr>
        <w:sectPr>
          <w:pgSz w:w="12240" w:h="15840" w:orient="portrait"/>
          <w:cols w:equalWidth="0" w:num="1">
            <w:col w:w="11242"/>
          </w:cols>
          <w:pgMar w:left="498" w:top="687" w:right="500" w:bottom="0" w:gutter="0" w:footer="0" w:header="0"/>
          <w:type w:val="continuous"/>
        </w:sectPr>
      </w:pPr>
    </w:p>
    <w:bookmarkStart w:id="87" w:name="page88"/>
    <w:bookmarkEnd w:id="87"/>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w:t>
      </w:r>
    </w:p>
    <w:p>
      <w:pPr>
        <w:spacing w:after="0" w:line="225"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State law requires the Company to pay into endowment care trusts a portion of the proceeds from the sale of certain cemetery property interment rights for cemeteries that have established an endowment care trust. These endowment care trusts are defined as Variable Interest Entities pursuant to GAAP. The Company is the primary beneficiary of these trusts, as it absorbs both the losses and any expenses associated with the trusts. The Company has consolidated cemetery endowment care trust investments with a corresponding amount recorded as Cemetery Perpetual Care Obligation in the accompanying consolidated balance sheets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components of cemetery perpetual care investments and obligation as of December 31, 2025 are as follows:</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Gross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Unrealized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Estimated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u w:val="single" w:color="auto"/>
                <w:color w:val="auto"/>
              </w:rPr>
              <w:t>December 31, 2025:</w:t>
            </w:r>
          </w:p>
        </w:tc>
        <w:tc>
          <w:tcPr>
            <w:tcW w:w="180" w:type="dxa"/>
            <w:vAlign w:val="bottom"/>
            <w:tcBorders>
              <w:top w:val="single" w:sz="8" w:color="DEDEDE"/>
            </w:tcBorders>
            <w:shd w:val="clear" w:color="auto" w:fill="DEDEDE"/>
          </w:tcPr>
          <w:p>
            <w:pPr>
              <w:spacing w:after="0"/>
              <w:rPr>
                <w:sz w:val="18"/>
                <w:szCs w:val="18"/>
                <w:color w:val="auto"/>
              </w:rPr>
            </w:pPr>
          </w:p>
        </w:tc>
        <w:tc>
          <w:tcPr>
            <w:tcW w:w="200" w:type="dxa"/>
            <w:vAlign w:val="bottom"/>
            <w:tcBorders>
              <w:top w:val="single" w:sz="8" w:color="auto"/>
            </w:tcBorders>
            <w:shd w:val="clear" w:color="auto" w:fill="DEDEDE"/>
          </w:tcPr>
          <w:p>
            <w:pPr>
              <w:spacing w:after="0"/>
              <w:rPr>
                <w:sz w:val="18"/>
                <w:szCs w:val="18"/>
                <w:color w:val="auto"/>
              </w:rPr>
            </w:pPr>
          </w:p>
        </w:tc>
        <w:tc>
          <w:tcPr>
            <w:tcW w:w="1160" w:type="dxa"/>
            <w:vAlign w:val="bottom"/>
            <w:tcBorders>
              <w:top w:val="single" w:sz="8" w:color="auto"/>
            </w:tcBorders>
            <w:shd w:val="clear" w:color="auto" w:fill="DEDEDE"/>
          </w:tcPr>
          <w:p>
            <w:pPr>
              <w:spacing w:after="0"/>
              <w:rPr>
                <w:sz w:val="18"/>
                <w:szCs w:val="18"/>
                <w:color w:val="auto"/>
              </w:rPr>
            </w:pPr>
          </w:p>
        </w:tc>
        <w:tc>
          <w:tcPr>
            <w:tcW w:w="22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spacing w:after="0"/>
              <w:rPr>
                <w:sz w:val="18"/>
                <w:szCs w:val="18"/>
                <w:color w:val="auto"/>
              </w:rPr>
            </w:pPr>
          </w:p>
        </w:tc>
        <w:tc>
          <w:tcPr>
            <w:tcW w:w="118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spacing w:after="0"/>
              <w:rPr>
                <w:sz w:val="18"/>
                <w:szCs w:val="18"/>
                <w:color w:val="auto"/>
              </w:rPr>
            </w:pPr>
          </w:p>
        </w:tc>
        <w:tc>
          <w:tcPr>
            <w:tcW w:w="116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200" w:type="dxa"/>
            <w:vAlign w:val="bottom"/>
            <w:tcBorders>
              <w:top w:val="single" w:sz="8" w:color="auto"/>
            </w:tcBorders>
            <w:shd w:val="clear" w:color="auto" w:fill="DEDEDE"/>
          </w:tcPr>
          <w:p>
            <w:pPr>
              <w:spacing w:after="0"/>
              <w:rPr>
                <w:sz w:val="18"/>
                <w:szCs w:val="18"/>
                <w:color w:val="auto"/>
              </w:rPr>
            </w:pPr>
          </w:p>
        </w:tc>
        <w:tc>
          <w:tcPr>
            <w:tcW w:w="114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20" w:type="dxa"/>
            <w:vAlign w:val="bottom"/>
            <w:shd w:val="clear" w:color="auto" w:fill="DEDEDE"/>
          </w:tcPr>
          <w:p>
            <w:pPr>
              <w:ind w:left="160"/>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8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160" w:type="dxa"/>
            <w:vAlign w:val="bottom"/>
            <w:shd w:val="clear" w:color="auto" w:fill="DEDEDE"/>
          </w:tcPr>
          <w:p>
            <w:pPr>
              <w:spacing w:after="0"/>
              <w:rPr>
                <w:sz w:val="17"/>
                <w:szCs w:val="17"/>
                <w:color w:val="auto"/>
              </w:rPr>
            </w:pPr>
          </w:p>
        </w:tc>
        <w:tc>
          <w:tcPr>
            <w:tcW w:w="2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6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1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2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Government agencies</w:t>
            </w:r>
          </w:p>
        </w:tc>
        <w:tc>
          <w:tcPr>
            <w:tcW w:w="380" w:type="dxa"/>
            <w:vAlign w:val="bottom"/>
            <w:gridSpan w:val="2"/>
            <w:shd w:val="clear" w:color="auto" w:fill="DEDEDE"/>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152,738</w:t>
            </w:r>
          </w:p>
        </w:tc>
        <w:tc>
          <w:tcPr>
            <w:tcW w:w="220" w:type="dxa"/>
            <w:vAlign w:val="bottom"/>
            <w:shd w:val="clear" w:color="auto" w:fill="DEDEDE"/>
          </w:tcPr>
          <w:p>
            <w:pPr>
              <w:spacing w:after="0"/>
              <w:rPr>
                <w:sz w:val="20"/>
                <w:szCs w:val="20"/>
                <w:color w:val="auto"/>
              </w:rPr>
            </w:pPr>
          </w:p>
        </w:tc>
        <w:tc>
          <w:tcPr>
            <w:tcW w:w="3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5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DEDEDE"/>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153,580</w:t>
            </w:r>
          </w:p>
        </w:tc>
        <w:tc>
          <w:tcPr>
            <w:tcW w:w="1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shd w:val="clear" w:color="auto" w:fill="DEDEDE"/>
          </w:tcPr>
          <w:p>
            <w:pPr>
              <w:ind w:left="340"/>
              <w:spacing w:after="0" w:line="189" w:lineRule="exact"/>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DEDEDE"/>
          </w:tcPr>
          <w:p>
            <w:pPr>
              <w:spacing w:after="0" w:line="20" w:lineRule="exact"/>
              <w:rPr>
                <w:sz w:val="1"/>
                <w:szCs w:val="1"/>
                <w:color w:val="auto"/>
              </w:rPr>
            </w:pPr>
          </w:p>
        </w:tc>
        <w:tc>
          <w:tcPr>
            <w:tcW w:w="140" w:type="dxa"/>
            <w:vAlign w:val="bottom"/>
            <w:shd w:val="clear" w:color="auto" w:fill="DEDED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DEDED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DEDEDE"/>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DED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520" w:type="dxa"/>
            <w:vAlign w:val="bottom"/>
            <w:vMerge w:val="continue"/>
            <w:shd w:val="clear" w:color="auto" w:fill="DEDEDE"/>
          </w:tcPr>
          <w:p>
            <w:pPr>
              <w:spacing w:after="0"/>
              <w:rPr>
                <w:sz w:val="14"/>
                <w:szCs w:val="14"/>
                <w:color w:val="auto"/>
              </w:rPr>
            </w:pPr>
          </w:p>
        </w:tc>
        <w:tc>
          <w:tcPr>
            <w:tcW w:w="180" w:type="dxa"/>
            <w:vAlign w:val="bottom"/>
            <w:vMerge w:val="restart"/>
            <w:shd w:val="clear" w:color="auto" w:fill="DEDEDE"/>
          </w:tcPr>
          <w:p>
            <w:pPr>
              <w:spacing w:after="0"/>
              <w:rPr>
                <w:sz w:val="14"/>
                <w:szCs w:val="14"/>
                <w:color w:val="auto"/>
              </w:rPr>
            </w:pPr>
          </w:p>
        </w:tc>
        <w:tc>
          <w:tcPr>
            <w:tcW w:w="200" w:type="dxa"/>
            <w:vAlign w:val="bottom"/>
            <w:vMerge w:val="restart"/>
            <w:shd w:val="clear" w:color="auto" w:fill="DEDEDE"/>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274,161</w:t>
            </w:r>
          </w:p>
        </w:tc>
        <w:tc>
          <w:tcPr>
            <w:tcW w:w="220" w:type="dxa"/>
            <w:vAlign w:val="bottom"/>
            <w:shd w:val="clear" w:color="auto" w:fill="DEDEDE"/>
          </w:tcPr>
          <w:p>
            <w:pPr>
              <w:spacing w:after="0"/>
              <w:rPr>
                <w:sz w:val="14"/>
                <w:szCs w:val="14"/>
                <w:color w:val="auto"/>
              </w:rPr>
            </w:pPr>
          </w:p>
        </w:tc>
        <w:tc>
          <w:tcPr>
            <w:tcW w:w="320" w:type="dxa"/>
            <w:vAlign w:val="bottom"/>
            <w:gridSpan w:val="2"/>
            <w:vMerge w:val="restart"/>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500" w:type="dxa"/>
            <w:vAlign w:val="bottom"/>
            <w:gridSpan w:val="2"/>
            <w:vMerge w:val="restart"/>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200" w:type="dxa"/>
            <w:vAlign w:val="bottom"/>
            <w:vMerge w:val="continue"/>
            <w:shd w:val="clear" w:color="auto" w:fill="DEDEDE"/>
          </w:tcPr>
          <w:p>
            <w:pPr>
              <w:spacing w:after="0"/>
              <w:rPr>
                <w:sz w:val="14"/>
                <w:szCs w:val="14"/>
                <w:color w:val="auto"/>
              </w:rPr>
            </w:pPr>
          </w:p>
        </w:tc>
        <w:tc>
          <w:tcPr>
            <w:tcW w:w="320" w:type="dxa"/>
            <w:vAlign w:val="bottom"/>
            <w:gridSpan w:val="2"/>
            <w:vMerge w:val="restart"/>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272,012</w:t>
            </w:r>
          </w:p>
        </w:tc>
        <w:tc>
          <w:tcPr>
            <w:tcW w:w="120" w:type="dxa"/>
            <w:vAlign w:val="bottom"/>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520" w:type="dxa"/>
            <w:vAlign w:val="bottom"/>
            <w:shd w:val="clear" w:color="auto" w:fill="DEDEDE"/>
          </w:tcPr>
          <w:p>
            <w:pPr>
              <w:spacing w:after="0"/>
              <w:rPr>
                <w:sz w:val="4"/>
                <w:szCs w:val="4"/>
                <w:color w:val="auto"/>
              </w:rPr>
            </w:pPr>
          </w:p>
        </w:tc>
        <w:tc>
          <w:tcPr>
            <w:tcW w:w="180" w:type="dxa"/>
            <w:vAlign w:val="bottom"/>
            <w:vMerge w:val="continue"/>
            <w:shd w:val="clear" w:color="auto" w:fill="DEDEDE"/>
          </w:tcPr>
          <w:p>
            <w:pPr>
              <w:spacing w:after="0"/>
              <w:rPr>
                <w:sz w:val="4"/>
                <w:szCs w:val="4"/>
                <w:color w:val="auto"/>
              </w:rPr>
            </w:pPr>
          </w:p>
        </w:tc>
        <w:tc>
          <w:tcPr>
            <w:tcW w:w="200" w:type="dxa"/>
            <w:vAlign w:val="bottom"/>
            <w:vMerge w:val="continue"/>
            <w:shd w:val="clear" w:color="auto" w:fill="DEDEDE"/>
          </w:tcPr>
          <w:p>
            <w:pPr>
              <w:spacing w:after="0"/>
              <w:rPr>
                <w:sz w:val="4"/>
                <w:szCs w:val="4"/>
                <w:color w:val="auto"/>
              </w:rPr>
            </w:pPr>
          </w:p>
        </w:tc>
        <w:tc>
          <w:tcPr>
            <w:tcW w:w="1160" w:type="dxa"/>
            <w:vAlign w:val="bottom"/>
            <w:vMerge w:val="continue"/>
            <w:shd w:val="clear" w:color="auto" w:fill="DEDEDE"/>
          </w:tcPr>
          <w:p>
            <w:pPr>
              <w:spacing w:after="0"/>
              <w:rPr>
                <w:sz w:val="4"/>
                <w:szCs w:val="4"/>
                <w:color w:val="auto"/>
              </w:rPr>
            </w:pPr>
          </w:p>
        </w:tc>
        <w:tc>
          <w:tcPr>
            <w:tcW w:w="220" w:type="dxa"/>
            <w:vAlign w:val="bottom"/>
            <w:shd w:val="clear" w:color="auto" w:fill="DEDEDE"/>
          </w:tcPr>
          <w:p>
            <w:pPr>
              <w:spacing w:after="0"/>
              <w:rPr>
                <w:sz w:val="4"/>
                <w:szCs w:val="4"/>
                <w:color w:val="auto"/>
              </w:rPr>
            </w:pPr>
          </w:p>
        </w:tc>
        <w:tc>
          <w:tcPr>
            <w:tcW w:w="320" w:type="dxa"/>
            <w:vAlign w:val="bottom"/>
            <w:gridSpan w:val="2"/>
            <w:vMerge w:val="continue"/>
            <w:shd w:val="clear" w:color="auto" w:fill="DEDEDE"/>
          </w:tcPr>
          <w:p>
            <w:pPr>
              <w:spacing w:after="0"/>
              <w:rPr>
                <w:sz w:val="4"/>
                <w:szCs w:val="4"/>
                <w:color w:val="auto"/>
              </w:rPr>
            </w:pPr>
          </w:p>
        </w:tc>
        <w:tc>
          <w:tcPr>
            <w:tcW w:w="1180" w:type="dxa"/>
            <w:vAlign w:val="bottom"/>
            <w:vMerge w:val="continue"/>
            <w:shd w:val="clear" w:color="auto" w:fill="DEDEDE"/>
          </w:tcPr>
          <w:p>
            <w:pPr>
              <w:spacing w:after="0"/>
              <w:rPr>
                <w:sz w:val="4"/>
                <w:szCs w:val="4"/>
                <w:color w:val="auto"/>
              </w:rPr>
            </w:pPr>
          </w:p>
        </w:tc>
        <w:tc>
          <w:tcPr>
            <w:tcW w:w="500" w:type="dxa"/>
            <w:vAlign w:val="bottom"/>
            <w:gridSpan w:val="2"/>
            <w:vMerge w:val="continue"/>
            <w:shd w:val="clear" w:color="auto" w:fill="DEDEDE"/>
          </w:tcPr>
          <w:p>
            <w:pPr>
              <w:spacing w:after="0"/>
              <w:rPr>
                <w:sz w:val="4"/>
                <w:szCs w:val="4"/>
                <w:color w:val="auto"/>
              </w:rPr>
            </w:pPr>
          </w:p>
        </w:tc>
        <w:tc>
          <w:tcPr>
            <w:tcW w:w="1160" w:type="dxa"/>
            <w:vAlign w:val="bottom"/>
            <w:vMerge w:val="continue"/>
            <w:shd w:val="clear" w:color="auto" w:fill="DEDEDE"/>
          </w:tcPr>
          <w:p>
            <w:pPr>
              <w:spacing w:after="0"/>
              <w:rPr>
                <w:sz w:val="4"/>
                <w:szCs w:val="4"/>
                <w:color w:val="auto"/>
              </w:rPr>
            </w:pPr>
          </w:p>
        </w:tc>
        <w:tc>
          <w:tcPr>
            <w:tcW w:w="200" w:type="dxa"/>
            <w:vAlign w:val="bottom"/>
            <w:shd w:val="clear" w:color="auto" w:fill="DEDEDE"/>
          </w:tcPr>
          <w:p>
            <w:pPr>
              <w:spacing w:after="0"/>
              <w:rPr>
                <w:sz w:val="4"/>
                <w:szCs w:val="4"/>
                <w:color w:val="auto"/>
              </w:rPr>
            </w:pPr>
          </w:p>
        </w:tc>
        <w:tc>
          <w:tcPr>
            <w:tcW w:w="320" w:type="dxa"/>
            <w:vAlign w:val="bottom"/>
            <w:gridSpan w:val="2"/>
            <w:vMerge w:val="continue"/>
            <w:shd w:val="clear" w:color="auto" w:fill="DEDEDE"/>
          </w:tcPr>
          <w:p>
            <w:pPr>
              <w:spacing w:after="0"/>
              <w:rPr>
                <w:sz w:val="4"/>
                <w:szCs w:val="4"/>
                <w:color w:val="auto"/>
              </w:rPr>
            </w:pPr>
          </w:p>
        </w:tc>
        <w:tc>
          <w:tcPr>
            <w:tcW w:w="1140" w:type="dxa"/>
            <w:vAlign w:val="bottom"/>
            <w:vMerge w:val="continue"/>
            <w:shd w:val="clear" w:color="auto" w:fill="DEDEDE"/>
          </w:tcPr>
          <w:p>
            <w:pPr>
              <w:spacing w:after="0"/>
              <w:rPr>
                <w:sz w:val="4"/>
                <w:szCs w:val="4"/>
                <w:color w:val="auto"/>
              </w:rPr>
            </w:pPr>
          </w:p>
        </w:tc>
        <w:tc>
          <w:tcPr>
            <w:tcW w:w="120" w:type="dxa"/>
            <w:vAlign w:val="bottom"/>
            <w:shd w:val="clear" w:color="auto" w:fill="DEDED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8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shd w:val="clear" w:color="auto" w:fill="DEDEDE"/>
          </w:tcPr>
          <w:p>
            <w:pPr>
              <w:spacing w:after="0"/>
              <w:rPr>
                <w:sz w:val="19"/>
                <w:szCs w:val="19"/>
                <w:color w:val="auto"/>
              </w:rPr>
            </w:pPr>
          </w:p>
        </w:tc>
        <w:tc>
          <w:tcPr>
            <w:tcW w:w="200" w:type="dxa"/>
            <w:vAlign w:val="bottom"/>
            <w:shd w:val="clear" w:color="auto" w:fill="DEDEDE"/>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4,835,663</w:t>
            </w:r>
          </w:p>
        </w:tc>
        <w:tc>
          <w:tcPr>
            <w:tcW w:w="220" w:type="dxa"/>
            <w:vAlign w:val="bottom"/>
            <w:shd w:val="clear" w:color="auto" w:fill="DEDEDE"/>
          </w:tcPr>
          <w:p>
            <w:pPr>
              <w:spacing w:after="0"/>
              <w:rPr>
                <w:sz w:val="19"/>
                <w:szCs w:val="19"/>
                <w:color w:val="auto"/>
              </w:rPr>
            </w:pPr>
          </w:p>
        </w:tc>
        <w:tc>
          <w:tcPr>
            <w:tcW w:w="3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1,637,554</w:t>
            </w:r>
          </w:p>
        </w:tc>
        <w:tc>
          <w:tcPr>
            <w:tcW w:w="5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(169,485)</w:t>
            </w:r>
          </w:p>
        </w:tc>
        <w:tc>
          <w:tcPr>
            <w:tcW w:w="3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6,303,732</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160"/>
              <w:spacing w:after="0" w:line="189" w:lineRule="exact"/>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520" w:type="dxa"/>
            <w:vAlign w:val="bottom"/>
            <w:vMerge w:val="continue"/>
          </w:tcPr>
          <w:p>
            <w:pPr>
              <w:spacing w:after="0"/>
              <w:rPr>
                <w:sz w:val="14"/>
                <w:szCs w:val="14"/>
                <w:color w:val="auto"/>
              </w:rPr>
            </w:pPr>
          </w:p>
        </w:tc>
        <w:tc>
          <w:tcPr>
            <w:tcW w:w="180" w:type="dxa"/>
            <w:vAlign w:val="bottom"/>
            <w:vMerge w:val="restart"/>
          </w:tcPr>
          <w:p>
            <w:pPr>
              <w:spacing w:after="0"/>
              <w:rPr>
                <w:sz w:val="14"/>
                <w:szCs w:val="14"/>
                <w:color w:val="auto"/>
              </w:rPr>
            </w:pP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4,835,663</w:t>
            </w:r>
          </w:p>
        </w:tc>
        <w:tc>
          <w:tcPr>
            <w:tcW w:w="220" w:type="dxa"/>
            <w:vAlign w:val="bottom"/>
          </w:tcPr>
          <w:p>
            <w:pPr>
              <w:spacing w:after="0"/>
              <w:rPr>
                <w:sz w:val="14"/>
                <w:szCs w:val="14"/>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1,637,554</w:t>
            </w: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(169,485</w:t>
            </w:r>
          </w:p>
        </w:tc>
        <w:tc>
          <w:tcPr>
            <w:tcW w:w="200" w:type="dxa"/>
            <w:vAlign w:val="bottom"/>
            <w:vMerge w:val="continue"/>
          </w:tcPr>
          <w:p>
            <w:pPr>
              <w:spacing w:after="0"/>
              <w:rPr>
                <w:sz w:val="14"/>
                <w:szCs w:val="14"/>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6,303,732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auto"/>
            </w:tcBorders>
            <w:shd w:val="clear" w:color="auto" w:fill="DEDEDE"/>
          </w:tcPr>
          <w:p>
            <w:pPr>
              <w:spacing w:after="0"/>
              <w:rPr>
                <w:sz w:val="17"/>
                <w:szCs w:val="17"/>
                <w:color w:val="auto"/>
              </w:rPr>
            </w:pPr>
          </w:p>
        </w:tc>
        <w:tc>
          <w:tcPr>
            <w:tcW w:w="1160" w:type="dxa"/>
            <w:vAlign w:val="bottom"/>
            <w:tcBorders>
              <w:top w:val="single" w:sz="8" w:color="auto"/>
            </w:tcBorders>
            <w:shd w:val="clear" w:color="auto" w:fill="DEDEDE"/>
          </w:tcPr>
          <w:p>
            <w:pPr>
              <w:spacing w:after="0"/>
              <w:rPr>
                <w:sz w:val="17"/>
                <w:szCs w:val="17"/>
                <w:color w:val="auto"/>
              </w:rPr>
            </w:pPr>
          </w:p>
        </w:tc>
        <w:tc>
          <w:tcPr>
            <w:tcW w:w="22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80" w:type="dxa"/>
            <w:vAlign w:val="bottom"/>
            <w:tcBorders>
              <w:top w:val="single" w:sz="8" w:color="auto"/>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60" w:type="dxa"/>
            <w:vAlign w:val="bottom"/>
            <w:tcBorders>
              <w:top w:val="single" w:sz="8" w:color="auto"/>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auto"/>
            </w:tcBorders>
            <w:shd w:val="clear" w:color="auto" w:fill="DEDEDE"/>
          </w:tcPr>
          <w:p>
            <w:pPr>
              <w:spacing w:after="0"/>
              <w:rPr>
                <w:sz w:val="17"/>
                <w:szCs w:val="17"/>
                <w:color w:val="auto"/>
              </w:rPr>
            </w:pPr>
          </w:p>
        </w:tc>
        <w:tc>
          <w:tcPr>
            <w:tcW w:w="1140" w:type="dxa"/>
            <w:vAlign w:val="bottom"/>
            <w:tcBorders>
              <w:top w:val="single" w:sz="8" w:color="auto"/>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80" w:type="dxa"/>
            <w:vAlign w:val="bottom"/>
            <w:gridSpan w:val="2"/>
            <w:shd w:val="clear" w:color="auto" w:fill="DEDEDE"/>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66,342</w:t>
            </w:r>
          </w:p>
        </w:tc>
        <w:tc>
          <w:tcPr>
            <w:tcW w:w="2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200" w:type="dxa"/>
            <w:vAlign w:val="bottom"/>
            <w:tcBorders>
              <w:top w:val="single" w:sz="8" w:color="auto"/>
              <w:bottom w:val="single" w:sz="8" w:color="auto"/>
            </w:tcBorders>
            <w:shd w:val="clear" w:color="auto" w:fill="DEDEDE"/>
          </w:tcPr>
          <w:p>
            <w:pPr>
              <w:jc w:val="right"/>
              <w:ind w:right="31"/>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66,209</w:t>
            </w:r>
          </w:p>
        </w:tc>
        <w:tc>
          <w:tcPr>
            <w:tcW w:w="22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180" w:type="dxa"/>
            <w:vAlign w:val="bottom"/>
            <w:tcBorders>
              <w:top w:val="single" w:sz="8" w:color="DEDEDE"/>
              <w:bottom w:val="single" w:sz="8" w:color="DEDEDE"/>
            </w:tcBorders>
            <w:shd w:val="clear" w:color="auto" w:fill="DEDEDE"/>
          </w:tcPr>
          <w:p>
            <w:pPr>
              <w:spacing w:after="0"/>
              <w:rPr>
                <w:sz w:val="19"/>
                <w:szCs w:val="19"/>
                <w:color w:val="auto"/>
              </w:rPr>
            </w:pP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160" w:type="dxa"/>
            <w:vAlign w:val="bottom"/>
            <w:tcBorders>
              <w:top w:val="single" w:sz="8" w:color="DEDEDE"/>
              <w:bottom w:val="single" w:sz="8" w:color="DEDEDE"/>
            </w:tcBorders>
            <w:shd w:val="clear" w:color="auto" w:fill="DEDEDE"/>
          </w:tcPr>
          <w:p>
            <w:pPr>
              <w:spacing w:after="0"/>
              <w:rPr>
                <w:sz w:val="19"/>
                <w:szCs w:val="19"/>
                <w:color w:val="auto"/>
              </w:rPr>
            </w:pP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1140" w:type="dxa"/>
            <w:vAlign w:val="bottom"/>
            <w:tcBorders>
              <w:top w:val="single" w:sz="8" w:color="DEDEDE"/>
              <w:bottom w:val="single" w:sz="8" w:color="DEDEDE"/>
            </w:tcBorders>
            <w:shd w:val="clear" w:color="auto" w:fill="DEDEDE"/>
          </w:tcPr>
          <w:p>
            <w:pPr>
              <w:spacing w:after="0"/>
              <w:rPr>
                <w:sz w:val="19"/>
                <w:szCs w:val="19"/>
                <w:color w:val="auto"/>
              </w:rPr>
            </w:pP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5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DEDEDE"/>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1,935,480</w:t>
            </w:r>
          </w:p>
        </w:tc>
        <w:tc>
          <w:tcPr>
            <w:tcW w:w="2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80" w:type="dxa"/>
            <w:vAlign w:val="bottom"/>
            <w:shd w:val="clear" w:color="auto" w:fill="DEDEDE"/>
          </w:tcPr>
          <w:p>
            <w:pPr>
              <w:spacing w:after="0"/>
              <w:rPr>
                <w:sz w:val="21"/>
                <w:szCs w:val="21"/>
                <w:color w:val="auto"/>
              </w:rPr>
            </w:pPr>
          </w:p>
        </w:tc>
        <w:tc>
          <w:tcPr>
            <w:tcW w:w="32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6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14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1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5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Other investements</w:t>
            </w:r>
          </w:p>
        </w:tc>
        <w:tc>
          <w:tcPr>
            <w:tcW w:w="380" w:type="dxa"/>
            <w:vAlign w:val="bottom"/>
            <w:gridSpan w:val="2"/>
            <w:shd w:val="clear" w:color="auto" w:fill="DEDEDE"/>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1,290,271</w:t>
            </w:r>
          </w:p>
        </w:tc>
        <w:tc>
          <w:tcPr>
            <w:tcW w:w="2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80" w:type="dxa"/>
            <w:vAlign w:val="bottom"/>
            <w:shd w:val="clear" w:color="auto" w:fill="DEDEDE"/>
          </w:tcPr>
          <w:p>
            <w:pPr>
              <w:spacing w:after="0"/>
              <w:rPr>
                <w:sz w:val="21"/>
                <w:szCs w:val="21"/>
                <w:color w:val="auto"/>
              </w:rPr>
            </w:pPr>
          </w:p>
        </w:tc>
        <w:tc>
          <w:tcPr>
            <w:tcW w:w="32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6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14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1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5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80" w:type="dxa"/>
            <w:vAlign w:val="bottom"/>
            <w:gridSpan w:val="2"/>
            <w:shd w:val="clear" w:color="auto" w:fill="DEDEDE"/>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2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80" w:type="dxa"/>
            <w:vAlign w:val="bottom"/>
            <w:shd w:val="clear" w:color="auto" w:fill="DEDEDE"/>
          </w:tcPr>
          <w:p>
            <w:pPr>
              <w:spacing w:after="0"/>
              <w:rPr>
                <w:sz w:val="21"/>
                <w:szCs w:val="21"/>
                <w:color w:val="auto"/>
              </w:rPr>
            </w:pPr>
          </w:p>
        </w:tc>
        <w:tc>
          <w:tcPr>
            <w:tcW w:w="32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6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14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1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5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380" w:type="dxa"/>
            <w:vAlign w:val="bottom"/>
            <w:gridSpan w:val="2"/>
            <w:shd w:val="clear" w:color="auto" w:fill="DEDEDE"/>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9,871,947</w:t>
            </w:r>
          </w:p>
        </w:tc>
        <w:tc>
          <w:tcPr>
            <w:tcW w:w="2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80" w:type="dxa"/>
            <w:vAlign w:val="bottom"/>
            <w:shd w:val="clear" w:color="auto" w:fill="DEDEDE"/>
          </w:tcPr>
          <w:p>
            <w:pPr>
              <w:spacing w:after="0"/>
              <w:rPr>
                <w:sz w:val="21"/>
                <w:szCs w:val="21"/>
                <w:color w:val="auto"/>
              </w:rPr>
            </w:pPr>
          </w:p>
        </w:tc>
        <w:tc>
          <w:tcPr>
            <w:tcW w:w="32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6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14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1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20" w:type="dxa"/>
            <w:vAlign w:val="bottom"/>
            <w:shd w:val="clear" w:color="auto" w:fill="DEDEDE"/>
          </w:tcPr>
          <w:p>
            <w:pPr>
              <w:spacing w:after="0" w:line="162" w:lineRule="exact"/>
              <w:rPr>
                <w:sz w:val="20"/>
                <w:szCs w:val="20"/>
                <w:color w:val="auto"/>
              </w:rPr>
            </w:pPr>
            <w:r>
              <w:rPr>
                <w:rFonts w:ascii="Times New Roman" w:cs="Times New Roman" w:eastAsia="Times New Roman" w:hAnsi="Times New Roman"/>
                <w:sz w:val="18"/>
                <w:szCs w:val="18"/>
                <w:color w:val="auto"/>
              </w:rPr>
              <w:t>Cemetery perpetual care obligation</w:t>
            </w:r>
          </w:p>
        </w:tc>
        <w:tc>
          <w:tcPr>
            <w:tcW w:w="380" w:type="dxa"/>
            <w:vAlign w:val="bottom"/>
            <w:gridSpan w:val="2"/>
            <w:vMerge w:val="restart"/>
            <w:shd w:val="clear" w:color="auto" w:fill="DEDEDE"/>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DEDEDE"/>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4"/>
                <w:szCs w:val="14"/>
                <w:color w:val="auto"/>
              </w:rPr>
            </w:pPr>
          </w:p>
        </w:tc>
        <w:tc>
          <w:tcPr>
            <w:tcW w:w="180" w:type="dxa"/>
            <w:vAlign w:val="bottom"/>
            <w:shd w:val="clear" w:color="auto" w:fill="DEDEDE"/>
          </w:tcPr>
          <w:p>
            <w:pPr>
              <w:spacing w:after="0"/>
              <w:rPr>
                <w:sz w:val="14"/>
                <w:szCs w:val="14"/>
                <w:color w:val="auto"/>
              </w:rPr>
            </w:pPr>
          </w:p>
        </w:tc>
        <w:tc>
          <w:tcPr>
            <w:tcW w:w="1180" w:type="dxa"/>
            <w:vAlign w:val="bottom"/>
            <w:shd w:val="clear" w:color="auto" w:fill="DEDEDE"/>
          </w:tcPr>
          <w:p>
            <w:pPr>
              <w:spacing w:after="0"/>
              <w:rPr>
                <w:sz w:val="14"/>
                <w:szCs w:val="14"/>
                <w:color w:val="auto"/>
              </w:rPr>
            </w:pPr>
          </w:p>
        </w:tc>
        <w:tc>
          <w:tcPr>
            <w:tcW w:w="320" w:type="dxa"/>
            <w:vAlign w:val="bottom"/>
            <w:shd w:val="clear" w:color="auto" w:fill="DEDEDE"/>
          </w:tcPr>
          <w:p>
            <w:pPr>
              <w:spacing w:after="0"/>
              <w:rPr>
                <w:sz w:val="14"/>
                <w:szCs w:val="14"/>
                <w:color w:val="auto"/>
              </w:rPr>
            </w:pPr>
          </w:p>
        </w:tc>
        <w:tc>
          <w:tcPr>
            <w:tcW w:w="180" w:type="dxa"/>
            <w:vAlign w:val="bottom"/>
            <w:shd w:val="clear" w:color="auto" w:fill="DEDEDE"/>
          </w:tcPr>
          <w:p>
            <w:pPr>
              <w:spacing w:after="0"/>
              <w:rPr>
                <w:sz w:val="14"/>
                <w:szCs w:val="14"/>
                <w:color w:val="auto"/>
              </w:rPr>
            </w:pPr>
          </w:p>
        </w:tc>
        <w:tc>
          <w:tcPr>
            <w:tcW w:w="1160" w:type="dxa"/>
            <w:vAlign w:val="bottom"/>
            <w:shd w:val="clear" w:color="auto" w:fill="DEDEDE"/>
          </w:tcPr>
          <w:p>
            <w:pPr>
              <w:spacing w:after="0"/>
              <w:rPr>
                <w:sz w:val="14"/>
                <w:szCs w:val="14"/>
                <w:color w:val="auto"/>
              </w:rPr>
            </w:pPr>
          </w:p>
        </w:tc>
        <w:tc>
          <w:tcPr>
            <w:tcW w:w="200" w:type="dxa"/>
            <w:vAlign w:val="bottom"/>
            <w:shd w:val="clear" w:color="auto" w:fill="DEDEDE"/>
          </w:tcPr>
          <w:p>
            <w:pPr>
              <w:spacing w:after="0"/>
              <w:rPr>
                <w:sz w:val="14"/>
                <w:szCs w:val="14"/>
                <w:color w:val="auto"/>
              </w:rPr>
            </w:pPr>
          </w:p>
        </w:tc>
        <w:tc>
          <w:tcPr>
            <w:tcW w:w="120" w:type="dxa"/>
            <w:vAlign w:val="bottom"/>
            <w:shd w:val="clear" w:color="auto" w:fill="DEDEDE"/>
          </w:tcPr>
          <w:p>
            <w:pPr>
              <w:spacing w:after="0"/>
              <w:rPr>
                <w:sz w:val="14"/>
                <w:szCs w:val="14"/>
                <w:color w:val="auto"/>
              </w:rPr>
            </w:pPr>
          </w:p>
        </w:tc>
        <w:tc>
          <w:tcPr>
            <w:tcW w:w="200" w:type="dxa"/>
            <w:vAlign w:val="bottom"/>
            <w:shd w:val="clear" w:color="auto" w:fill="DEDEDE"/>
          </w:tcPr>
          <w:p>
            <w:pPr>
              <w:spacing w:after="0"/>
              <w:rPr>
                <w:sz w:val="14"/>
                <w:szCs w:val="14"/>
                <w:color w:val="auto"/>
              </w:rPr>
            </w:pPr>
          </w:p>
        </w:tc>
        <w:tc>
          <w:tcPr>
            <w:tcW w:w="1140" w:type="dxa"/>
            <w:vAlign w:val="bottom"/>
            <w:shd w:val="clear" w:color="auto" w:fill="DEDEDE"/>
          </w:tcPr>
          <w:p>
            <w:pPr>
              <w:spacing w:after="0"/>
              <w:rPr>
                <w:sz w:val="14"/>
                <w:szCs w:val="14"/>
                <w:color w:val="auto"/>
              </w:rPr>
            </w:pPr>
          </w:p>
        </w:tc>
        <w:tc>
          <w:tcPr>
            <w:tcW w:w="120" w:type="dxa"/>
            <w:vAlign w:val="bottom"/>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520" w:type="dxa"/>
            <w:vAlign w:val="bottom"/>
            <w:shd w:val="clear" w:color="auto" w:fill="DEDEDE"/>
          </w:tcPr>
          <w:p>
            <w:pPr>
              <w:spacing w:after="0"/>
              <w:rPr>
                <w:sz w:val="7"/>
                <w:szCs w:val="7"/>
                <w:color w:val="auto"/>
              </w:rPr>
            </w:pPr>
          </w:p>
        </w:tc>
        <w:tc>
          <w:tcPr>
            <w:tcW w:w="380" w:type="dxa"/>
            <w:vAlign w:val="bottom"/>
            <w:gridSpan w:val="2"/>
            <w:vMerge w:val="continue"/>
            <w:shd w:val="clear" w:color="auto" w:fill="DEDEDE"/>
          </w:tcPr>
          <w:p>
            <w:pPr>
              <w:spacing w:after="0"/>
              <w:rPr>
                <w:sz w:val="7"/>
                <w:szCs w:val="7"/>
                <w:color w:val="auto"/>
              </w:rPr>
            </w:pPr>
          </w:p>
        </w:tc>
        <w:tc>
          <w:tcPr>
            <w:tcW w:w="1160" w:type="dxa"/>
            <w:vAlign w:val="bottom"/>
            <w:shd w:val="clear" w:color="auto" w:fill="DEDEDE"/>
          </w:tcPr>
          <w:p>
            <w:pPr>
              <w:jc w:val="right"/>
              <w:spacing w:after="0" w:line="81" w:lineRule="exact"/>
              <w:rPr>
                <w:sz w:val="20"/>
                <w:szCs w:val="20"/>
                <w:color w:val="auto"/>
              </w:rPr>
            </w:pPr>
            <w:r>
              <w:rPr>
                <w:rFonts w:ascii="Times New Roman" w:cs="Times New Roman" w:eastAsia="Times New Roman" w:hAnsi="Times New Roman"/>
                <w:sz w:val="9"/>
                <w:szCs w:val="9"/>
                <w:color w:val="auto"/>
              </w:rPr>
              <w:t>(5,918,776</w:t>
            </w:r>
          </w:p>
        </w:tc>
        <w:tc>
          <w:tcPr>
            <w:tcW w:w="220" w:type="dxa"/>
            <w:vAlign w:val="bottom"/>
            <w:shd w:val="clear" w:color="auto" w:fill="DEDEDE"/>
          </w:tcPr>
          <w:p>
            <w:pPr>
              <w:spacing w:after="0"/>
              <w:rPr>
                <w:sz w:val="7"/>
                <w:szCs w:val="7"/>
                <w:color w:val="auto"/>
              </w:rPr>
            </w:pPr>
          </w:p>
        </w:tc>
        <w:tc>
          <w:tcPr>
            <w:tcW w:w="140" w:type="dxa"/>
            <w:vAlign w:val="bottom"/>
            <w:shd w:val="clear" w:color="auto" w:fill="DEDEDE"/>
          </w:tcPr>
          <w:p>
            <w:pPr>
              <w:spacing w:after="0"/>
              <w:rPr>
                <w:sz w:val="7"/>
                <w:szCs w:val="7"/>
                <w:color w:val="auto"/>
              </w:rPr>
            </w:pPr>
          </w:p>
        </w:tc>
        <w:tc>
          <w:tcPr>
            <w:tcW w:w="180" w:type="dxa"/>
            <w:vAlign w:val="bottom"/>
            <w:shd w:val="clear" w:color="auto" w:fill="DEDEDE"/>
          </w:tcPr>
          <w:p>
            <w:pPr>
              <w:spacing w:after="0"/>
              <w:rPr>
                <w:sz w:val="7"/>
                <w:szCs w:val="7"/>
                <w:color w:val="auto"/>
              </w:rPr>
            </w:pPr>
          </w:p>
        </w:tc>
        <w:tc>
          <w:tcPr>
            <w:tcW w:w="1180" w:type="dxa"/>
            <w:vAlign w:val="bottom"/>
            <w:shd w:val="clear" w:color="auto" w:fill="DEDEDE"/>
          </w:tcPr>
          <w:p>
            <w:pPr>
              <w:spacing w:after="0"/>
              <w:rPr>
                <w:sz w:val="7"/>
                <w:szCs w:val="7"/>
                <w:color w:val="auto"/>
              </w:rPr>
            </w:pPr>
          </w:p>
        </w:tc>
        <w:tc>
          <w:tcPr>
            <w:tcW w:w="320" w:type="dxa"/>
            <w:vAlign w:val="bottom"/>
            <w:shd w:val="clear" w:color="auto" w:fill="DEDEDE"/>
          </w:tcPr>
          <w:p>
            <w:pPr>
              <w:spacing w:after="0"/>
              <w:rPr>
                <w:sz w:val="7"/>
                <w:szCs w:val="7"/>
                <w:color w:val="auto"/>
              </w:rPr>
            </w:pPr>
          </w:p>
        </w:tc>
        <w:tc>
          <w:tcPr>
            <w:tcW w:w="180" w:type="dxa"/>
            <w:vAlign w:val="bottom"/>
            <w:shd w:val="clear" w:color="auto" w:fill="DEDEDE"/>
          </w:tcPr>
          <w:p>
            <w:pPr>
              <w:spacing w:after="0"/>
              <w:rPr>
                <w:sz w:val="7"/>
                <w:szCs w:val="7"/>
                <w:color w:val="auto"/>
              </w:rPr>
            </w:pPr>
          </w:p>
        </w:tc>
        <w:tc>
          <w:tcPr>
            <w:tcW w:w="1160" w:type="dxa"/>
            <w:vAlign w:val="bottom"/>
            <w:shd w:val="clear" w:color="auto" w:fill="DEDEDE"/>
          </w:tcPr>
          <w:p>
            <w:pPr>
              <w:spacing w:after="0"/>
              <w:rPr>
                <w:sz w:val="7"/>
                <w:szCs w:val="7"/>
                <w:color w:val="auto"/>
              </w:rPr>
            </w:pPr>
          </w:p>
        </w:tc>
        <w:tc>
          <w:tcPr>
            <w:tcW w:w="200" w:type="dxa"/>
            <w:vAlign w:val="bottom"/>
            <w:shd w:val="clear" w:color="auto" w:fill="DEDEDE"/>
          </w:tcPr>
          <w:p>
            <w:pPr>
              <w:spacing w:after="0"/>
              <w:rPr>
                <w:sz w:val="7"/>
                <w:szCs w:val="7"/>
                <w:color w:val="auto"/>
              </w:rPr>
            </w:pPr>
          </w:p>
        </w:tc>
        <w:tc>
          <w:tcPr>
            <w:tcW w:w="120" w:type="dxa"/>
            <w:vAlign w:val="bottom"/>
            <w:shd w:val="clear" w:color="auto" w:fill="DEDEDE"/>
          </w:tcPr>
          <w:p>
            <w:pPr>
              <w:spacing w:after="0"/>
              <w:rPr>
                <w:sz w:val="7"/>
                <w:szCs w:val="7"/>
                <w:color w:val="auto"/>
              </w:rPr>
            </w:pPr>
          </w:p>
        </w:tc>
        <w:tc>
          <w:tcPr>
            <w:tcW w:w="200" w:type="dxa"/>
            <w:vAlign w:val="bottom"/>
            <w:shd w:val="clear" w:color="auto" w:fill="DEDEDE"/>
          </w:tcPr>
          <w:p>
            <w:pPr>
              <w:spacing w:after="0"/>
              <w:rPr>
                <w:sz w:val="7"/>
                <w:szCs w:val="7"/>
                <w:color w:val="auto"/>
              </w:rPr>
            </w:pPr>
          </w:p>
        </w:tc>
        <w:tc>
          <w:tcPr>
            <w:tcW w:w="1140" w:type="dxa"/>
            <w:vAlign w:val="bottom"/>
            <w:shd w:val="clear" w:color="auto" w:fill="DEDEDE"/>
          </w:tcPr>
          <w:p>
            <w:pPr>
              <w:spacing w:after="0"/>
              <w:rPr>
                <w:sz w:val="7"/>
                <w:szCs w:val="7"/>
                <w:color w:val="auto"/>
              </w:rPr>
            </w:pPr>
          </w:p>
        </w:tc>
        <w:tc>
          <w:tcPr>
            <w:tcW w:w="120" w:type="dxa"/>
            <w:vAlign w:val="bottom"/>
            <w:shd w:val="clear" w:color="auto" w:fill="DEDED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1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380" w:type="dxa"/>
            <w:vAlign w:val="bottom"/>
            <w:gridSpan w:val="2"/>
            <w:shd w:val="clear" w:color="auto" w:fill="DEDEDE"/>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3,953,171</w:t>
            </w:r>
          </w:p>
        </w:tc>
        <w:tc>
          <w:tcPr>
            <w:tcW w:w="2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80" w:type="dxa"/>
            <w:vAlign w:val="bottom"/>
            <w:shd w:val="clear" w:color="auto" w:fill="DEDEDE"/>
          </w:tcPr>
          <w:p>
            <w:pPr>
              <w:spacing w:after="0"/>
              <w:rPr>
                <w:sz w:val="21"/>
                <w:szCs w:val="21"/>
                <w:color w:val="auto"/>
              </w:rPr>
            </w:pPr>
          </w:p>
        </w:tc>
        <w:tc>
          <w:tcPr>
            <w:tcW w:w="32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6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14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1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60</w:t>
      </w:r>
    </w:p>
    <w:p>
      <w:pPr>
        <w:sectPr>
          <w:pgSz w:w="12240" w:h="15840" w:orient="portrait"/>
          <w:cols w:equalWidth="0" w:num="1">
            <w:col w:w="11242"/>
          </w:cols>
          <w:pgMar w:left="498" w:top="687" w:right="500" w:bottom="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60" w:hanging="642"/>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components of cemetery perpetual care investments and obligation as of December 31, 2024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Gross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9"/>
              </w:rPr>
              <w:t>Gross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Amortized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Unrealized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w w:val="98"/>
              </w:rPr>
              <w:t>Unrealized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Estimated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Cost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Gains</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color w:val="auto"/>
              </w:rPr>
              <w:t>Losses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u w:val="single" w:color="auto"/>
                <w:color w:val="auto"/>
              </w:rPr>
              <w:t>December 31, 2024:</w:t>
            </w:r>
          </w:p>
        </w:tc>
        <w:tc>
          <w:tcPr>
            <w:tcW w:w="180" w:type="dxa"/>
            <w:vAlign w:val="bottom"/>
            <w:tcBorders>
              <w:top w:val="single" w:sz="8" w:color="DEDEDE"/>
            </w:tcBorders>
            <w:shd w:val="clear" w:color="auto" w:fill="DEDEDE"/>
          </w:tcPr>
          <w:p>
            <w:pPr>
              <w:spacing w:after="0"/>
              <w:rPr>
                <w:sz w:val="18"/>
                <w:szCs w:val="18"/>
                <w:color w:val="auto"/>
              </w:rPr>
            </w:pPr>
          </w:p>
        </w:tc>
        <w:tc>
          <w:tcPr>
            <w:tcW w:w="200" w:type="dxa"/>
            <w:vAlign w:val="bottom"/>
            <w:tcBorders>
              <w:top w:val="single" w:sz="8" w:color="auto"/>
            </w:tcBorders>
            <w:shd w:val="clear" w:color="auto" w:fill="DEDEDE"/>
          </w:tcPr>
          <w:p>
            <w:pPr>
              <w:spacing w:after="0"/>
              <w:rPr>
                <w:sz w:val="18"/>
                <w:szCs w:val="18"/>
                <w:color w:val="auto"/>
              </w:rPr>
            </w:pPr>
          </w:p>
        </w:tc>
        <w:tc>
          <w:tcPr>
            <w:tcW w:w="1160" w:type="dxa"/>
            <w:vAlign w:val="bottom"/>
            <w:tcBorders>
              <w:top w:val="single" w:sz="8" w:color="auto"/>
            </w:tcBorders>
            <w:shd w:val="clear" w:color="auto" w:fill="DEDEDE"/>
          </w:tcPr>
          <w:p>
            <w:pPr>
              <w:spacing w:after="0"/>
              <w:rPr>
                <w:sz w:val="18"/>
                <w:szCs w:val="18"/>
                <w:color w:val="auto"/>
              </w:rPr>
            </w:pPr>
          </w:p>
        </w:tc>
        <w:tc>
          <w:tcPr>
            <w:tcW w:w="22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spacing w:after="0"/>
              <w:rPr>
                <w:sz w:val="18"/>
                <w:szCs w:val="18"/>
                <w:color w:val="auto"/>
              </w:rPr>
            </w:pPr>
          </w:p>
        </w:tc>
        <w:tc>
          <w:tcPr>
            <w:tcW w:w="118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spacing w:after="0"/>
              <w:rPr>
                <w:sz w:val="18"/>
                <w:szCs w:val="18"/>
                <w:color w:val="auto"/>
              </w:rPr>
            </w:pPr>
          </w:p>
        </w:tc>
        <w:tc>
          <w:tcPr>
            <w:tcW w:w="116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200" w:type="dxa"/>
            <w:vAlign w:val="bottom"/>
            <w:tcBorders>
              <w:top w:val="single" w:sz="8" w:color="auto"/>
            </w:tcBorders>
            <w:shd w:val="clear" w:color="auto" w:fill="DEDEDE"/>
          </w:tcPr>
          <w:p>
            <w:pPr>
              <w:spacing w:after="0"/>
              <w:rPr>
                <w:sz w:val="18"/>
                <w:szCs w:val="18"/>
                <w:color w:val="auto"/>
              </w:rPr>
            </w:pPr>
          </w:p>
        </w:tc>
        <w:tc>
          <w:tcPr>
            <w:tcW w:w="114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Fixed maturity securities, available for sale, at estimated fair</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shd w:val="clear" w:color="auto" w:fill="DEDEDE"/>
          </w:tcPr>
          <w:p>
            <w:pPr>
              <w:ind w:left="180"/>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 U.S.</w:t>
            </w:r>
          </w:p>
        </w:tc>
        <w:tc>
          <w:tcPr>
            <w:tcW w:w="18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160" w:type="dxa"/>
            <w:vAlign w:val="bottom"/>
            <w:shd w:val="clear" w:color="auto" w:fill="DEDEDE"/>
          </w:tcPr>
          <w:p>
            <w:pPr>
              <w:spacing w:after="0"/>
              <w:rPr>
                <w:sz w:val="17"/>
                <w:szCs w:val="17"/>
                <w:color w:val="auto"/>
              </w:rPr>
            </w:pPr>
          </w:p>
        </w:tc>
        <w:tc>
          <w:tcPr>
            <w:tcW w:w="2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16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14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54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Government agencies</w:t>
            </w:r>
          </w:p>
        </w:tc>
        <w:tc>
          <w:tcPr>
            <w:tcW w:w="380" w:type="dxa"/>
            <w:vAlign w:val="bottom"/>
            <w:gridSpan w:val="2"/>
            <w:shd w:val="clear" w:color="auto" w:fill="DEDEDE"/>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651,428</w:t>
            </w:r>
          </w:p>
        </w:tc>
        <w:tc>
          <w:tcPr>
            <w:tcW w:w="220" w:type="dxa"/>
            <w:vAlign w:val="bottom"/>
            <w:shd w:val="clear" w:color="auto" w:fill="DEDEDE"/>
          </w:tcPr>
          <w:p>
            <w:pPr>
              <w:spacing w:after="0"/>
              <w:rPr>
                <w:sz w:val="20"/>
                <w:szCs w:val="20"/>
                <w:color w:val="auto"/>
              </w:rPr>
            </w:pPr>
          </w:p>
        </w:tc>
        <w:tc>
          <w:tcPr>
            <w:tcW w:w="3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(2,010)</w:t>
            </w:r>
          </w:p>
        </w:tc>
        <w:tc>
          <w:tcPr>
            <w:tcW w:w="3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649,418</w:t>
            </w:r>
          </w:p>
        </w:tc>
        <w:tc>
          <w:tcPr>
            <w:tcW w:w="1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125,194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shd w:val="clear" w:color="auto" w:fill="DEDEDE"/>
          </w:tcPr>
          <w:p>
            <w:pPr>
              <w:ind w:left="360"/>
              <w:spacing w:after="0" w:line="189" w:lineRule="exact"/>
              <w:rPr>
                <w:sz w:val="20"/>
                <w:szCs w:val="20"/>
                <w:color w:val="auto"/>
              </w:rPr>
            </w:pPr>
            <w:r>
              <w:rPr>
                <w:rFonts w:ascii="Times New Roman" w:cs="Times New Roman" w:eastAsia="Times New Roman" w:hAnsi="Times New Roman"/>
                <w:sz w:val="18"/>
                <w:szCs w:val="18"/>
                <w:color w:val="auto"/>
              </w:rPr>
              <w:t>Total fixed maturity securities available for sale</w:t>
            </w:r>
          </w:p>
        </w:tc>
        <w:tc>
          <w:tcPr>
            <w:tcW w:w="18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DEDEDE"/>
          </w:tcPr>
          <w:p>
            <w:pPr>
              <w:spacing w:after="0" w:line="20" w:lineRule="exact"/>
              <w:rPr>
                <w:sz w:val="1"/>
                <w:szCs w:val="1"/>
                <w:color w:val="auto"/>
              </w:rPr>
            </w:pPr>
          </w:p>
        </w:tc>
        <w:tc>
          <w:tcPr>
            <w:tcW w:w="140" w:type="dxa"/>
            <w:vAlign w:val="bottom"/>
            <w:shd w:val="clear" w:color="auto" w:fill="DEDED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DEDEDE"/>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DEDEDE"/>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DEDEDE"/>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DEDED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540" w:type="dxa"/>
            <w:vAlign w:val="bottom"/>
            <w:vMerge w:val="continue"/>
            <w:shd w:val="clear" w:color="auto" w:fill="DEDEDE"/>
          </w:tcPr>
          <w:p>
            <w:pPr>
              <w:spacing w:after="0"/>
              <w:rPr>
                <w:sz w:val="14"/>
                <w:szCs w:val="14"/>
                <w:color w:val="auto"/>
              </w:rPr>
            </w:pPr>
          </w:p>
        </w:tc>
        <w:tc>
          <w:tcPr>
            <w:tcW w:w="180" w:type="dxa"/>
            <w:vAlign w:val="bottom"/>
            <w:vMerge w:val="restart"/>
            <w:shd w:val="clear" w:color="auto" w:fill="DEDEDE"/>
          </w:tcPr>
          <w:p>
            <w:pPr>
              <w:spacing w:after="0"/>
              <w:rPr>
                <w:sz w:val="14"/>
                <w:szCs w:val="14"/>
                <w:color w:val="auto"/>
              </w:rPr>
            </w:pPr>
          </w:p>
        </w:tc>
        <w:tc>
          <w:tcPr>
            <w:tcW w:w="200" w:type="dxa"/>
            <w:vAlign w:val="bottom"/>
            <w:vMerge w:val="restart"/>
            <w:shd w:val="clear" w:color="auto" w:fill="DEDEDE"/>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776,622</w:t>
            </w:r>
          </w:p>
        </w:tc>
        <w:tc>
          <w:tcPr>
            <w:tcW w:w="220" w:type="dxa"/>
            <w:vAlign w:val="bottom"/>
            <w:shd w:val="clear" w:color="auto" w:fill="DEDEDE"/>
          </w:tcPr>
          <w:p>
            <w:pPr>
              <w:spacing w:after="0"/>
              <w:rPr>
                <w:sz w:val="14"/>
                <w:szCs w:val="14"/>
                <w:color w:val="auto"/>
              </w:rPr>
            </w:pPr>
          </w:p>
        </w:tc>
        <w:tc>
          <w:tcPr>
            <w:tcW w:w="320" w:type="dxa"/>
            <w:vAlign w:val="bottom"/>
            <w:gridSpan w:val="2"/>
            <w:vMerge w:val="restart"/>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vMerge w:val="restart"/>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200" w:type="dxa"/>
            <w:vAlign w:val="bottom"/>
            <w:vMerge w:val="continue"/>
            <w:shd w:val="clear" w:color="auto" w:fill="DEDEDE"/>
          </w:tcPr>
          <w:p>
            <w:pPr>
              <w:spacing w:after="0"/>
              <w:rPr>
                <w:sz w:val="14"/>
                <w:szCs w:val="14"/>
                <w:color w:val="auto"/>
              </w:rPr>
            </w:pPr>
          </w:p>
        </w:tc>
        <w:tc>
          <w:tcPr>
            <w:tcW w:w="320" w:type="dxa"/>
            <w:vAlign w:val="bottom"/>
            <w:gridSpan w:val="2"/>
            <w:vMerge w:val="restart"/>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769,662</w:t>
            </w:r>
          </w:p>
        </w:tc>
        <w:tc>
          <w:tcPr>
            <w:tcW w:w="120" w:type="dxa"/>
            <w:vAlign w:val="bottom"/>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540" w:type="dxa"/>
            <w:vAlign w:val="bottom"/>
            <w:shd w:val="clear" w:color="auto" w:fill="DEDEDE"/>
          </w:tcPr>
          <w:p>
            <w:pPr>
              <w:spacing w:after="0"/>
              <w:rPr>
                <w:sz w:val="4"/>
                <w:szCs w:val="4"/>
                <w:color w:val="auto"/>
              </w:rPr>
            </w:pPr>
          </w:p>
        </w:tc>
        <w:tc>
          <w:tcPr>
            <w:tcW w:w="180" w:type="dxa"/>
            <w:vAlign w:val="bottom"/>
            <w:vMerge w:val="continue"/>
            <w:shd w:val="clear" w:color="auto" w:fill="DEDEDE"/>
          </w:tcPr>
          <w:p>
            <w:pPr>
              <w:spacing w:after="0"/>
              <w:rPr>
                <w:sz w:val="4"/>
                <w:szCs w:val="4"/>
                <w:color w:val="auto"/>
              </w:rPr>
            </w:pPr>
          </w:p>
        </w:tc>
        <w:tc>
          <w:tcPr>
            <w:tcW w:w="200" w:type="dxa"/>
            <w:vAlign w:val="bottom"/>
            <w:vMerge w:val="continue"/>
            <w:shd w:val="clear" w:color="auto" w:fill="DEDEDE"/>
          </w:tcPr>
          <w:p>
            <w:pPr>
              <w:spacing w:after="0"/>
              <w:rPr>
                <w:sz w:val="4"/>
                <w:szCs w:val="4"/>
                <w:color w:val="auto"/>
              </w:rPr>
            </w:pPr>
          </w:p>
        </w:tc>
        <w:tc>
          <w:tcPr>
            <w:tcW w:w="1160" w:type="dxa"/>
            <w:vAlign w:val="bottom"/>
            <w:vMerge w:val="continue"/>
            <w:shd w:val="clear" w:color="auto" w:fill="DEDEDE"/>
          </w:tcPr>
          <w:p>
            <w:pPr>
              <w:spacing w:after="0"/>
              <w:rPr>
                <w:sz w:val="4"/>
                <w:szCs w:val="4"/>
                <w:color w:val="auto"/>
              </w:rPr>
            </w:pPr>
          </w:p>
        </w:tc>
        <w:tc>
          <w:tcPr>
            <w:tcW w:w="220" w:type="dxa"/>
            <w:vAlign w:val="bottom"/>
            <w:shd w:val="clear" w:color="auto" w:fill="DEDEDE"/>
          </w:tcPr>
          <w:p>
            <w:pPr>
              <w:spacing w:after="0"/>
              <w:rPr>
                <w:sz w:val="4"/>
                <w:szCs w:val="4"/>
                <w:color w:val="auto"/>
              </w:rPr>
            </w:pPr>
          </w:p>
        </w:tc>
        <w:tc>
          <w:tcPr>
            <w:tcW w:w="320" w:type="dxa"/>
            <w:vAlign w:val="bottom"/>
            <w:gridSpan w:val="2"/>
            <w:vMerge w:val="continue"/>
            <w:shd w:val="clear" w:color="auto" w:fill="DEDEDE"/>
          </w:tcPr>
          <w:p>
            <w:pPr>
              <w:spacing w:after="0"/>
              <w:rPr>
                <w:sz w:val="4"/>
                <w:szCs w:val="4"/>
                <w:color w:val="auto"/>
              </w:rPr>
            </w:pPr>
          </w:p>
        </w:tc>
        <w:tc>
          <w:tcPr>
            <w:tcW w:w="1180" w:type="dxa"/>
            <w:vAlign w:val="bottom"/>
            <w:vMerge w:val="continue"/>
            <w:shd w:val="clear" w:color="auto" w:fill="DEDEDE"/>
          </w:tcPr>
          <w:p>
            <w:pPr>
              <w:spacing w:after="0"/>
              <w:rPr>
                <w:sz w:val="4"/>
                <w:szCs w:val="4"/>
                <w:color w:val="auto"/>
              </w:rPr>
            </w:pPr>
          </w:p>
        </w:tc>
        <w:tc>
          <w:tcPr>
            <w:tcW w:w="500" w:type="dxa"/>
            <w:vAlign w:val="bottom"/>
            <w:gridSpan w:val="2"/>
            <w:vMerge w:val="continue"/>
            <w:shd w:val="clear" w:color="auto" w:fill="DEDEDE"/>
          </w:tcPr>
          <w:p>
            <w:pPr>
              <w:spacing w:after="0"/>
              <w:rPr>
                <w:sz w:val="4"/>
                <w:szCs w:val="4"/>
                <w:color w:val="auto"/>
              </w:rPr>
            </w:pPr>
          </w:p>
        </w:tc>
        <w:tc>
          <w:tcPr>
            <w:tcW w:w="1160" w:type="dxa"/>
            <w:vAlign w:val="bottom"/>
            <w:vMerge w:val="continue"/>
            <w:shd w:val="clear" w:color="auto" w:fill="DEDEDE"/>
          </w:tcPr>
          <w:p>
            <w:pPr>
              <w:spacing w:after="0"/>
              <w:rPr>
                <w:sz w:val="4"/>
                <w:szCs w:val="4"/>
                <w:color w:val="auto"/>
              </w:rPr>
            </w:pPr>
          </w:p>
        </w:tc>
        <w:tc>
          <w:tcPr>
            <w:tcW w:w="200" w:type="dxa"/>
            <w:vAlign w:val="bottom"/>
            <w:shd w:val="clear" w:color="auto" w:fill="DEDEDE"/>
          </w:tcPr>
          <w:p>
            <w:pPr>
              <w:spacing w:after="0"/>
              <w:rPr>
                <w:sz w:val="4"/>
                <w:szCs w:val="4"/>
                <w:color w:val="auto"/>
              </w:rPr>
            </w:pPr>
          </w:p>
        </w:tc>
        <w:tc>
          <w:tcPr>
            <w:tcW w:w="320" w:type="dxa"/>
            <w:vAlign w:val="bottom"/>
            <w:gridSpan w:val="2"/>
            <w:vMerge w:val="continue"/>
            <w:shd w:val="clear" w:color="auto" w:fill="DEDEDE"/>
          </w:tcPr>
          <w:p>
            <w:pPr>
              <w:spacing w:after="0"/>
              <w:rPr>
                <w:sz w:val="4"/>
                <w:szCs w:val="4"/>
                <w:color w:val="auto"/>
              </w:rPr>
            </w:pPr>
          </w:p>
        </w:tc>
        <w:tc>
          <w:tcPr>
            <w:tcW w:w="1140" w:type="dxa"/>
            <w:vAlign w:val="bottom"/>
            <w:vMerge w:val="continue"/>
            <w:shd w:val="clear" w:color="auto" w:fill="DEDEDE"/>
          </w:tcPr>
          <w:p>
            <w:pPr>
              <w:spacing w:after="0"/>
              <w:rPr>
                <w:sz w:val="4"/>
                <w:szCs w:val="4"/>
                <w:color w:val="auto"/>
              </w:rPr>
            </w:pPr>
          </w:p>
        </w:tc>
        <w:tc>
          <w:tcPr>
            <w:tcW w:w="120" w:type="dxa"/>
            <w:vAlign w:val="bottom"/>
            <w:shd w:val="clear" w:color="auto" w:fill="DEDED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Equity securities at estimated fair value:</w:t>
            </w:r>
          </w:p>
        </w:tc>
        <w:tc>
          <w:tcPr>
            <w:tcW w:w="18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Industrial, miscellaneous and all other</w:t>
            </w:r>
          </w:p>
        </w:tc>
        <w:tc>
          <w:tcPr>
            <w:tcW w:w="180" w:type="dxa"/>
            <w:vAlign w:val="bottom"/>
            <w:shd w:val="clear" w:color="auto" w:fill="DEDEDE"/>
          </w:tcPr>
          <w:p>
            <w:pPr>
              <w:spacing w:after="0"/>
              <w:rPr>
                <w:sz w:val="19"/>
                <w:szCs w:val="19"/>
                <w:color w:val="auto"/>
              </w:rPr>
            </w:pPr>
          </w:p>
        </w:tc>
        <w:tc>
          <w:tcPr>
            <w:tcW w:w="200" w:type="dxa"/>
            <w:vAlign w:val="bottom"/>
            <w:shd w:val="clear" w:color="auto" w:fill="DEDEDE"/>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3,874,522</w:t>
            </w:r>
          </w:p>
        </w:tc>
        <w:tc>
          <w:tcPr>
            <w:tcW w:w="220" w:type="dxa"/>
            <w:vAlign w:val="bottom"/>
            <w:shd w:val="clear" w:color="auto" w:fill="DEDEDE"/>
          </w:tcPr>
          <w:p>
            <w:pPr>
              <w:spacing w:after="0"/>
              <w:rPr>
                <w:sz w:val="19"/>
                <w:szCs w:val="19"/>
                <w:color w:val="auto"/>
              </w:rPr>
            </w:pPr>
          </w:p>
        </w:tc>
        <w:tc>
          <w:tcPr>
            <w:tcW w:w="3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1,271,529</w:t>
            </w:r>
          </w:p>
        </w:tc>
        <w:tc>
          <w:tcPr>
            <w:tcW w:w="5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(226,007)</w:t>
            </w:r>
          </w:p>
        </w:tc>
        <w:tc>
          <w:tcPr>
            <w:tcW w:w="3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4,920,044</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tcPr>
          <w:p>
            <w:pPr>
              <w:ind w:left="180"/>
              <w:spacing w:after="0" w:line="189" w:lineRule="exact"/>
              <w:rPr>
                <w:sz w:val="20"/>
                <w:szCs w:val="20"/>
                <w:color w:val="auto"/>
              </w:rPr>
            </w:pPr>
            <w:r>
              <w:rPr>
                <w:rFonts w:ascii="Times New Roman" w:cs="Times New Roman" w:eastAsia="Times New Roman" w:hAnsi="Times New Roman"/>
                <w:sz w:val="18"/>
                <w:szCs w:val="18"/>
                <w:color w:val="auto"/>
              </w:rPr>
              <w:t>Total equity securities at estimated fair value</w:t>
            </w: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4540" w:type="dxa"/>
            <w:vAlign w:val="bottom"/>
            <w:vMerge w:val="continue"/>
          </w:tcPr>
          <w:p>
            <w:pPr>
              <w:spacing w:after="0"/>
              <w:rPr>
                <w:sz w:val="14"/>
                <w:szCs w:val="14"/>
                <w:color w:val="auto"/>
              </w:rPr>
            </w:pPr>
          </w:p>
        </w:tc>
        <w:tc>
          <w:tcPr>
            <w:tcW w:w="180" w:type="dxa"/>
            <w:vAlign w:val="bottom"/>
            <w:vMerge w:val="restart"/>
          </w:tcPr>
          <w:p>
            <w:pPr>
              <w:spacing w:after="0"/>
              <w:rPr>
                <w:sz w:val="14"/>
                <w:szCs w:val="14"/>
                <w:color w:val="auto"/>
              </w:rPr>
            </w:pPr>
          </w:p>
        </w:tc>
        <w:tc>
          <w:tcPr>
            <w:tcW w:w="2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3,874,522</w:t>
            </w:r>
          </w:p>
        </w:tc>
        <w:tc>
          <w:tcPr>
            <w:tcW w:w="220" w:type="dxa"/>
            <w:vAlign w:val="bottom"/>
          </w:tcPr>
          <w:p>
            <w:pPr>
              <w:spacing w:after="0"/>
              <w:rPr>
                <w:sz w:val="14"/>
                <w:szCs w:val="14"/>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1,271,529</w:t>
            </w:r>
          </w:p>
        </w:tc>
        <w:tc>
          <w:tcPr>
            <w:tcW w:w="5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(226,007</w:t>
            </w:r>
          </w:p>
        </w:tc>
        <w:tc>
          <w:tcPr>
            <w:tcW w:w="200" w:type="dxa"/>
            <w:vAlign w:val="bottom"/>
            <w:vMerge w:val="continue"/>
          </w:tcPr>
          <w:p>
            <w:pPr>
              <w:spacing w:after="0"/>
              <w:rPr>
                <w:sz w:val="14"/>
                <w:szCs w:val="14"/>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4,920,044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4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500" w:type="dxa"/>
            <w:vAlign w:val="bottom"/>
            <w:gridSpan w:val="2"/>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4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auto"/>
            </w:tcBorders>
            <w:shd w:val="clear" w:color="auto" w:fill="DEDEDE"/>
          </w:tcPr>
          <w:p>
            <w:pPr>
              <w:spacing w:after="0"/>
              <w:rPr>
                <w:sz w:val="17"/>
                <w:szCs w:val="17"/>
                <w:color w:val="auto"/>
              </w:rPr>
            </w:pPr>
          </w:p>
        </w:tc>
        <w:tc>
          <w:tcPr>
            <w:tcW w:w="1160" w:type="dxa"/>
            <w:vAlign w:val="bottom"/>
            <w:tcBorders>
              <w:top w:val="single" w:sz="8" w:color="auto"/>
            </w:tcBorders>
            <w:shd w:val="clear" w:color="auto" w:fill="DEDEDE"/>
          </w:tcPr>
          <w:p>
            <w:pPr>
              <w:spacing w:after="0"/>
              <w:rPr>
                <w:sz w:val="17"/>
                <w:szCs w:val="17"/>
                <w:color w:val="auto"/>
              </w:rPr>
            </w:pPr>
          </w:p>
        </w:tc>
        <w:tc>
          <w:tcPr>
            <w:tcW w:w="22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80" w:type="dxa"/>
            <w:vAlign w:val="bottom"/>
            <w:tcBorders>
              <w:top w:val="single" w:sz="8" w:color="auto"/>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160" w:type="dxa"/>
            <w:vAlign w:val="bottom"/>
            <w:tcBorders>
              <w:top w:val="single" w:sz="8" w:color="auto"/>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auto"/>
            </w:tcBorders>
            <w:shd w:val="clear" w:color="auto" w:fill="DEDEDE"/>
          </w:tcPr>
          <w:p>
            <w:pPr>
              <w:spacing w:after="0"/>
              <w:rPr>
                <w:sz w:val="17"/>
                <w:szCs w:val="17"/>
                <w:color w:val="auto"/>
              </w:rPr>
            </w:pPr>
          </w:p>
        </w:tc>
        <w:tc>
          <w:tcPr>
            <w:tcW w:w="1140" w:type="dxa"/>
            <w:vAlign w:val="bottom"/>
            <w:tcBorders>
              <w:top w:val="single" w:sz="8" w:color="auto"/>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at amortized cost: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Residential construction</w:t>
            </w:r>
          </w:p>
        </w:tc>
        <w:tc>
          <w:tcPr>
            <w:tcW w:w="380" w:type="dxa"/>
            <w:vAlign w:val="bottom"/>
            <w:gridSpan w:val="2"/>
            <w:shd w:val="clear" w:color="auto" w:fill="DEDEDE"/>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202,600</w:t>
            </w:r>
          </w:p>
        </w:tc>
        <w:tc>
          <w:tcPr>
            <w:tcW w:w="2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Commercial</w:t>
            </w:r>
          </w:p>
        </w:tc>
        <w:tc>
          <w:tcPr>
            <w:tcW w:w="18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1,939,269</w:t>
            </w:r>
          </w:p>
        </w:tc>
        <w:tc>
          <w:tcPr>
            <w:tcW w:w="2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mortgage loans held for investment</w:t>
            </w: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200" w:type="dxa"/>
            <w:vAlign w:val="bottom"/>
            <w:tcBorders>
              <w:top w:val="single" w:sz="8" w:color="auto"/>
              <w:bottom w:val="single" w:sz="8" w:color="auto"/>
            </w:tcBorders>
            <w:shd w:val="clear" w:color="auto" w:fill="DEDEDE"/>
          </w:tcPr>
          <w:p>
            <w:pPr>
              <w:jc w:val="right"/>
              <w:ind w:right="31"/>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2,141,464</w:t>
            </w:r>
          </w:p>
        </w:tc>
        <w:tc>
          <w:tcPr>
            <w:tcW w:w="22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180" w:type="dxa"/>
            <w:vAlign w:val="bottom"/>
            <w:tcBorders>
              <w:top w:val="single" w:sz="8" w:color="DEDEDE"/>
              <w:bottom w:val="single" w:sz="8" w:color="DEDEDE"/>
            </w:tcBorders>
            <w:shd w:val="clear" w:color="auto" w:fill="DEDEDE"/>
          </w:tcPr>
          <w:p>
            <w:pPr>
              <w:spacing w:after="0"/>
              <w:rPr>
                <w:sz w:val="19"/>
                <w:szCs w:val="19"/>
                <w:color w:val="auto"/>
              </w:rPr>
            </w:pP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160" w:type="dxa"/>
            <w:vAlign w:val="bottom"/>
            <w:tcBorders>
              <w:top w:val="single" w:sz="8" w:color="DEDEDE"/>
              <w:bottom w:val="single" w:sz="8" w:color="DEDEDE"/>
            </w:tcBorders>
            <w:shd w:val="clear" w:color="auto" w:fill="DEDEDE"/>
          </w:tcPr>
          <w:p>
            <w:pPr>
              <w:spacing w:after="0"/>
              <w:rPr>
                <w:sz w:val="19"/>
                <w:szCs w:val="19"/>
                <w:color w:val="auto"/>
              </w:rPr>
            </w:pP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1140" w:type="dxa"/>
            <w:vAlign w:val="bottom"/>
            <w:tcBorders>
              <w:top w:val="single" w:sz="8" w:color="DEDEDE"/>
              <w:bottom w:val="single" w:sz="8" w:color="DEDEDE"/>
            </w:tcBorders>
            <w:shd w:val="clear" w:color="auto" w:fill="DEDEDE"/>
          </w:tcPr>
          <w:p>
            <w:pPr>
              <w:spacing w:after="0"/>
              <w:rPr>
                <w:sz w:val="19"/>
                <w:szCs w:val="19"/>
                <w:color w:val="auto"/>
              </w:rPr>
            </w:pP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5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gridSpan w:val="2"/>
            <w:shd w:val="clear" w:color="auto" w:fill="DEDEDE"/>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1,002,396</w:t>
            </w:r>
          </w:p>
        </w:tc>
        <w:tc>
          <w:tcPr>
            <w:tcW w:w="2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80" w:type="dxa"/>
            <w:vAlign w:val="bottom"/>
            <w:shd w:val="clear" w:color="auto" w:fill="DEDEDE"/>
          </w:tcPr>
          <w:p>
            <w:pPr>
              <w:spacing w:after="0"/>
              <w:rPr>
                <w:sz w:val="21"/>
                <w:szCs w:val="21"/>
                <w:color w:val="auto"/>
              </w:rPr>
            </w:pPr>
          </w:p>
        </w:tc>
        <w:tc>
          <w:tcPr>
            <w:tcW w:w="32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6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14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1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5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80" w:type="dxa"/>
            <w:vAlign w:val="bottom"/>
            <w:gridSpan w:val="2"/>
            <w:shd w:val="clear" w:color="auto" w:fill="DEDEDE"/>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2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80" w:type="dxa"/>
            <w:vAlign w:val="bottom"/>
            <w:shd w:val="clear" w:color="auto" w:fill="DEDEDE"/>
          </w:tcPr>
          <w:p>
            <w:pPr>
              <w:spacing w:after="0"/>
              <w:rPr>
                <w:sz w:val="21"/>
                <w:szCs w:val="21"/>
                <w:color w:val="auto"/>
              </w:rPr>
            </w:pPr>
          </w:p>
        </w:tc>
        <w:tc>
          <w:tcPr>
            <w:tcW w:w="32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6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14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1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5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cemetery perpetual care trust investments</w:t>
            </w:r>
          </w:p>
        </w:tc>
        <w:tc>
          <w:tcPr>
            <w:tcW w:w="380" w:type="dxa"/>
            <w:vAlign w:val="bottom"/>
            <w:gridSpan w:val="2"/>
            <w:shd w:val="clear" w:color="auto" w:fill="DEDEDE"/>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8,836,503</w:t>
            </w:r>
          </w:p>
        </w:tc>
        <w:tc>
          <w:tcPr>
            <w:tcW w:w="2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80" w:type="dxa"/>
            <w:vAlign w:val="bottom"/>
            <w:shd w:val="clear" w:color="auto" w:fill="DEDEDE"/>
          </w:tcPr>
          <w:p>
            <w:pPr>
              <w:spacing w:after="0"/>
              <w:rPr>
                <w:sz w:val="21"/>
                <w:szCs w:val="21"/>
                <w:color w:val="auto"/>
              </w:rPr>
            </w:pPr>
          </w:p>
        </w:tc>
        <w:tc>
          <w:tcPr>
            <w:tcW w:w="32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6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14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1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540" w:type="dxa"/>
            <w:vAlign w:val="bottom"/>
            <w:shd w:val="clear" w:color="auto" w:fill="DEDEDE"/>
          </w:tcPr>
          <w:p>
            <w:pPr>
              <w:spacing w:after="0" w:line="162" w:lineRule="exact"/>
              <w:rPr>
                <w:sz w:val="20"/>
                <w:szCs w:val="20"/>
                <w:color w:val="auto"/>
              </w:rPr>
            </w:pPr>
            <w:r>
              <w:rPr>
                <w:rFonts w:ascii="Times New Roman" w:cs="Times New Roman" w:eastAsia="Times New Roman" w:hAnsi="Times New Roman"/>
                <w:sz w:val="18"/>
                <w:szCs w:val="18"/>
                <w:color w:val="auto"/>
              </w:rPr>
              <w:t>Cemetery perpetual care obligation</w:t>
            </w:r>
          </w:p>
        </w:tc>
        <w:tc>
          <w:tcPr>
            <w:tcW w:w="380" w:type="dxa"/>
            <w:vAlign w:val="bottom"/>
            <w:gridSpan w:val="2"/>
            <w:vMerge w:val="restart"/>
            <w:shd w:val="clear" w:color="auto" w:fill="DEDEDE"/>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DEDEDE"/>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4"/>
                <w:szCs w:val="14"/>
                <w:color w:val="auto"/>
              </w:rPr>
            </w:pPr>
          </w:p>
        </w:tc>
        <w:tc>
          <w:tcPr>
            <w:tcW w:w="180" w:type="dxa"/>
            <w:vAlign w:val="bottom"/>
            <w:shd w:val="clear" w:color="auto" w:fill="DEDEDE"/>
          </w:tcPr>
          <w:p>
            <w:pPr>
              <w:spacing w:after="0"/>
              <w:rPr>
                <w:sz w:val="14"/>
                <w:szCs w:val="14"/>
                <w:color w:val="auto"/>
              </w:rPr>
            </w:pPr>
          </w:p>
        </w:tc>
        <w:tc>
          <w:tcPr>
            <w:tcW w:w="1180" w:type="dxa"/>
            <w:vAlign w:val="bottom"/>
            <w:shd w:val="clear" w:color="auto" w:fill="DEDEDE"/>
          </w:tcPr>
          <w:p>
            <w:pPr>
              <w:spacing w:after="0"/>
              <w:rPr>
                <w:sz w:val="14"/>
                <w:szCs w:val="14"/>
                <w:color w:val="auto"/>
              </w:rPr>
            </w:pPr>
          </w:p>
        </w:tc>
        <w:tc>
          <w:tcPr>
            <w:tcW w:w="320" w:type="dxa"/>
            <w:vAlign w:val="bottom"/>
            <w:shd w:val="clear" w:color="auto" w:fill="DEDEDE"/>
          </w:tcPr>
          <w:p>
            <w:pPr>
              <w:spacing w:after="0"/>
              <w:rPr>
                <w:sz w:val="14"/>
                <w:szCs w:val="14"/>
                <w:color w:val="auto"/>
              </w:rPr>
            </w:pPr>
          </w:p>
        </w:tc>
        <w:tc>
          <w:tcPr>
            <w:tcW w:w="180" w:type="dxa"/>
            <w:vAlign w:val="bottom"/>
            <w:shd w:val="clear" w:color="auto" w:fill="DEDEDE"/>
          </w:tcPr>
          <w:p>
            <w:pPr>
              <w:spacing w:after="0"/>
              <w:rPr>
                <w:sz w:val="14"/>
                <w:szCs w:val="14"/>
                <w:color w:val="auto"/>
              </w:rPr>
            </w:pPr>
          </w:p>
        </w:tc>
        <w:tc>
          <w:tcPr>
            <w:tcW w:w="1160" w:type="dxa"/>
            <w:vAlign w:val="bottom"/>
            <w:shd w:val="clear" w:color="auto" w:fill="DEDEDE"/>
          </w:tcPr>
          <w:p>
            <w:pPr>
              <w:spacing w:after="0"/>
              <w:rPr>
                <w:sz w:val="14"/>
                <w:szCs w:val="14"/>
                <w:color w:val="auto"/>
              </w:rPr>
            </w:pPr>
          </w:p>
        </w:tc>
        <w:tc>
          <w:tcPr>
            <w:tcW w:w="200" w:type="dxa"/>
            <w:vAlign w:val="bottom"/>
            <w:shd w:val="clear" w:color="auto" w:fill="DEDEDE"/>
          </w:tcPr>
          <w:p>
            <w:pPr>
              <w:spacing w:after="0"/>
              <w:rPr>
                <w:sz w:val="14"/>
                <w:szCs w:val="14"/>
                <w:color w:val="auto"/>
              </w:rPr>
            </w:pPr>
          </w:p>
        </w:tc>
        <w:tc>
          <w:tcPr>
            <w:tcW w:w="120" w:type="dxa"/>
            <w:vAlign w:val="bottom"/>
            <w:shd w:val="clear" w:color="auto" w:fill="DEDEDE"/>
          </w:tcPr>
          <w:p>
            <w:pPr>
              <w:spacing w:after="0"/>
              <w:rPr>
                <w:sz w:val="14"/>
                <w:szCs w:val="14"/>
                <w:color w:val="auto"/>
              </w:rPr>
            </w:pPr>
          </w:p>
        </w:tc>
        <w:tc>
          <w:tcPr>
            <w:tcW w:w="200" w:type="dxa"/>
            <w:vAlign w:val="bottom"/>
            <w:shd w:val="clear" w:color="auto" w:fill="DEDEDE"/>
          </w:tcPr>
          <w:p>
            <w:pPr>
              <w:spacing w:after="0"/>
              <w:rPr>
                <w:sz w:val="14"/>
                <w:szCs w:val="14"/>
                <w:color w:val="auto"/>
              </w:rPr>
            </w:pPr>
          </w:p>
        </w:tc>
        <w:tc>
          <w:tcPr>
            <w:tcW w:w="1140" w:type="dxa"/>
            <w:vAlign w:val="bottom"/>
            <w:shd w:val="clear" w:color="auto" w:fill="DEDEDE"/>
          </w:tcPr>
          <w:p>
            <w:pPr>
              <w:spacing w:after="0"/>
              <w:rPr>
                <w:sz w:val="14"/>
                <w:szCs w:val="14"/>
                <w:color w:val="auto"/>
              </w:rPr>
            </w:pPr>
          </w:p>
        </w:tc>
        <w:tc>
          <w:tcPr>
            <w:tcW w:w="120" w:type="dxa"/>
            <w:vAlign w:val="bottom"/>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540" w:type="dxa"/>
            <w:vAlign w:val="bottom"/>
            <w:shd w:val="clear" w:color="auto" w:fill="DEDEDE"/>
          </w:tcPr>
          <w:p>
            <w:pPr>
              <w:spacing w:after="0"/>
              <w:rPr>
                <w:sz w:val="7"/>
                <w:szCs w:val="7"/>
                <w:color w:val="auto"/>
              </w:rPr>
            </w:pPr>
          </w:p>
        </w:tc>
        <w:tc>
          <w:tcPr>
            <w:tcW w:w="380" w:type="dxa"/>
            <w:vAlign w:val="bottom"/>
            <w:gridSpan w:val="2"/>
            <w:vMerge w:val="continue"/>
            <w:shd w:val="clear" w:color="auto" w:fill="DEDEDE"/>
          </w:tcPr>
          <w:p>
            <w:pPr>
              <w:spacing w:after="0"/>
              <w:rPr>
                <w:sz w:val="7"/>
                <w:szCs w:val="7"/>
                <w:color w:val="auto"/>
              </w:rPr>
            </w:pPr>
          </w:p>
        </w:tc>
        <w:tc>
          <w:tcPr>
            <w:tcW w:w="1160" w:type="dxa"/>
            <w:vAlign w:val="bottom"/>
            <w:shd w:val="clear" w:color="auto" w:fill="DEDEDE"/>
          </w:tcPr>
          <w:p>
            <w:pPr>
              <w:jc w:val="right"/>
              <w:spacing w:after="0" w:line="81" w:lineRule="exact"/>
              <w:rPr>
                <w:sz w:val="20"/>
                <w:szCs w:val="20"/>
                <w:color w:val="auto"/>
              </w:rPr>
            </w:pPr>
            <w:r>
              <w:rPr>
                <w:rFonts w:ascii="Times New Roman" w:cs="Times New Roman" w:eastAsia="Times New Roman" w:hAnsi="Times New Roman"/>
                <w:sz w:val="9"/>
                <w:szCs w:val="9"/>
                <w:color w:val="auto"/>
              </w:rPr>
              <w:t>(5,642,693</w:t>
            </w:r>
          </w:p>
        </w:tc>
        <w:tc>
          <w:tcPr>
            <w:tcW w:w="220" w:type="dxa"/>
            <w:vAlign w:val="bottom"/>
            <w:shd w:val="clear" w:color="auto" w:fill="DEDEDE"/>
          </w:tcPr>
          <w:p>
            <w:pPr>
              <w:spacing w:after="0"/>
              <w:rPr>
                <w:sz w:val="7"/>
                <w:szCs w:val="7"/>
                <w:color w:val="auto"/>
              </w:rPr>
            </w:pPr>
          </w:p>
        </w:tc>
        <w:tc>
          <w:tcPr>
            <w:tcW w:w="140" w:type="dxa"/>
            <w:vAlign w:val="bottom"/>
            <w:shd w:val="clear" w:color="auto" w:fill="DEDEDE"/>
          </w:tcPr>
          <w:p>
            <w:pPr>
              <w:spacing w:after="0"/>
              <w:rPr>
                <w:sz w:val="7"/>
                <w:szCs w:val="7"/>
                <w:color w:val="auto"/>
              </w:rPr>
            </w:pPr>
          </w:p>
        </w:tc>
        <w:tc>
          <w:tcPr>
            <w:tcW w:w="180" w:type="dxa"/>
            <w:vAlign w:val="bottom"/>
            <w:shd w:val="clear" w:color="auto" w:fill="DEDEDE"/>
          </w:tcPr>
          <w:p>
            <w:pPr>
              <w:spacing w:after="0"/>
              <w:rPr>
                <w:sz w:val="7"/>
                <w:szCs w:val="7"/>
                <w:color w:val="auto"/>
              </w:rPr>
            </w:pPr>
          </w:p>
        </w:tc>
        <w:tc>
          <w:tcPr>
            <w:tcW w:w="1180" w:type="dxa"/>
            <w:vAlign w:val="bottom"/>
            <w:shd w:val="clear" w:color="auto" w:fill="DEDEDE"/>
          </w:tcPr>
          <w:p>
            <w:pPr>
              <w:spacing w:after="0"/>
              <w:rPr>
                <w:sz w:val="7"/>
                <w:szCs w:val="7"/>
                <w:color w:val="auto"/>
              </w:rPr>
            </w:pPr>
          </w:p>
        </w:tc>
        <w:tc>
          <w:tcPr>
            <w:tcW w:w="320" w:type="dxa"/>
            <w:vAlign w:val="bottom"/>
            <w:shd w:val="clear" w:color="auto" w:fill="DEDEDE"/>
          </w:tcPr>
          <w:p>
            <w:pPr>
              <w:spacing w:after="0"/>
              <w:rPr>
                <w:sz w:val="7"/>
                <w:szCs w:val="7"/>
                <w:color w:val="auto"/>
              </w:rPr>
            </w:pPr>
          </w:p>
        </w:tc>
        <w:tc>
          <w:tcPr>
            <w:tcW w:w="180" w:type="dxa"/>
            <w:vAlign w:val="bottom"/>
            <w:shd w:val="clear" w:color="auto" w:fill="DEDEDE"/>
          </w:tcPr>
          <w:p>
            <w:pPr>
              <w:spacing w:after="0"/>
              <w:rPr>
                <w:sz w:val="7"/>
                <w:szCs w:val="7"/>
                <w:color w:val="auto"/>
              </w:rPr>
            </w:pPr>
          </w:p>
        </w:tc>
        <w:tc>
          <w:tcPr>
            <w:tcW w:w="1160" w:type="dxa"/>
            <w:vAlign w:val="bottom"/>
            <w:shd w:val="clear" w:color="auto" w:fill="DEDEDE"/>
          </w:tcPr>
          <w:p>
            <w:pPr>
              <w:spacing w:after="0"/>
              <w:rPr>
                <w:sz w:val="7"/>
                <w:szCs w:val="7"/>
                <w:color w:val="auto"/>
              </w:rPr>
            </w:pPr>
          </w:p>
        </w:tc>
        <w:tc>
          <w:tcPr>
            <w:tcW w:w="200" w:type="dxa"/>
            <w:vAlign w:val="bottom"/>
            <w:shd w:val="clear" w:color="auto" w:fill="DEDEDE"/>
          </w:tcPr>
          <w:p>
            <w:pPr>
              <w:spacing w:after="0"/>
              <w:rPr>
                <w:sz w:val="7"/>
                <w:szCs w:val="7"/>
                <w:color w:val="auto"/>
              </w:rPr>
            </w:pPr>
          </w:p>
        </w:tc>
        <w:tc>
          <w:tcPr>
            <w:tcW w:w="120" w:type="dxa"/>
            <w:vAlign w:val="bottom"/>
            <w:shd w:val="clear" w:color="auto" w:fill="DEDEDE"/>
          </w:tcPr>
          <w:p>
            <w:pPr>
              <w:spacing w:after="0"/>
              <w:rPr>
                <w:sz w:val="7"/>
                <w:szCs w:val="7"/>
                <w:color w:val="auto"/>
              </w:rPr>
            </w:pPr>
          </w:p>
        </w:tc>
        <w:tc>
          <w:tcPr>
            <w:tcW w:w="200" w:type="dxa"/>
            <w:vAlign w:val="bottom"/>
            <w:shd w:val="clear" w:color="auto" w:fill="DEDEDE"/>
          </w:tcPr>
          <w:p>
            <w:pPr>
              <w:spacing w:after="0"/>
              <w:rPr>
                <w:sz w:val="7"/>
                <w:szCs w:val="7"/>
                <w:color w:val="auto"/>
              </w:rPr>
            </w:pPr>
          </w:p>
        </w:tc>
        <w:tc>
          <w:tcPr>
            <w:tcW w:w="1140" w:type="dxa"/>
            <w:vAlign w:val="bottom"/>
            <w:shd w:val="clear" w:color="auto" w:fill="DEDEDE"/>
          </w:tcPr>
          <w:p>
            <w:pPr>
              <w:spacing w:after="0"/>
              <w:rPr>
                <w:sz w:val="7"/>
                <w:szCs w:val="7"/>
                <w:color w:val="auto"/>
              </w:rPr>
            </w:pPr>
          </w:p>
        </w:tc>
        <w:tc>
          <w:tcPr>
            <w:tcW w:w="120" w:type="dxa"/>
            <w:vAlign w:val="bottom"/>
            <w:shd w:val="clear" w:color="auto" w:fill="DEDED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1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5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Trust investments in excess of trust obligations</w:t>
            </w:r>
          </w:p>
        </w:tc>
        <w:tc>
          <w:tcPr>
            <w:tcW w:w="380" w:type="dxa"/>
            <w:vAlign w:val="bottom"/>
            <w:gridSpan w:val="2"/>
            <w:shd w:val="clear" w:color="auto" w:fill="DEDEDE"/>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3,193,810</w:t>
            </w:r>
          </w:p>
        </w:tc>
        <w:tc>
          <w:tcPr>
            <w:tcW w:w="220" w:type="dxa"/>
            <w:vAlign w:val="bottom"/>
            <w:shd w:val="clear" w:color="auto" w:fill="DEDEDE"/>
          </w:tcPr>
          <w:p>
            <w:pPr>
              <w:spacing w:after="0"/>
              <w:rPr>
                <w:sz w:val="21"/>
                <w:szCs w:val="21"/>
                <w:color w:val="auto"/>
              </w:rPr>
            </w:pPr>
          </w:p>
        </w:tc>
        <w:tc>
          <w:tcPr>
            <w:tcW w:w="14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80" w:type="dxa"/>
            <w:vAlign w:val="bottom"/>
            <w:shd w:val="clear" w:color="auto" w:fill="DEDEDE"/>
          </w:tcPr>
          <w:p>
            <w:pPr>
              <w:spacing w:after="0"/>
              <w:rPr>
                <w:sz w:val="21"/>
                <w:szCs w:val="21"/>
                <w:color w:val="auto"/>
              </w:rPr>
            </w:pPr>
          </w:p>
        </w:tc>
        <w:tc>
          <w:tcPr>
            <w:tcW w:w="320" w:type="dxa"/>
            <w:vAlign w:val="bottom"/>
            <w:shd w:val="clear" w:color="auto" w:fill="DEDEDE"/>
          </w:tcPr>
          <w:p>
            <w:pPr>
              <w:spacing w:after="0"/>
              <w:rPr>
                <w:sz w:val="21"/>
                <w:szCs w:val="21"/>
                <w:color w:val="auto"/>
              </w:rPr>
            </w:pPr>
          </w:p>
        </w:tc>
        <w:tc>
          <w:tcPr>
            <w:tcW w:w="180" w:type="dxa"/>
            <w:vAlign w:val="bottom"/>
            <w:shd w:val="clear" w:color="auto" w:fill="DEDEDE"/>
          </w:tcPr>
          <w:p>
            <w:pPr>
              <w:spacing w:after="0"/>
              <w:rPr>
                <w:sz w:val="21"/>
                <w:szCs w:val="21"/>
                <w:color w:val="auto"/>
              </w:rPr>
            </w:pPr>
          </w:p>
        </w:tc>
        <w:tc>
          <w:tcPr>
            <w:tcW w:w="116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200" w:type="dxa"/>
            <w:vAlign w:val="bottom"/>
            <w:shd w:val="clear" w:color="auto" w:fill="DEDEDE"/>
          </w:tcPr>
          <w:p>
            <w:pPr>
              <w:spacing w:after="0"/>
              <w:rPr>
                <w:sz w:val="21"/>
                <w:szCs w:val="21"/>
                <w:color w:val="auto"/>
              </w:rPr>
            </w:pPr>
          </w:p>
        </w:tc>
        <w:tc>
          <w:tcPr>
            <w:tcW w:w="1140" w:type="dxa"/>
            <w:vAlign w:val="bottom"/>
            <w:shd w:val="clear" w:color="auto" w:fill="DEDEDE"/>
          </w:tcPr>
          <w:p>
            <w:pPr>
              <w:spacing w:after="0"/>
              <w:rPr>
                <w:sz w:val="21"/>
                <w:szCs w:val="21"/>
                <w:color w:val="auto"/>
              </w:rPr>
            </w:pP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80" w:type="dxa"/>
            <w:vAlign w:val="bottom"/>
            <w:tcBorders>
              <w:top w:val="single" w:sz="8" w:color="DEDEDE"/>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1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14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2240" w:h="15840" w:orient="portrait"/>
          <w:cols w:equalWidth="0" w:num="1">
            <w:col w:w="11260"/>
          </w:cols>
          <w:pgMar w:left="480" w:top="687" w:right="500" w:bottom="0" w:gutter="0" w:footer="0" w:header="0"/>
        </w:sectPr>
      </w:pPr>
    </w:p>
    <w:bookmarkStart w:id="89" w:name="page90"/>
    <w:bookmarkEnd w:id="89"/>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2" w:right="5420" w:hanging="2"/>
        <w:spacing w:after="0" w:line="500" w:lineRule="auto"/>
        <w:tabs>
          <w:tab w:leader="none" w:pos="65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Cemetery Perpetual Care Trust Investments and Obligation</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Fixed Maturity Securities</w:t>
      </w:r>
    </w:p>
    <w:p>
      <w:pPr>
        <w:spacing w:after="0" w:line="1"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table below summarizes unrealized losses on fixed maturity securities available for sale that were carried at estimated fair value as of December 31, 2025, and 2024. The unrealized losses were primarily related to interest rate fluctuations. The tables set forth unrealized losses by duration with the fair value of the related fixed maturity securities:</w:t>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Unrealized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Unrealized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Losses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Losses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for Less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for More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than</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6"/>
              </w:rPr>
              <w:t>than</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Twelve</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Fair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Twelve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Fair</w:t>
            </w:r>
          </w:p>
        </w:tc>
        <w:tc>
          <w:tcPr>
            <w:tcW w:w="144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Unrealized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6"/>
              </w:rPr>
              <w:t>Fair</w:t>
            </w:r>
          </w:p>
        </w:tc>
        <w:tc>
          <w:tcPr>
            <w:tcW w:w="0" w:type="dxa"/>
            <w:vAlign w:val="bottom"/>
          </w:tcPr>
          <w:p>
            <w:pPr>
              <w:spacing w:after="0"/>
              <w:rPr>
                <w:sz w:val="1"/>
                <w:szCs w:val="1"/>
                <w:color w:val="auto"/>
              </w:rPr>
            </w:pPr>
          </w:p>
        </w:tc>
      </w:tr>
      <w:tr>
        <w:trPr>
          <w:trHeight w:val="236"/>
        </w:trPr>
        <w:tc>
          <w:tcPr>
            <w:tcW w:w="4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Value</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Months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Value</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Loss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210"/>
        </w:trPr>
        <w:tc>
          <w:tcPr>
            <w:tcW w:w="454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u w:val="single" w:color="auto"/>
                <w:color w:val="auto"/>
              </w:rPr>
              <w:t>At December 31, 2025</w:t>
            </w:r>
          </w:p>
        </w:tc>
        <w:tc>
          <w:tcPr>
            <w:tcW w:w="18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720" w:type="dxa"/>
            <w:vAlign w:val="bottom"/>
            <w:tcBorders>
              <w:top w:val="single" w:sz="8" w:color="auto"/>
            </w:tcBorders>
            <w:shd w:val="clear" w:color="auto" w:fill="DEDEDE"/>
          </w:tcPr>
          <w:p>
            <w:pPr>
              <w:spacing w:after="0"/>
              <w:rPr>
                <w:sz w:val="18"/>
                <w:szCs w:val="18"/>
                <w:color w:val="auto"/>
              </w:rPr>
            </w:pPr>
          </w:p>
        </w:tc>
        <w:tc>
          <w:tcPr>
            <w:tcW w:w="34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18"/>
                <w:szCs w:val="18"/>
                <w:color w:val="auto"/>
              </w:rPr>
            </w:pPr>
          </w:p>
        </w:tc>
        <w:tc>
          <w:tcPr>
            <w:tcW w:w="660" w:type="dxa"/>
            <w:vAlign w:val="bottom"/>
            <w:tcBorders>
              <w:top w:val="single" w:sz="8" w:color="auto"/>
            </w:tcBorders>
            <w:shd w:val="clear" w:color="auto" w:fill="DEDEDE"/>
          </w:tcPr>
          <w:p>
            <w:pPr>
              <w:spacing w:after="0"/>
              <w:rPr>
                <w:sz w:val="18"/>
                <w:szCs w:val="18"/>
                <w:color w:val="auto"/>
              </w:rPr>
            </w:pPr>
          </w:p>
        </w:tc>
        <w:tc>
          <w:tcPr>
            <w:tcW w:w="36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680" w:type="dxa"/>
            <w:vAlign w:val="bottom"/>
            <w:tcBorders>
              <w:top w:val="single" w:sz="8" w:color="auto"/>
            </w:tcBorders>
            <w:shd w:val="clear" w:color="auto" w:fill="DEDEDE"/>
          </w:tcPr>
          <w:p>
            <w:pPr>
              <w:spacing w:after="0"/>
              <w:rPr>
                <w:sz w:val="18"/>
                <w:szCs w:val="18"/>
                <w:color w:val="auto"/>
              </w:rPr>
            </w:pPr>
          </w:p>
        </w:tc>
        <w:tc>
          <w:tcPr>
            <w:tcW w:w="34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auto"/>
            </w:tcBorders>
            <w:shd w:val="clear" w:color="auto" w:fill="DEDEDE"/>
          </w:tcPr>
          <w:p>
            <w:pPr>
              <w:spacing w:after="0"/>
              <w:rPr>
                <w:sz w:val="18"/>
                <w:szCs w:val="18"/>
                <w:color w:val="auto"/>
              </w:rPr>
            </w:pPr>
          </w:p>
        </w:tc>
        <w:tc>
          <w:tcPr>
            <w:tcW w:w="64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620" w:type="dxa"/>
            <w:vAlign w:val="bottom"/>
            <w:tcBorders>
              <w:top w:val="single" w:sz="8" w:color="auto"/>
            </w:tcBorders>
            <w:shd w:val="clear" w:color="auto" w:fill="DEDEDE"/>
          </w:tcPr>
          <w:p>
            <w:pPr>
              <w:spacing w:after="0"/>
              <w:rPr>
                <w:sz w:val="18"/>
                <w:szCs w:val="18"/>
                <w:color w:val="auto"/>
              </w:rPr>
            </w:pPr>
          </w:p>
        </w:tc>
        <w:tc>
          <w:tcPr>
            <w:tcW w:w="34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64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118,432</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3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340" w:type="dxa"/>
            <w:vAlign w:val="bottom"/>
            <w:tcBorders>
              <w:top w:val="single" w:sz="8" w:color="DEDEDE"/>
              <w:bottom w:val="single" w:sz="8" w:color="DEDEDE"/>
            </w:tcBorders>
            <w:shd w:val="clear" w:color="auto" w:fill="DEDEDE"/>
          </w:tcPr>
          <w:p>
            <w:pPr>
              <w:spacing w:after="0"/>
              <w:rPr>
                <w:sz w:val="19"/>
                <w:szCs w:val="19"/>
                <w:color w:val="auto"/>
              </w:rPr>
            </w:pPr>
          </w:p>
        </w:tc>
        <w:tc>
          <w:tcPr>
            <w:tcW w:w="1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118,432</w:t>
            </w: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auto"/>
              <w:bottom w:val="single" w:sz="8" w:color="auto"/>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340" w:type="dxa"/>
            <w:vAlign w:val="bottom"/>
            <w:tcBorders>
              <w:top w:val="single" w:sz="8" w:color="DEDEDE"/>
              <w:bottom w:val="single" w:sz="8" w:color="DEDEDE"/>
            </w:tcBorders>
            <w:shd w:val="clear" w:color="auto" w:fill="DEDEDE"/>
          </w:tcPr>
          <w:p>
            <w:pPr>
              <w:spacing w:after="0"/>
              <w:rPr>
                <w:sz w:val="19"/>
                <w:szCs w:val="19"/>
                <w:color w:val="auto"/>
              </w:rPr>
            </w:pPr>
          </w:p>
        </w:tc>
        <w:tc>
          <w:tcPr>
            <w:tcW w:w="2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118,432</w:t>
            </w: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u w:val="single" w:color="auto"/>
                <w:color w:val="auto"/>
              </w:rPr>
              <w:t>At December 31, 2024</w:t>
            </w:r>
          </w:p>
        </w:tc>
        <w:tc>
          <w:tcPr>
            <w:tcW w:w="1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7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660" w:type="dxa"/>
            <w:vAlign w:val="bottom"/>
            <w:shd w:val="clear" w:color="auto" w:fill="DEDEDE"/>
          </w:tcPr>
          <w:p>
            <w:pPr>
              <w:spacing w:after="0"/>
              <w:rPr>
                <w:sz w:val="18"/>
                <w:szCs w:val="18"/>
                <w:color w:val="auto"/>
              </w:rPr>
            </w:pPr>
          </w:p>
        </w:tc>
        <w:tc>
          <w:tcPr>
            <w:tcW w:w="3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6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64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6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64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U.S. Treasury securities and obligations of U.S. Government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agencies</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649,419</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3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649,419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80" w:type="dxa"/>
            <w:vAlign w:val="bottom"/>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spacing w:after="0"/>
              <w:rPr>
                <w:sz w:val="19"/>
                <w:szCs w:val="19"/>
                <w:color w:val="auto"/>
              </w:rPr>
            </w:pPr>
          </w:p>
        </w:tc>
        <w:tc>
          <w:tcPr>
            <w:tcW w:w="7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340" w:type="dxa"/>
            <w:vAlign w:val="bottom"/>
            <w:shd w:val="clear" w:color="auto" w:fill="DEDEDE"/>
          </w:tcPr>
          <w:p>
            <w:pPr>
              <w:spacing w:after="0"/>
              <w:rPr>
                <w:sz w:val="19"/>
                <w:szCs w:val="19"/>
                <w:color w:val="auto"/>
              </w:rPr>
            </w:pPr>
          </w:p>
        </w:tc>
        <w:tc>
          <w:tcPr>
            <w:tcW w:w="140" w:type="dxa"/>
            <w:vAlign w:val="bottom"/>
            <w:tcBorders>
              <w:bottom w:val="single" w:sz="8" w:color="auto"/>
            </w:tcBorders>
            <w:shd w:val="clear" w:color="auto" w:fill="DEDEDE"/>
          </w:tcPr>
          <w:p>
            <w:pPr>
              <w:spacing w:after="0"/>
              <w:rPr>
                <w:sz w:val="19"/>
                <w:szCs w:val="19"/>
                <w:color w:val="auto"/>
              </w:rPr>
            </w:pPr>
          </w:p>
        </w:tc>
        <w:tc>
          <w:tcPr>
            <w:tcW w:w="6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120,243</w:t>
            </w:r>
          </w:p>
        </w:tc>
        <w:tc>
          <w:tcPr>
            <w:tcW w:w="360" w:type="dxa"/>
            <w:vAlign w:val="bottom"/>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spacing w:after="0"/>
              <w:rPr>
                <w:sz w:val="19"/>
                <w:szCs w:val="19"/>
                <w:color w:val="auto"/>
              </w:rPr>
            </w:pPr>
          </w:p>
        </w:tc>
        <w:tc>
          <w:tcPr>
            <w:tcW w:w="6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EDEDE"/>
          </w:tcPr>
          <w:p>
            <w:pPr>
              <w:spacing w:after="0"/>
              <w:rPr>
                <w:sz w:val="19"/>
                <w:szCs w:val="19"/>
                <w:color w:val="auto"/>
              </w:rPr>
            </w:pPr>
          </w:p>
        </w:tc>
        <w:tc>
          <w:tcPr>
            <w:tcW w:w="120" w:type="dxa"/>
            <w:vAlign w:val="bottom"/>
            <w:tcBorders>
              <w:bottom w:val="single" w:sz="8" w:color="auto"/>
            </w:tcBorders>
            <w:shd w:val="clear" w:color="auto" w:fill="DEDEDE"/>
          </w:tcPr>
          <w:p>
            <w:pPr>
              <w:spacing w:after="0"/>
              <w:rPr>
                <w:sz w:val="19"/>
                <w:szCs w:val="19"/>
                <w:color w:val="auto"/>
              </w:rPr>
            </w:pPr>
          </w:p>
        </w:tc>
        <w:tc>
          <w:tcPr>
            <w:tcW w:w="6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9"/>
                <w:szCs w:val="19"/>
                <w:color w:val="auto"/>
              </w:rPr>
            </w:pPr>
          </w:p>
        </w:tc>
        <w:tc>
          <w:tcPr>
            <w:tcW w:w="160" w:type="dxa"/>
            <w:vAlign w:val="bottom"/>
            <w:tcBorders>
              <w:bottom w:val="single" w:sz="8" w:color="auto"/>
            </w:tcBorders>
            <w:shd w:val="clear" w:color="auto" w:fill="DEDEDE"/>
          </w:tcPr>
          <w:p>
            <w:pPr>
              <w:spacing w:after="0"/>
              <w:rPr>
                <w:sz w:val="19"/>
                <w:szCs w:val="19"/>
                <w:color w:val="auto"/>
              </w:rPr>
            </w:pPr>
          </w:p>
        </w:tc>
        <w:tc>
          <w:tcPr>
            <w:tcW w:w="6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3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spacing w:after="0"/>
              <w:rPr>
                <w:sz w:val="19"/>
                <w:szCs w:val="19"/>
                <w:color w:val="auto"/>
              </w:rPr>
            </w:pPr>
          </w:p>
        </w:tc>
        <w:tc>
          <w:tcPr>
            <w:tcW w:w="6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120,243</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unrealized losses</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3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769,662</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6,960</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Relevant holdings were comprised of two securities with fair values aggregating 97.5% of aggregate amortized cost as of December 31, 2025 compared to four securities with fair values aggregating 99.1% of aggregate amortized cost as of December 31, 2024. No credit losses have been recognized for 2025, and 2024, since the unrealized losses are primarily the result of increases in interest rates. See Note 2 for additional information regarding the Company’s evaluation of the allowance for credit losses for fixed maturity securities available for sale.</w:t>
      </w:r>
    </w:p>
    <w:p>
      <w:pPr>
        <w:spacing w:after="0" w:line="179"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table below presents the amortized cost and estimated fair value of fixed maturity securities available for sale as of December 31, 2025, by contractual maturity. Expected maturities may differ from contractual maturities because certain borrowers may have the right to call or prepay obligations with or without call or prepayment penalties.</w:t>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229"/>
        </w:trPr>
        <w:tc>
          <w:tcPr>
            <w:tcW w:w="4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Amortized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Estimated Fair</w:t>
            </w:r>
          </w:p>
        </w:tc>
      </w:tr>
      <w:tr>
        <w:trPr>
          <w:trHeight w:val="235"/>
        </w:trPr>
        <w:tc>
          <w:tcPr>
            <w:tcW w:w="4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Cost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Value</w:t>
            </w:r>
          </w:p>
        </w:tc>
      </w:tr>
      <w:tr>
        <w:trPr>
          <w:trHeight w:val="210"/>
        </w:trPr>
        <w:tc>
          <w:tcPr>
            <w:tcW w:w="488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Due in 1 year</w:t>
            </w:r>
          </w:p>
        </w:tc>
        <w:tc>
          <w:tcPr>
            <w:tcW w:w="180" w:type="dxa"/>
            <w:vAlign w:val="bottom"/>
            <w:tcBorders>
              <w:top w:val="single" w:sz="8" w:color="auto"/>
            </w:tcBorders>
            <w:shd w:val="clear" w:color="auto" w:fill="DEDED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152,738</w:t>
            </w:r>
          </w:p>
        </w:tc>
        <w:tc>
          <w:tcPr>
            <w:tcW w:w="22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153,579</w:t>
            </w:r>
          </w:p>
        </w:tc>
        <w:tc>
          <w:tcPr>
            <w:tcW w:w="80" w:type="dxa"/>
            <w:vAlign w:val="bottom"/>
            <w:tcBorders>
              <w:top w:val="single" w:sz="8" w:color="DEDEDE"/>
            </w:tcBorders>
            <w:shd w:val="clear" w:color="auto" w:fill="DEDEDE"/>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Due in 2-5 years</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67,560</w:t>
            </w:r>
          </w:p>
        </w:tc>
        <w:tc>
          <w:tcPr>
            <w:tcW w:w="80" w:type="dxa"/>
            <w:vAlign w:val="bottom"/>
          </w:tcPr>
          <w:p>
            <w:pPr>
              <w:spacing w:after="0"/>
              <w:rPr>
                <w:sz w:val="18"/>
                <w:szCs w:val="18"/>
                <w:color w:val="auto"/>
              </w:rPr>
            </w:pPr>
          </w:p>
        </w:tc>
      </w:tr>
      <w:tr>
        <w:trPr>
          <w:trHeight w:val="216"/>
        </w:trPr>
        <w:tc>
          <w:tcPr>
            <w:tcW w:w="48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Due in 5-10 years</w:t>
            </w: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51,253</w:t>
            </w:r>
          </w:p>
        </w:tc>
        <w:tc>
          <w:tcPr>
            <w:tcW w:w="22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50,873</w:t>
            </w:r>
          </w:p>
        </w:tc>
        <w:tc>
          <w:tcPr>
            <w:tcW w:w="80" w:type="dxa"/>
            <w:vAlign w:val="bottom"/>
            <w:shd w:val="clear" w:color="auto" w:fill="DEDEDE"/>
          </w:tcPr>
          <w:p>
            <w:pPr>
              <w:spacing w:after="0"/>
              <w:rPr>
                <w:sz w:val="18"/>
                <w:szCs w:val="18"/>
                <w:color w:val="auto"/>
              </w:rPr>
            </w:pPr>
          </w:p>
        </w:tc>
      </w:tr>
      <w:tr>
        <w:trPr>
          <w:trHeight w:val="22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Due in more than 10 years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880" w:type="dxa"/>
            <w:vAlign w:val="bottom"/>
            <w:tcBorders>
              <w:top w:val="single" w:sz="8" w:color="DEDEDE"/>
              <w:bottom w:val="single" w:sz="8" w:color="DEDEDE"/>
            </w:tcBorders>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DEDED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274,161</w:t>
            </w:r>
          </w:p>
        </w:tc>
        <w:tc>
          <w:tcPr>
            <w:tcW w:w="220" w:type="dxa"/>
            <w:vAlign w:val="bottom"/>
            <w:tcBorders>
              <w:top w:val="single" w:sz="8" w:color="DEDEDE"/>
              <w:bottom w:val="single" w:sz="8" w:color="DEDEDE"/>
            </w:tcBorders>
            <w:shd w:val="clear" w:color="auto" w:fill="DEDEDE"/>
          </w:tcPr>
          <w:p>
            <w:pPr>
              <w:spacing w:after="0"/>
              <w:rPr>
                <w:sz w:val="19"/>
                <w:szCs w:val="19"/>
                <w:color w:val="auto"/>
              </w:rPr>
            </w:pPr>
          </w:p>
        </w:tc>
        <w:tc>
          <w:tcPr>
            <w:tcW w:w="1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272,012</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See Notes 1, 2 and 21 for additional information regarding cemetery perpetual care trust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62</w:t>
      </w:r>
    </w:p>
    <w:p>
      <w:pPr>
        <w:sectPr>
          <w:pgSz w:w="12240" w:h="15840" w:orient="portrait"/>
          <w:cols w:equalWidth="0" w:num="1">
            <w:col w:w="11242"/>
          </w:cols>
          <w:pgMar w:left="498" w:top="687" w:right="500" w:bottom="0" w:gutter="0" w:footer="0" w:header="0"/>
        </w:sectPr>
      </w:pPr>
    </w:p>
    <w:bookmarkStart w:id="90" w:name="page91"/>
    <w:bookmarkEnd w:id="90"/>
    <w:p>
      <w:pPr>
        <w:jc w:val="center"/>
        <w:ind w:right="-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reports MSRs pursuant to the accounting policy discussed in Note 1.</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MSR activity.</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tcBorders>
              <w:bottom w:val="single" w:sz="8" w:color="DEDEDE"/>
            </w:tcBorders>
          </w:tcPr>
          <w:p>
            <w:pPr>
              <w:spacing w:after="0"/>
              <w:rPr>
                <w:sz w:val="19"/>
                <w:szCs w:val="19"/>
                <w:color w:val="auto"/>
              </w:rPr>
            </w:pPr>
          </w:p>
        </w:tc>
        <w:tc>
          <w:tcPr>
            <w:tcW w:w="2660" w:type="dxa"/>
            <w:vAlign w:val="bottom"/>
            <w:tcBorders>
              <w:bottom w:val="single" w:sz="8" w:color="DEDEDE"/>
            </w:tcBorders>
          </w:tcPr>
          <w:p>
            <w:pPr>
              <w:spacing w:after="0"/>
              <w:rPr>
                <w:sz w:val="19"/>
                <w:szCs w:val="19"/>
                <w:color w:val="auto"/>
              </w:rPr>
            </w:pPr>
          </w:p>
        </w:tc>
        <w:tc>
          <w:tcPr>
            <w:tcW w:w="12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DEDEDE"/>
            </w:tcBorders>
          </w:tcPr>
          <w:p>
            <w:pPr>
              <w:spacing w:after="0"/>
              <w:rPr>
                <w:sz w:val="19"/>
                <w:szCs w:val="19"/>
                <w:color w:val="auto"/>
              </w:rPr>
            </w:pPr>
          </w:p>
        </w:tc>
        <w:tc>
          <w:tcPr>
            <w:tcW w:w="10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Amortized cost:</w:t>
            </w:r>
          </w:p>
        </w:tc>
        <w:tc>
          <w:tcPr>
            <w:tcW w:w="1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before valuation allowance at beginning of year</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2,939,878</w:t>
            </w:r>
          </w:p>
        </w:tc>
        <w:tc>
          <w:tcPr>
            <w:tcW w:w="140" w:type="dxa"/>
            <w:vAlign w:val="bottom"/>
          </w:tcPr>
          <w:p>
            <w:pPr>
              <w:spacing w:after="0"/>
              <w:rPr>
                <w:sz w:val="18"/>
                <w:szCs w:val="18"/>
                <w:color w:val="auto"/>
              </w:rPr>
            </w:pP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MSR additions resulting from loan sales</w:t>
            </w:r>
          </w:p>
        </w:tc>
        <w:tc>
          <w:tcPr>
            <w:tcW w:w="1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151,056</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90,370</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(562,475)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Sale of MSRs</w:t>
            </w:r>
          </w:p>
        </w:tc>
        <w:tc>
          <w:tcPr>
            <w:tcW w:w="1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1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temporary impairment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DEDEDE"/>
            </w:tcBorders>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before valuation allowance at year end</w:t>
            </w:r>
          </w:p>
        </w:tc>
        <w:tc>
          <w:tcPr>
            <w:tcW w:w="120" w:type="dxa"/>
            <w:vAlign w:val="bottom"/>
            <w:tcBorders>
              <w:top w:val="single" w:sz="8" w:color="DEDEDE"/>
            </w:tcBorders>
            <w:shd w:val="clear" w:color="auto" w:fill="DEDEDE"/>
          </w:tcPr>
          <w:p>
            <w:pPr>
              <w:spacing w:after="0"/>
              <w:rPr>
                <w:sz w:val="18"/>
                <w:szCs w:val="18"/>
                <w:color w:val="auto"/>
              </w:rPr>
            </w:pPr>
          </w:p>
        </w:tc>
        <w:tc>
          <w:tcPr>
            <w:tcW w:w="340" w:type="dxa"/>
            <w:vAlign w:val="bottom"/>
            <w:tcBorders>
              <w:top w:val="single" w:sz="8" w:color="auto"/>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2,528,459</w:t>
            </w:r>
          </w:p>
        </w:tc>
        <w:tc>
          <w:tcPr>
            <w:tcW w:w="1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480" w:type="dxa"/>
            <w:vAlign w:val="bottom"/>
            <w:tcBorders>
              <w:top w:val="single" w:sz="8" w:color="auto"/>
              <w:bottom w:val="single" w:sz="8" w:color="auto"/>
            </w:tcBorders>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2,939,878</w:t>
            </w:r>
          </w:p>
        </w:tc>
        <w:tc>
          <w:tcPr>
            <w:tcW w:w="8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Valuation allowance for impairment of MSRs:</w:t>
            </w:r>
          </w:p>
        </w:tc>
        <w:tc>
          <w:tcPr>
            <w:tcW w:w="1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1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Application of valuation allowance to write down MSRs with other than</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temporary impairment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DEDEDE"/>
            </w:tcBorders>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at year end</w:t>
            </w:r>
          </w:p>
        </w:tc>
        <w:tc>
          <w:tcPr>
            <w:tcW w:w="120" w:type="dxa"/>
            <w:vAlign w:val="bottom"/>
            <w:tcBorders>
              <w:top w:val="single" w:sz="8" w:color="DEDEDE"/>
            </w:tcBorders>
            <w:shd w:val="clear" w:color="auto" w:fill="DEDEDE"/>
          </w:tcPr>
          <w:p>
            <w:pPr>
              <w:spacing w:after="0"/>
              <w:rPr>
                <w:sz w:val="18"/>
                <w:szCs w:val="18"/>
                <w:color w:val="auto"/>
              </w:rPr>
            </w:pPr>
          </w:p>
        </w:tc>
        <w:tc>
          <w:tcPr>
            <w:tcW w:w="340" w:type="dxa"/>
            <w:vAlign w:val="bottom"/>
            <w:tcBorders>
              <w:top w:val="single" w:sz="8" w:color="auto"/>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480" w:type="dxa"/>
            <w:vAlign w:val="bottom"/>
            <w:tcBorders>
              <w:top w:val="single" w:sz="8" w:color="auto"/>
              <w:bottom w:val="single" w:sz="8" w:color="auto"/>
            </w:tcBorders>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44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460" w:type="dxa"/>
            <w:vAlign w:val="bottom"/>
            <w:gridSpan w:val="2"/>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2,528,459</w:t>
            </w:r>
          </w:p>
        </w:tc>
        <w:tc>
          <w:tcPr>
            <w:tcW w:w="140" w:type="dxa"/>
            <w:vAlign w:val="bottom"/>
            <w:shd w:val="clear" w:color="auto" w:fill="DEDEDE"/>
          </w:tcPr>
          <w:p>
            <w:pPr>
              <w:spacing w:after="0"/>
              <w:rPr>
                <w:sz w:val="21"/>
                <w:szCs w:val="21"/>
                <w:color w:val="auto"/>
              </w:rPr>
            </w:pPr>
          </w:p>
        </w:tc>
        <w:tc>
          <w:tcPr>
            <w:tcW w:w="580" w:type="dxa"/>
            <w:vAlign w:val="bottom"/>
            <w:gridSpan w:val="2"/>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2,939,878</w:t>
            </w:r>
          </w:p>
        </w:tc>
        <w:tc>
          <w:tcPr>
            <w:tcW w:w="8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DEDEDE"/>
            </w:tcBorders>
          </w:tcPr>
          <w:p>
            <w:pPr>
              <w:spacing w:after="0" w:line="20" w:lineRule="exact"/>
              <w:rPr>
                <w:sz w:val="1"/>
                <w:szCs w:val="1"/>
                <w:color w:val="auto"/>
              </w:rPr>
            </w:pPr>
          </w:p>
        </w:tc>
        <w:tc>
          <w:tcPr>
            <w:tcW w:w="26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44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Estimated fair value of MSRs at year end</w:t>
            </w:r>
          </w:p>
        </w:tc>
        <w:tc>
          <w:tcPr>
            <w:tcW w:w="460" w:type="dxa"/>
            <w:vAlign w:val="bottom"/>
            <w:gridSpan w:val="2"/>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4,035,635</w:t>
            </w:r>
          </w:p>
        </w:tc>
        <w:tc>
          <w:tcPr>
            <w:tcW w:w="140" w:type="dxa"/>
            <w:vAlign w:val="bottom"/>
            <w:shd w:val="clear" w:color="auto" w:fill="DEDEDE"/>
          </w:tcPr>
          <w:p>
            <w:pPr>
              <w:spacing w:after="0"/>
              <w:rPr>
                <w:sz w:val="21"/>
                <w:szCs w:val="21"/>
                <w:color w:val="auto"/>
              </w:rPr>
            </w:pPr>
          </w:p>
        </w:tc>
        <w:tc>
          <w:tcPr>
            <w:tcW w:w="580" w:type="dxa"/>
            <w:vAlign w:val="bottom"/>
            <w:gridSpan w:val="2"/>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4,552,316</w:t>
            </w:r>
          </w:p>
        </w:tc>
        <w:tc>
          <w:tcPr>
            <w:tcW w:w="8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DEDEDE"/>
            </w:tcBorders>
          </w:tcPr>
          <w:p>
            <w:pPr>
              <w:spacing w:after="0" w:line="20" w:lineRule="exact"/>
              <w:rPr>
                <w:sz w:val="1"/>
                <w:szCs w:val="1"/>
                <w:color w:val="auto"/>
              </w:rPr>
            </w:pPr>
          </w:p>
        </w:tc>
        <w:tc>
          <w:tcPr>
            <w:tcW w:w="2660" w:type="dxa"/>
            <w:vAlign w:val="bottom"/>
            <w:tcBorders>
              <w:top w:val="single" w:sz="8" w:color="DEDEDE"/>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  Included in other expenses on the</w:t>
            </w: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statements of earnings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table below summarizes the Company’s estimate of future amortization of its existing MSRs carried at amortized cost. This projection was developed using the Company’s assumptions for the December 31, 2025, valuation of MSRs. The assumptions used in the following table are likely to change as market conditions, portfolio composition and borrower behavior change, causing both actual and projected amortization levels to change over time.</w:t>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Estimated MSR</w:t>
            </w:r>
          </w:p>
        </w:tc>
      </w:tr>
      <w:tr>
        <w:trPr>
          <w:trHeight w:val="235"/>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Amortization</w:t>
            </w:r>
          </w:p>
        </w:tc>
      </w:tr>
      <w:tr>
        <w:trPr>
          <w:trHeight w:val="210"/>
        </w:trPr>
        <w:tc>
          <w:tcPr>
            <w:tcW w:w="300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264,862</w:t>
            </w:r>
          </w:p>
        </w:tc>
        <w:tc>
          <w:tcPr>
            <w:tcW w:w="60" w:type="dxa"/>
            <w:vAlign w:val="bottom"/>
            <w:tcBorders>
              <w:top w:val="single" w:sz="8" w:color="DEDEDE"/>
            </w:tcBorders>
            <w:shd w:val="clear" w:color="auto" w:fill="DEDEDE"/>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243,111</w:t>
            </w:r>
          </w:p>
        </w:tc>
      </w:tr>
      <w:tr>
        <w:trPr>
          <w:trHeight w:val="216"/>
        </w:trPr>
        <w:tc>
          <w:tcPr>
            <w:tcW w:w="30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DEDEDE"/>
          </w:tcPr>
          <w:p>
            <w:pPr>
              <w:spacing w:after="0"/>
              <w:rPr>
                <w:sz w:val="18"/>
                <w:szCs w:val="18"/>
                <w:color w:val="auto"/>
              </w:rPr>
            </w:pPr>
          </w:p>
        </w:tc>
        <w:tc>
          <w:tcPr>
            <w:tcW w:w="136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221,463</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198,063</w:t>
            </w:r>
          </w:p>
        </w:tc>
      </w:tr>
      <w:tr>
        <w:trPr>
          <w:trHeight w:val="216"/>
        </w:trPr>
        <w:tc>
          <w:tcPr>
            <w:tcW w:w="30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DEDEDE"/>
          </w:tcPr>
          <w:p>
            <w:pPr>
              <w:spacing w:after="0"/>
              <w:rPr>
                <w:sz w:val="18"/>
                <w:szCs w:val="18"/>
                <w:color w:val="auto"/>
              </w:rPr>
            </w:pPr>
          </w:p>
        </w:tc>
        <w:tc>
          <w:tcPr>
            <w:tcW w:w="136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177,913</w:t>
            </w:r>
          </w:p>
        </w:tc>
      </w:tr>
      <w:tr>
        <w:trPr>
          <w:trHeight w:val="230"/>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1,423,047</w:t>
            </w:r>
          </w:p>
        </w:tc>
      </w:tr>
      <w:tr>
        <w:trPr>
          <w:trHeight w:val="223"/>
        </w:trPr>
        <w:tc>
          <w:tcPr>
            <w:tcW w:w="300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2,528,459</w:t>
            </w:r>
          </w:p>
        </w:tc>
        <w:tc>
          <w:tcPr>
            <w:tcW w:w="6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63</w:t>
      </w:r>
    </w:p>
    <w:p>
      <w:pPr>
        <w:sectPr>
          <w:pgSz w:w="12240" w:h="15840" w:orient="portrait"/>
          <w:cols w:equalWidth="0" w:num="1">
            <w:col w:w="11222"/>
          </w:cols>
          <w:pgMar w:left="498" w:top="687" w:right="520" w:bottom="0" w:gutter="0" w:footer="0" w:header="0"/>
        </w:sectPr>
      </w:pPr>
    </w:p>
    <w:bookmarkStart w:id="91" w:name="page92"/>
    <w:bookmarkEnd w:id="91"/>
    <w:p>
      <w:pPr>
        <w:jc w:val="center"/>
        <w:ind w:right="-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 Servicing Rights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spacing w:after="0" w:line="283" w:lineRule="auto"/>
        <w:rPr>
          <w:sz w:val="20"/>
          <w:szCs w:val="20"/>
          <w:color w:val="auto"/>
        </w:rPr>
      </w:pPr>
      <w:r>
        <w:rPr>
          <w:rFonts w:ascii="Times New Roman" w:cs="Times New Roman" w:eastAsia="Times New Roman" w:hAnsi="Times New Roman"/>
          <w:sz w:val="18"/>
          <w:szCs w:val="18"/>
          <w:color w:val="auto"/>
        </w:rPr>
        <w:t>The Company collected the following contractual servicing fee income and late fee income as reported in other revenues on the consolidated statements of earnings.</w:t>
      </w:r>
    </w:p>
    <w:p>
      <w:pPr>
        <w:spacing w:after="0" w:line="173"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4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3"/>
        </w:trPr>
        <w:tc>
          <w:tcPr>
            <w:tcW w:w="4180" w:type="dxa"/>
            <w:vAlign w:val="bottom"/>
            <w:tcBorders>
              <w:bottom w:val="single" w:sz="8" w:color="DEDED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bottom w:val="single" w:sz="8" w:color="DEDED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DEDEDE"/>
            </w:tcBorders>
          </w:tcPr>
          <w:p>
            <w:pPr>
              <w:spacing w:after="0"/>
              <w:rPr>
                <w:sz w:val="19"/>
                <w:szCs w:val="19"/>
                <w:color w:val="auto"/>
              </w:rPr>
            </w:pPr>
          </w:p>
        </w:tc>
      </w:tr>
      <w:tr>
        <w:trPr>
          <w:trHeight w:val="209"/>
        </w:trPr>
        <w:tc>
          <w:tcPr>
            <w:tcW w:w="41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Contractual servicing fees</w:t>
            </w:r>
          </w:p>
        </w:tc>
        <w:tc>
          <w:tcPr>
            <w:tcW w:w="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918,850</w:t>
            </w:r>
          </w:p>
        </w:tc>
        <w:tc>
          <w:tcPr>
            <w:tcW w:w="180" w:type="dxa"/>
            <w:vAlign w:val="bottom"/>
            <w:shd w:val="clear" w:color="auto" w:fill="DEDEDE"/>
          </w:tcPr>
          <w:p>
            <w:pPr>
              <w:spacing w:after="0"/>
              <w:rPr>
                <w:sz w:val="18"/>
                <w:szCs w:val="18"/>
                <w:color w:val="auto"/>
              </w:rPr>
            </w:pPr>
          </w:p>
        </w:tc>
        <w:tc>
          <w:tcPr>
            <w:tcW w:w="240" w:type="dxa"/>
            <w:vAlign w:val="bottom"/>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968,814</w:t>
            </w:r>
          </w:p>
        </w:tc>
        <w:tc>
          <w:tcPr>
            <w:tcW w:w="60" w:type="dxa"/>
            <w:vAlign w:val="bottom"/>
            <w:shd w:val="clear" w:color="auto" w:fill="DEDEDE"/>
          </w:tcPr>
          <w:p>
            <w:pPr>
              <w:spacing w:after="0"/>
              <w:rPr>
                <w:sz w:val="18"/>
                <w:szCs w:val="18"/>
                <w:color w:val="auto"/>
              </w:rPr>
            </w:pPr>
          </w:p>
        </w:tc>
      </w:tr>
      <w:tr>
        <w:trPr>
          <w:trHeight w:val="22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Late fees</w:t>
            </w:r>
          </w:p>
        </w:tc>
        <w:tc>
          <w:tcPr>
            <w:tcW w:w="1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63,599</w:t>
            </w:r>
          </w:p>
        </w:tc>
        <w:tc>
          <w:tcPr>
            <w:tcW w:w="2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77,123</w:t>
            </w:r>
          </w:p>
        </w:tc>
      </w:tr>
      <w:tr>
        <w:trPr>
          <w:trHeight w:val="223"/>
        </w:trPr>
        <w:tc>
          <w:tcPr>
            <w:tcW w:w="418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982,449</w:t>
            </w: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240" w:type="dxa"/>
            <w:vAlign w:val="bottom"/>
            <w:tcBorders>
              <w:top w:val="single" w:sz="8" w:color="auto"/>
              <w:bottom w:val="single" w:sz="8" w:color="auto"/>
            </w:tcBorders>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1,045,937</w:t>
            </w:r>
          </w:p>
        </w:tc>
        <w:tc>
          <w:tcPr>
            <w:tcW w:w="6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is a summary of the unpaid principal balances (“UPB”) of the servicing portfolio.</w:t>
      </w:r>
    </w:p>
    <w:p>
      <w:pPr>
        <w:spacing w:after="0" w:line="238" w:lineRule="exact"/>
        <w:rPr>
          <w:sz w:val="20"/>
          <w:szCs w:val="20"/>
          <w:color w:val="auto"/>
        </w:rPr>
      </w:pPr>
    </w:p>
    <w:p>
      <w:pPr>
        <w:ind w:left="4922"/>
        <w:spacing w:after="0"/>
        <w:rPr>
          <w:sz w:val="20"/>
          <w:szCs w:val="20"/>
          <w:color w:val="auto"/>
        </w:rPr>
      </w:pPr>
      <w:r>
        <w:rPr>
          <w:rFonts w:ascii="Times New Roman" w:cs="Times New Roman" w:eastAsia="Times New Roman" w:hAnsi="Times New Roman"/>
          <w:sz w:val="18"/>
          <w:szCs w:val="18"/>
          <w:color w:val="auto"/>
        </w:rPr>
        <w:t>December 31,</w:t>
      </w:r>
    </w:p>
    <w:p>
      <w:pPr>
        <w:spacing w:after="0" w:line="28" w:lineRule="exact"/>
        <w:rPr>
          <w:sz w:val="20"/>
          <w:szCs w:val="20"/>
          <w:color w:val="auto"/>
        </w:rPr>
      </w:pPr>
    </w:p>
    <w:tbl>
      <w:tblPr>
        <w:tblLayout w:type="fixed"/>
        <w:tblInd w:w="2" w:type="dxa"/>
        <w:tblCellMar>
          <w:top w:w="0" w:type="dxa"/>
          <w:left w:w="0" w:type="dxa"/>
          <w:bottom w:w="0" w:type="dxa"/>
          <w:right w:w="0" w:type="dxa"/>
        </w:tblCellMar>
      </w:tblPr>
      <w:tr>
        <w:trPr>
          <w:trHeight w:val="224"/>
        </w:trPr>
        <w:tc>
          <w:tcPr>
            <w:tcW w:w="4180" w:type="dxa"/>
            <w:vAlign w:val="bottom"/>
            <w:tcBorders>
              <w:bottom w:val="single" w:sz="8" w:color="DEDEDE"/>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bottom w:val="single" w:sz="8" w:color="DEDEDE"/>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60" w:type="dxa"/>
            <w:vAlign w:val="bottom"/>
            <w:tcBorders>
              <w:bottom w:val="single" w:sz="8" w:color="DEDEDE"/>
            </w:tcBorders>
          </w:tcPr>
          <w:p>
            <w:pPr>
              <w:spacing w:after="0"/>
              <w:rPr>
                <w:sz w:val="19"/>
                <w:szCs w:val="19"/>
                <w:color w:val="auto"/>
              </w:rPr>
            </w:pPr>
          </w:p>
        </w:tc>
      </w:tr>
      <w:tr>
        <w:trPr>
          <w:trHeight w:val="209"/>
        </w:trPr>
        <w:tc>
          <w:tcPr>
            <w:tcW w:w="41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Servicing UPB</w:t>
            </w: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361,632,543</w:t>
            </w:r>
          </w:p>
        </w:tc>
        <w:tc>
          <w:tcPr>
            <w:tcW w:w="180" w:type="dxa"/>
            <w:vAlign w:val="bottom"/>
            <w:shd w:val="clear" w:color="auto" w:fill="DEDEDE"/>
          </w:tcPr>
          <w:p>
            <w:pPr>
              <w:spacing w:after="0"/>
              <w:rPr>
                <w:sz w:val="18"/>
                <w:szCs w:val="18"/>
                <w:color w:val="auto"/>
              </w:rPr>
            </w:pPr>
          </w:p>
        </w:tc>
        <w:tc>
          <w:tcPr>
            <w:tcW w:w="11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385,134,774</w:t>
            </w:r>
          </w:p>
        </w:tc>
        <w:tc>
          <w:tcPr>
            <w:tcW w:w="60" w:type="dxa"/>
            <w:vAlign w:val="bottom"/>
            <w:shd w:val="clear" w:color="auto" w:fill="DEDEDE"/>
          </w:tcPr>
          <w:p>
            <w:pPr>
              <w:spacing w:after="0"/>
              <w:rPr>
                <w:sz w:val="18"/>
                <w:szCs w:val="18"/>
                <w:color w:val="auto"/>
              </w:rPr>
            </w:pPr>
          </w:p>
        </w:tc>
      </w:tr>
    </w:tbl>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key assumptions were used in determining MSR value.</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Prepayment</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Discount</w:t>
            </w:r>
          </w:p>
        </w:tc>
      </w:tr>
      <w:tr>
        <w:trPr>
          <w:trHeight w:val="236"/>
        </w:trPr>
        <w:tc>
          <w:tcPr>
            <w:tcW w:w="2840" w:type="dxa"/>
            <w:vAlign w:val="bottom"/>
          </w:tcPr>
          <w:p>
            <w:pPr>
              <w:spacing w:after="0"/>
              <w:rPr>
                <w:sz w:val="20"/>
                <w:szCs w:val="20"/>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Speeds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Life(Years)</w:t>
            </w: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Rate</w:t>
            </w:r>
          </w:p>
        </w:tc>
      </w:tr>
      <w:tr>
        <w:trPr>
          <w:trHeight w:val="210"/>
        </w:trPr>
        <w:tc>
          <w:tcPr>
            <w:tcW w:w="284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1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00" w:type="dxa"/>
            <w:vAlign w:val="bottom"/>
            <w:tcBorders>
              <w:top w:val="single" w:sz="8" w:color="DEDEDE"/>
            </w:tcBorders>
            <w:shd w:val="clear" w:color="auto" w:fill="DEDEDE"/>
          </w:tcPr>
          <w:p>
            <w:pPr>
              <w:spacing w:after="0"/>
              <w:rPr>
                <w:sz w:val="18"/>
                <w:szCs w:val="18"/>
                <w:color w:val="auto"/>
              </w:rPr>
            </w:pPr>
          </w:p>
        </w:tc>
        <w:tc>
          <w:tcPr>
            <w:tcW w:w="11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0" w:type="dxa"/>
            <w:vAlign w:val="bottom"/>
            <w:tcBorders>
              <w:top w:val="single" w:sz="8" w:color="DEDEDE"/>
            </w:tcBorders>
            <w:shd w:val="clear" w:color="auto" w:fill="DEDEDE"/>
          </w:tcPr>
          <w:p>
            <w:pPr>
              <w:spacing w:after="0"/>
              <w:rPr>
                <w:sz w:val="18"/>
                <w:szCs w:val="18"/>
                <w:color w:val="auto"/>
              </w:rPr>
            </w:pPr>
          </w:p>
        </w:tc>
        <w:tc>
          <w:tcPr>
            <w:tcW w:w="11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60" w:type="dxa"/>
            <w:vAlign w:val="bottom"/>
            <w:tcBorders>
              <w:top w:val="single" w:sz="8" w:color="DEDEDE"/>
            </w:tcBorders>
            <w:shd w:val="clear" w:color="auto" w:fill="DEDEDE"/>
          </w:tcPr>
          <w:p>
            <w:pPr>
              <w:spacing w:after="0"/>
              <w:rPr>
                <w:sz w:val="18"/>
                <w:szCs w:val="18"/>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8.79</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8.28</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64</w:t>
      </w:r>
    </w:p>
    <w:p>
      <w:pPr>
        <w:sectPr>
          <w:pgSz w:w="12240" w:h="15840" w:orient="portrait"/>
          <w:cols w:equalWidth="0" w:num="1">
            <w:col w:w="11222"/>
          </w:cols>
          <w:pgMar w:left="498" w:top="687" w:right="520" w:bottom="0" w:gutter="0" w:footer="0" w:header="0"/>
        </w:sectPr>
      </w:pPr>
    </w:p>
    <w:bookmarkStart w:id="92" w:name="page93"/>
    <w:bookmarkEnd w:id="92"/>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380" w:type="dxa"/>
            <w:vAlign w:val="bottom"/>
          </w:tcPr>
          <w:p>
            <w:pPr>
              <w:ind w:left="140"/>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is summarized below:</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5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00" w:type="dxa"/>
            <w:vAlign w:val="bottom"/>
            <w:tcBorders>
              <w:bottom w:val="single" w:sz="8" w:color="DEDEDE"/>
            </w:tcBorders>
          </w:tcPr>
          <w:p>
            <w:pPr>
              <w:spacing w:after="0"/>
              <w:rPr>
                <w:sz w:val="19"/>
                <w:szCs w:val="19"/>
                <w:color w:val="auto"/>
              </w:rPr>
            </w:pPr>
          </w:p>
        </w:tc>
        <w:tc>
          <w:tcPr>
            <w:tcW w:w="4380" w:type="dxa"/>
            <w:vAlign w:val="bottom"/>
            <w:tcBorders>
              <w:bottom w:val="single" w:sz="8" w:color="DEDEDE"/>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DEDED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09"/>
        </w:trPr>
        <w:tc>
          <w:tcPr>
            <w:tcW w:w="48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280" w:type="dxa"/>
            <w:vAlign w:val="bottom"/>
            <w:shd w:val="clear" w:color="auto" w:fill="DEDED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17,511,360</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DEDEDE"/>
          </w:tcPr>
          <w:p>
            <w:pPr>
              <w:ind w:left="100"/>
              <w:spacing w:after="0"/>
              <w:rPr>
                <w:sz w:val="20"/>
                <w:szCs w:val="20"/>
                <w:color w:val="auto"/>
              </w:rPr>
            </w:pPr>
            <w:r>
              <w:rPr>
                <w:rFonts w:ascii="Times New Roman" w:cs="Times New Roman" w:eastAsia="Times New Roman" w:hAnsi="Times New Roman"/>
                <w:sz w:val="18"/>
                <w:szCs w:val="18"/>
                <w:color w:val="auto"/>
                <w:w w:val="96"/>
              </w:rPr>
              <w:t>17,194,972</w:t>
            </w:r>
          </w:p>
        </w:tc>
        <w:tc>
          <w:tcPr>
            <w:tcW w:w="80" w:type="dxa"/>
            <w:vAlign w:val="bottom"/>
            <w:shd w:val="clear" w:color="auto" w:fill="DEDEDE"/>
          </w:tcPr>
          <w:p>
            <w:pPr>
              <w:spacing w:after="0"/>
              <w:rPr>
                <w:sz w:val="18"/>
                <w:szCs w:val="18"/>
                <w:color w:val="auto"/>
              </w:rPr>
            </w:pP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15,481,843</w:t>
            </w:r>
          </w:p>
        </w:tc>
        <w:tc>
          <w:tcPr>
            <w:tcW w:w="440" w:type="dxa"/>
            <w:vAlign w:val="bottom"/>
          </w:tcPr>
          <w:p>
            <w:pPr>
              <w:spacing w:after="0"/>
              <w:rPr>
                <w:sz w:val="19"/>
                <w:szCs w:val="19"/>
                <w:color w:val="auto"/>
              </w:rPr>
            </w:pP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15,998,717</w:t>
            </w:r>
          </w:p>
        </w:tc>
      </w:tr>
      <w:tr>
        <w:trPr>
          <w:trHeight w:val="209"/>
        </w:trPr>
        <w:tc>
          <w:tcPr>
            <w:tcW w:w="500" w:type="dxa"/>
            <w:vAlign w:val="bottom"/>
            <w:tcBorders>
              <w:top w:val="single" w:sz="8" w:color="DEDEDE"/>
            </w:tcBorders>
            <w:shd w:val="clear" w:color="auto" w:fill="DEDEDE"/>
          </w:tcPr>
          <w:p>
            <w:pPr>
              <w:spacing w:after="0"/>
              <w:rPr>
                <w:sz w:val="18"/>
                <w:szCs w:val="18"/>
                <w:color w:val="auto"/>
              </w:rPr>
            </w:pPr>
          </w:p>
        </w:tc>
        <w:tc>
          <w:tcPr>
            <w:tcW w:w="4380" w:type="dxa"/>
            <w:vAlign w:val="bottom"/>
            <w:tcBorders>
              <w:top w:val="single" w:sz="8" w:color="DEDEDE"/>
            </w:tcBorders>
            <w:shd w:val="clear" w:color="auto" w:fill="DEDEDE"/>
          </w:tcPr>
          <w:p>
            <w:pPr>
              <w:spacing w:after="0"/>
              <w:rPr>
                <w:sz w:val="18"/>
                <w:szCs w:val="18"/>
                <w:color w:val="auto"/>
              </w:rPr>
            </w:pPr>
          </w:p>
        </w:tc>
        <w:tc>
          <w:tcPr>
            <w:tcW w:w="280" w:type="dxa"/>
            <w:vAlign w:val="bottom"/>
            <w:tcBorders>
              <w:top w:val="single" w:sz="8" w:color="auto"/>
            </w:tcBorders>
            <w:shd w:val="clear" w:color="auto" w:fill="DEDEDE"/>
          </w:tcPr>
          <w:p>
            <w:pPr>
              <w:spacing w:after="0"/>
              <w:rPr>
                <w:sz w:val="18"/>
                <w:szCs w:val="18"/>
                <w:color w:val="auto"/>
              </w:rPr>
            </w:pPr>
          </w:p>
        </w:tc>
        <w:tc>
          <w:tcPr>
            <w:tcW w:w="10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32,993,203</w:t>
            </w:r>
          </w:p>
        </w:tc>
        <w:tc>
          <w:tcPr>
            <w:tcW w:w="220" w:type="dxa"/>
            <w:vAlign w:val="bottom"/>
            <w:tcBorders>
              <w:top w:val="single" w:sz="8" w:color="DEDEDE"/>
            </w:tcBorders>
            <w:shd w:val="clear" w:color="auto" w:fill="DEDEDE"/>
          </w:tcPr>
          <w:p>
            <w:pPr>
              <w:spacing w:after="0"/>
              <w:rPr>
                <w:sz w:val="18"/>
                <w:szCs w:val="18"/>
                <w:color w:val="auto"/>
              </w:rPr>
            </w:pPr>
          </w:p>
        </w:tc>
        <w:tc>
          <w:tcPr>
            <w:tcW w:w="440" w:type="dxa"/>
            <w:vAlign w:val="bottom"/>
            <w:tcBorders>
              <w:top w:val="single" w:sz="8" w:color="auto"/>
            </w:tcBorders>
            <w:shd w:val="clear" w:color="auto" w:fill="DEDEDE"/>
          </w:tcPr>
          <w:p>
            <w:pPr>
              <w:spacing w:after="0"/>
              <w:rPr>
                <w:sz w:val="18"/>
                <w:szCs w:val="18"/>
                <w:color w:val="auto"/>
              </w:rPr>
            </w:pPr>
          </w:p>
        </w:tc>
        <w:tc>
          <w:tcPr>
            <w:tcW w:w="900" w:type="dxa"/>
            <w:vAlign w:val="bottom"/>
            <w:tcBorders>
              <w:top w:val="single" w:sz="8" w:color="auto"/>
            </w:tcBorders>
            <w:shd w:val="clear" w:color="auto" w:fill="DEDEDE"/>
          </w:tcPr>
          <w:p>
            <w:pPr>
              <w:ind w:left="100"/>
              <w:spacing w:after="0"/>
              <w:rPr>
                <w:sz w:val="20"/>
                <w:szCs w:val="20"/>
                <w:color w:val="auto"/>
              </w:rPr>
            </w:pPr>
            <w:r>
              <w:rPr>
                <w:rFonts w:ascii="Times New Roman" w:cs="Times New Roman" w:eastAsia="Times New Roman" w:hAnsi="Times New Roman"/>
                <w:sz w:val="18"/>
                <w:szCs w:val="18"/>
                <w:color w:val="auto"/>
                <w:w w:val="96"/>
              </w:rPr>
              <w:t>33,193,689</w:t>
            </w:r>
          </w:p>
        </w:tc>
        <w:tc>
          <w:tcPr>
            <w:tcW w:w="80" w:type="dxa"/>
            <w:vAlign w:val="bottom"/>
            <w:tcBorders>
              <w:top w:val="single" w:sz="8" w:color="DEDEDE"/>
            </w:tcBorders>
            <w:shd w:val="clear" w:color="auto" w:fill="DEDEDE"/>
          </w:tcPr>
          <w:p>
            <w:pPr>
              <w:spacing w:after="0"/>
              <w:rPr>
                <w:sz w:val="18"/>
                <w:szCs w:val="18"/>
                <w:color w:val="auto"/>
              </w:rPr>
            </w:pPr>
          </w:p>
        </w:tc>
      </w:tr>
      <w:tr>
        <w:trPr>
          <w:trHeight w:val="23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(14,781,486)</w:t>
            </w:r>
          </w:p>
        </w:tc>
        <w:tc>
          <w:tcPr>
            <w:tcW w:w="440" w:type="dxa"/>
            <w:vAlign w:val="bottom"/>
          </w:tcPr>
          <w:p>
            <w:pPr>
              <w:spacing w:after="0"/>
              <w:rPr>
                <w:sz w:val="19"/>
                <w:szCs w:val="19"/>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(14,146,001)</w:t>
            </w:r>
          </w:p>
        </w:tc>
      </w:tr>
      <w:tr>
        <w:trPr>
          <w:trHeight w:val="223"/>
        </w:trPr>
        <w:tc>
          <w:tcPr>
            <w:tcW w:w="50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4380" w:type="dxa"/>
            <w:vAlign w:val="bottom"/>
            <w:tcBorders>
              <w:top w:val="single" w:sz="8" w:color="DEDEDE"/>
              <w:bottom w:val="single" w:sz="8" w:color="DEDEDE"/>
            </w:tcBorders>
            <w:shd w:val="clear" w:color="auto" w:fill="DEDEDE"/>
          </w:tcPr>
          <w:p>
            <w:pPr>
              <w:spacing w:after="0"/>
              <w:rPr>
                <w:sz w:val="19"/>
                <w:szCs w:val="19"/>
                <w:color w:val="auto"/>
              </w:rPr>
            </w:pPr>
          </w:p>
        </w:tc>
        <w:tc>
          <w:tcPr>
            <w:tcW w:w="280" w:type="dxa"/>
            <w:vAlign w:val="bottom"/>
            <w:tcBorders>
              <w:top w:val="single" w:sz="8" w:color="auto"/>
              <w:bottom w:val="single" w:sz="8" w:color="auto"/>
            </w:tcBorders>
            <w:shd w:val="clear" w:color="auto" w:fill="DEDED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18,211,717</w:t>
            </w:r>
          </w:p>
        </w:tc>
        <w:tc>
          <w:tcPr>
            <w:tcW w:w="220" w:type="dxa"/>
            <w:vAlign w:val="bottom"/>
            <w:tcBorders>
              <w:top w:val="single" w:sz="8" w:color="DEDEDE"/>
              <w:bottom w:val="single" w:sz="8" w:color="DEDEDE"/>
            </w:tcBorders>
            <w:shd w:val="clear" w:color="auto" w:fill="DEDEDE"/>
          </w:tcPr>
          <w:p>
            <w:pPr>
              <w:spacing w:after="0"/>
              <w:rPr>
                <w:sz w:val="19"/>
                <w:szCs w:val="19"/>
                <w:color w:val="auto"/>
              </w:rPr>
            </w:pPr>
          </w:p>
        </w:tc>
        <w:tc>
          <w:tcPr>
            <w:tcW w:w="440" w:type="dxa"/>
            <w:vAlign w:val="bottom"/>
            <w:tcBorders>
              <w:top w:val="single" w:sz="8" w:color="auto"/>
              <w:bottom w:val="single" w:sz="8" w:color="auto"/>
            </w:tcBorders>
            <w:shd w:val="clear" w:color="auto" w:fill="DEDED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DEDEDE"/>
          </w:tcPr>
          <w:p>
            <w:pPr>
              <w:ind w:left="100"/>
              <w:spacing w:after="0"/>
              <w:rPr>
                <w:sz w:val="20"/>
                <w:szCs w:val="20"/>
                <w:color w:val="auto"/>
              </w:rPr>
            </w:pPr>
            <w:r>
              <w:rPr>
                <w:rFonts w:ascii="Times New Roman" w:cs="Times New Roman" w:eastAsia="Times New Roman" w:hAnsi="Times New Roman"/>
                <w:sz w:val="18"/>
                <w:szCs w:val="18"/>
                <w:color w:val="auto"/>
                <w:w w:val="96"/>
              </w:rPr>
              <w:t>19,047,688</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Depreciation expense for 2025 and 2024 was $2,425,185 and $2,383,621, respectively. Property and equipment are stated at cost and are depreciated over their estimated useful lives, primarily using the straight-line method. The Company did not record any impairment losses on property and equipment for 2025 or 2024. Impairment losses, if any, are included in gains (losses) on investments and other assets on the consolidated statements of earnings.</w:t>
      </w:r>
    </w:p>
    <w:p>
      <w:pPr>
        <w:spacing w:after="0" w:line="176" w:lineRule="exact"/>
        <w:rPr>
          <w:sz w:val="20"/>
          <w:szCs w:val="20"/>
          <w:color w:val="auto"/>
        </w:rPr>
      </w:pPr>
    </w:p>
    <w:p>
      <w:pPr>
        <w:ind w:left="642" w:hanging="642"/>
        <w:spacing w:after="0"/>
        <w:tabs>
          <w:tab w:leader="none" w:pos="642"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Policy and Pre-need Contract Acquisition Costs, Value of Business Acquired, and Unearned Premium Reserve</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Deferred Policy and Pre-need Contract Acquisition Costs (“DAC”)</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reports DAC pursuant to the accounting policy discussed in Note 1. Also, refer to Note 1 regarding the adoption of ASU 2018-12.</w:t>
      </w:r>
    </w:p>
    <w:p>
      <w:pPr>
        <w:spacing w:after="0" w:line="225" w:lineRule="exact"/>
        <w:rPr>
          <w:sz w:val="20"/>
          <w:szCs w:val="20"/>
          <w:color w:val="auto"/>
        </w:rPr>
      </w:pPr>
    </w:p>
    <w:p>
      <w:pPr>
        <w:ind w:left="2" w:right="20"/>
        <w:spacing w:after="0" w:line="283" w:lineRule="auto"/>
        <w:rPr>
          <w:sz w:val="20"/>
          <w:szCs w:val="20"/>
          <w:color w:val="auto"/>
        </w:rPr>
      </w:pPr>
      <w:r>
        <w:rPr>
          <w:rFonts w:ascii="Times New Roman" w:cs="Times New Roman" w:eastAsia="Times New Roman" w:hAnsi="Times New Roman"/>
          <w:sz w:val="18"/>
          <w:szCs w:val="18"/>
          <w:color w:val="auto"/>
        </w:rPr>
        <w:t>The following tables show a roll forward for the lines of business that contain DAC balances, along with a reconciliation to the Company’s total DAC balance:</w:t>
      </w:r>
    </w:p>
    <w:p>
      <w:pPr>
        <w:spacing w:after="0" w:line="173"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0"/>
        </w:trPr>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80"/>
              <w:spacing w:after="0" w:line="190" w:lineRule="exact"/>
              <w:rPr>
                <w:sz w:val="20"/>
                <w:szCs w:val="20"/>
                <w:color w:val="auto"/>
              </w:rPr>
            </w:pPr>
            <w:r>
              <w:rPr>
                <w:rFonts w:ascii="Times New Roman" w:cs="Times New Roman" w:eastAsia="Times New Roman" w:hAnsi="Times New Roman"/>
                <w:sz w:val="18"/>
                <w:szCs w:val="18"/>
                <w:color w:val="auto"/>
                <w:w w:val="99"/>
              </w:rPr>
              <w:t>Traditional</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80"/>
              <w:spacing w:after="0" w:line="190" w:lineRule="exact"/>
              <w:rPr>
                <w:sz w:val="20"/>
                <w:szCs w:val="20"/>
                <w:color w:val="auto"/>
              </w:rPr>
            </w:pPr>
            <w:r>
              <w:rPr>
                <w:rFonts w:ascii="Times New Roman" w:cs="Times New Roman" w:eastAsia="Times New Roman" w:hAnsi="Times New Roman"/>
                <w:sz w:val="18"/>
                <w:szCs w:val="18"/>
                <w:color w:val="auto"/>
              </w:rPr>
              <w:t>Fixed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40"/>
              <w:spacing w:after="0" w:line="190" w:lineRule="exact"/>
              <w:rPr>
                <w:sz w:val="20"/>
                <w:szCs w:val="20"/>
                <w:color w:val="auto"/>
              </w:rPr>
            </w:pPr>
            <w:r>
              <w:rPr>
                <w:rFonts w:ascii="Times New Roman" w:cs="Times New Roman" w:eastAsia="Times New Roman" w:hAnsi="Times New Roman"/>
                <w:sz w:val="18"/>
                <w:szCs w:val="18"/>
                <w:color w:val="auto"/>
                <w:w w:val="99"/>
              </w:rPr>
              <w:t>Universal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00"/>
              <w:spacing w:after="0" w:line="190" w:lineRule="exact"/>
              <w:rPr>
                <w:sz w:val="20"/>
                <w:szCs w:val="20"/>
                <w:color w:val="auto"/>
              </w:rPr>
            </w:pPr>
            <w:r>
              <w:rPr>
                <w:rFonts w:ascii="Times New Roman" w:cs="Times New Roman" w:eastAsia="Times New Roman" w:hAnsi="Times New Roman"/>
                <w:sz w:val="18"/>
                <w:szCs w:val="18"/>
                <w:color w:val="auto"/>
              </w:rPr>
              <w:t>Accident and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60"/>
              <w:spacing w:after="0" w:line="190" w:lineRule="exact"/>
              <w:rPr>
                <w:sz w:val="20"/>
                <w:szCs w:val="20"/>
                <w:color w:val="auto"/>
              </w:rPr>
            </w:pPr>
            <w:r>
              <w:rPr>
                <w:rFonts w:ascii="Times New Roman" w:cs="Times New Roman" w:eastAsia="Times New Roman" w:hAnsi="Times New Roman"/>
                <w:sz w:val="18"/>
                <w:szCs w:val="18"/>
                <w:color w:val="auto"/>
                <w:w w:val="99"/>
              </w:rPr>
              <w:t>Pre-need</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5"/>
        </w:trPr>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Life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Annuities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Life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Health</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Contracts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r>
      <w:tr>
        <w:trPr>
          <w:trHeight w:val="177"/>
        </w:trPr>
        <w:tc>
          <w:tcPr>
            <w:tcW w:w="700" w:type="dxa"/>
            <w:vAlign w:val="bottom"/>
            <w:tcBorders>
              <w:top w:val="single" w:sz="8" w:color="DEDEDE"/>
            </w:tcBorders>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rPr>
              <w:t>Balance,</w:t>
            </w:r>
          </w:p>
        </w:tc>
        <w:tc>
          <w:tcPr>
            <w:tcW w:w="940" w:type="dxa"/>
            <w:vAlign w:val="bottom"/>
            <w:tcBorders>
              <w:top w:val="single" w:sz="8" w:color="DEDEDE"/>
            </w:tcBorders>
            <w:shd w:val="clear" w:color="auto" w:fill="DEDEDE"/>
          </w:tcPr>
          <w:p>
            <w:pPr>
              <w:ind w:left="80"/>
              <w:spacing w:after="0" w:line="176" w:lineRule="exact"/>
              <w:rPr>
                <w:sz w:val="20"/>
                <w:szCs w:val="20"/>
                <w:color w:val="auto"/>
              </w:rPr>
            </w:pPr>
            <w:r>
              <w:rPr>
                <w:rFonts w:ascii="Times New Roman" w:cs="Times New Roman" w:eastAsia="Times New Roman" w:hAnsi="Times New Roman"/>
                <w:sz w:val="18"/>
                <w:szCs w:val="18"/>
                <w:color w:val="auto"/>
              </w:rPr>
              <w:t>beginning</w:t>
            </w:r>
          </w:p>
        </w:tc>
        <w:tc>
          <w:tcPr>
            <w:tcW w:w="400" w:type="dxa"/>
            <w:vAlign w:val="bottom"/>
            <w:tcBorders>
              <w:top w:val="single" w:sz="8" w:color="DEDEDE"/>
            </w:tcBorders>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rPr>
              <w:t>of</w:t>
            </w:r>
          </w:p>
        </w:tc>
        <w:tc>
          <w:tcPr>
            <w:tcW w:w="160" w:type="dxa"/>
            <w:vAlign w:val="bottom"/>
            <w:tcBorders>
              <w:top w:val="single" w:sz="8" w:color="auto"/>
            </w:tcBorders>
            <w:shd w:val="clear" w:color="auto" w:fill="DEDEDE"/>
          </w:tcPr>
          <w:p>
            <w:pPr>
              <w:spacing w:after="0"/>
              <w:rPr>
                <w:sz w:val="15"/>
                <w:szCs w:val="15"/>
                <w:color w:val="auto"/>
              </w:rPr>
            </w:pPr>
          </w:p>
        </w:tc>
        <w:tc>
          <w:tcPr>
            <w:tcW w:w="1100" w:type="dxa"/>
            <w:vAlign w:val="bottom"/>
            <w:tcBorders>
              <w:top w:val="single" w:sz="8" w:color="auto"/>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180" w:type="dxa"/>
            <w:vAlign w:val="bottom"/>
            <w:tcBorders>
              <w:top w:val="single" w:sz="8" w:color="auto"/>
            </w:tcBorders>
            <w:shd w:val="clear" w:color="auto" w:fill="DEDEDE"/>
          </w:tcPr>
          <w:p>
            <w:pPr>
              <w:spacing w:after="0"/>
              <w:rPr>
                <w:sz w:val="15"/>
                <w:szCs w:val="15"/>
                <w:color w:val="auto"/>
              </w:rPr>
            </w:pPr>
          </w:p>
        </w:tc>
        <w:tc>
          <w:tcPr>
            <w:tcW w:w="1080" w:type="dxa"/>
            <w:vAlign w:val="bottom"/>
            <w:tcBorders>
              <w:top w:val="single" w:sz="8" w:color="auto"/>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auto"/>
            </w:tcBorders>
            <w:shd w:val="clear" w:color="auto" w:fill="DEDEDE"/>
          </w:tcPr>
          <w:p>
            <w:pPr>
              <w:spacing w:after="0"/>
              <w:rPr>
                <w:sz w:val="15"/>
                <w:szCs w:val="15"/>
                <w:color w:val="auto"/>
              </w:rPr>
            </w:pPr>
          </w:p>
        </w:tc>
        <w:tc>
          <w:tcPr>
            <w:tcW w:w="1080" w:type="dxa"/>
            <w:vAlign w:val="bottom"/>
            <w:tcBorders>
              <w:top w:val="single" w:sz="8" w:color="auto"/>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120" w:type="dxa"/>
            <w:vAlign w:val="bottom"/>
            <w:tcBorders>
              <w:top w:val="single" w:sz="8" w:color="DEDEDE"/>
            </w:tcBorders>
            <w:shd w:val="clear" w:color="auto" w:fill="DEDEDE"/>
          </w:tcPr>
          <w:p>
            <w:pPr>
              <w:spacing w:after="0"/>
              <w:rPr>
                <w:sz w:val="15"/>
                <w:szCs w:val="15"/>
                <w:color w:val="auto"/>
              </w:rPr>
            </w:pPr>
          </w:p>
        </w:tc>
        <w:tc>
          <w:tcPr>
            <w:tcW w:w="120" w:type="dxa"/>
            <w:vAlign w:val="bottom"/>
            <w:tcBorders>
              <w:top w:val="single" w:sz="8" w:color="auto"/>
            </w:tcBorders>
            <w:shd w:val="clear" w:color="auto" w:fill="DEDEDE"/>
          </w:tcPr>
          <w:p>
            <w:pPr>
              <w:spacing w:after="0"/>
              <w:rPr>
                <w:sz w:val="15"/>
                <w:szCs w:val="15"/>
                <w:color w:val="auto"/>
              </w:rPr>
            </w:pPr>
          </w:p>
        </w:tc>
        <w:tc>
          <w:tcPr>
            <w:tcW w:w="1120" w:type="dxa"/>
            <w:vAlign w:val="bottom"/>
            <w:tcBorders>
              <w:top w:val="single" w:sz="8" w:color="auto"/>
            </w:tcBorders>
            <w:shd w:val="clear" w:color="auto" w:fill="DEDEDE"/>
          </w:tcPr>
          <w:p>
            <w:pPr>
              <w:spacing w:after="0"/>
              <w:rPr>
                <w:sz w:val="15"/>
                <w:szCs w:val="15"/>
                <w:color w:val="auto"/>
              </w:rPr>
            </w:pPr>
          </w:p>
        </w:tc>
        <w:tc>
          <w:tcPr>
            <w:tcW w:w="18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180" w:type="dxa"/>
            <w:vAlign w:val="bottom"/>
            <w:tcBorders>
              <w:top w:val="single" w:sz="8" w:color="auto"/>
            </w:tcBorders>
            <w:shd w:val="clear" w:color="auto" w:fill="DEDEDE"/>
          </w:tcPr>
          <w:p>
            <w:pPr>
              <w:spacing w:after="0"/>
              <w:rPr>
                <w:sz w:val="15"/>
                <w:szCs w:val="15"/>
                <w:color w:val="auto"/>
              </w:rPr>
            </w:pPr>
          </w:p>
        </w:tc>
        <w:tc>
          <w:tcPr>
            <w:tcW w:w="1040" w:type="dxa"/>
            <w:vAlign w:val="bottom"/>
            <w:tcBorders>
              <w:top w:val="single" w:sz="8" w:color="auto"/>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200" w:type="dxa"/>
            <w:vAlign w:val="bottom"/>
            <w:tcBorders>
              <w:top w:val="single" w:sz="8" w:color="auto"/>
            </w:tcBorders>
            <w:shd w:val="clear" w:color="auto" w:fill="DEDEDE"/>
          </w:tcPr>
          <w:p>
            <w:pPr>
              <w:spacing w:after="0"/>
              <w:rPr>
                <w:sz w:val="15"/>
                <w:szCs w:val="15"/>
                <w:color w:val="auto"/>
              </w:rPr>
            </w:pPr>
          </w:p>
        </w:tc>
        <w:tc>
          <w:tcPr>
            <w:tcW w:w="1020" w:type="dxa"/>
            <w:vAlign w:val="bottom"/>
            <w:tcBorders>
              <w:top w:val="single" w:sz="8" w:color="auto"/>
            </w:tcBorders>
            <w:shd w:val="clear" w:color="auto" w:fill="DEDEDE"/>
          </w:tcPr>
          <w:p>
            <w:pPr>
              <w:spacing w:after="0"/>
              <w:rPr>
                <w:sz w:val="15"/>
                <w:szCs w:val="15"/>
                <w:color w:val="auto"/>
              </w:rPr>
            </w:pPr>
          </w:p>
        </w:tc>
        <w:tc>
          <w:tcPr>
            <w:tcW w:w="120" w:type="dxa"/>
            <w:vAlign w:val="bottom"/>
            <w:tcBorders>
              <w:top w:val="single" w:sz="8" w:color="DEDEDE"/>
            </w:tcBorders>
            <w:shd w:val="clear" w:color="auto" w:fill="DEDEDE"/>
          </w:tcPr>
          <w:p>
            <w:pPr>
              <w:spacing w:after="0"/>
              <w:rPr>
                <w:sz w:val="15"/>
                <w:szCs w:val="15"/>
                <w:color w:val="auto"/>
              </w:rPr>
            </w:pPr>
          </w:p>
        </w:tc>
      </w:tr>
      <w:tr>
        <w:trPr>
          <w:trHeight w:val="236"/>
        </w:trPr>
        <w:tc>
          <w:tcPr>
            <w:tcW w:w="7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period</w:t>
            </w:r>
          </w:p>
        </w:tc>
        <w:tc>
          <w:tcPr>
            <w:tcW w:w="940" w:type="dxa"/>
            <w:vAlign w:val="bottom"/>
            <w:shd w:val="clear" w:color="auto" w:fill="DEDEDE"/>
          </w:tcPr>
          <w:p>
            <w:pPr>
              <w:spacing w:after="0"/>
              <w:rPr>
                <w:sz w:val="20"/>
                <w:szCs w:val="20"/>
                <w:color w:val="auto"/>
              </w:rPr>
            </w:pPr>
          </w:p>
        </w:tc>
        <w:tc>
          <w:tcPr>
            <w:tcW w:w="5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118,803,677</w:t>
            </w:r>
          </w:p>
        </w:tc>
        <w:tc>
          <w:tcPr>
            <w:tcW w:w="200" w:type="dxa"/>
            <w:vAlign w:val="bottom"/>
            <w:shd w:val="clear" w:color="auto" w:fill="DEDEDE"/>
          </w:tcPr>
          <w:p>
            <w:pPr>
              <w:spacing w:after="0"/>
              <w:rPr>
                <w:sz w:val="20"/>
                <w:szCs w:val="20"/>
                <w:color w:val="auto"/>
              </w:rPr>
            </w:pPr>
          </w:p>
        </w:tc>
        <w:tc>
          <w:tcPr>
            <w:tcW w:w="3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535,836</w:t>
            </w:r>
          </w:p>
        </w:tc>
        <w:tc>
          <w:tcPr>
            <w:tcW w:w="200" w:type="dxa"/>
            <w:vAlign w:val="bottom"/>
            <w:shd w:val="clear" w:color="auto" w:fill="DEDEDE"/>
          </w:tcPr>
          <w:p>
            <w:pPr>
              <w:spacing w:after="0"/>
              <w:rPr>
                <w:sz w:val="20"/>
                <w:szCs w:val="20"/>
                <w:color w:val="auto"/>
              </w:rPr>
            </w:pPr>
          </w:p>
        </w:tc>
        <w:tc>
          <w:tcPr>
            <w:tcW w:w="2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3,754,867</w:t>
            </w:r>
          </w:p>
        </w:tc>
        <w:tc>
          <w:tcPr>
            <w:tcW w:w="200" w:type="dxa"/>
            <w:vAlign w:val="bottom"/>
            <w:shd w:val="clear" w:color="auto" w:fill="DEDEDE"/>
          </w:tcPr>
          <w:p>
            <w:pPr>
              <w:spacing w:after="0"/>
              <w:rPr>
                <w:sz w:val="20"/>
                <w:szCs w:val="20"/>
                <w:color w:val="auto"/>
              </w:rPr>
            </w:pPr>
          </w:p>
        </w:tc>
        <w:tc>
          <w:tcPr>
            <w:tcW w:w="2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shd w:val="clear" w:color="auto" w:fill="DEDEDE"/>
          </w:tcPr>
          <w:p>
            <w:pPr>
              <w:spacing w:after="0"/>
              <w:rPr>
                <w:sz w:val="20"/>
                <w:szCs w:val="20"/>
                <w:color w:val="auto"/>
              </w:rPr>
            </w:pPr>
          </w:p>
        </w:tc>
        <w:tc>
          <w:tcPr>
            <w:tcW w:w="3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4,125,061</w:t>
            </w:r>
          </w:p>
        </w:tc>
        <w:tc>
          <w:tcPr>
            <w:tcW w:w="200" w:type="dxa"/>
            <w:vAlign w:val="bottom"/>
            <w:shd w:val="clear" w:color="auto" w:fill="DEDEDE"/>
          </w:tcPr>
          <w:p>
            <w:pPr>
              <w:spacing w:after="0"/>
              <w:rPr>
                <w:sz w:val="20"/>
                <w:szCs w:val="20"/>
                <w:color w:val="auto"/>
              </w:rPr>
            </w:pPr>
          </w:p>
        </w:tc>
        <w:tc>
          <w:tcPr>
            <w:tcW w:w="340" w:type="dxa"/>
            <w:vAlign w:val="bottom"/>
            <w:gridSpan w:val="2"/>
            <w:shd w:val="clear" w:color="auto" w:fill="DEDED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127,219,907</w:t>
            </w:r>
          </w:p>
        </w:tc>
        <w:tc>
          <w:tcPr>
            <w:tcW w:w="120" w:type="dxa"/>
            <w:vAlign w:val="bottom"/>
            <w:shd w:val="clear" w:color="auto" w:fill="DEDEDE"/>
          </w:tcPr>
          <w:p>
            <w:pPr>
              <w:spacing w:after="0"/>
              <w:rPr>
                <w:sz w:val="20"/>
                <w:szCs w:val="20"/>
                <w:color w:val="auto"/>
              </w:rPr>
            </w:pPr>
          </w:p>
        </w:tc>
      </w:tr>
      <w:tr>
        <w:trPr>
          <w:trHeight w:val="216"/>
        </w:trPr>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Deferrals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18,828,392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19,926,269</w:t>
            </w:r>
          </w:p>
        </w:tc>
        <w:tc>
          <w:tcPr>
            <w:tcW w:w="120" w:type="dxa"/>
            <w:vAlign w:val="bottom"/>
          </w:tcPr>
          <w:p>
            <w:pPr>
              <w:spacing w:after="0"/>
              <w:rPr>
                <w:sz w:val="18"/>
                <w:szCs w:val="18"/>
                <w:color w:val="auto"/>
              </w:rPr>
            </w:pPr>
          </w:p>
        </w:tc>
      </w:tr>
      <w:tr>
        <w:trPr>
          <w:trHeight w:val="229"/>
        </w:trPr>
        <w:tc>
          <w:tcPr>
            <w:tcW w:w="1640" w:type="dxa"/>
            <w:vAlign w:val="bottom"/>
            <w:gridSpan w:val="2"/>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30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(9,992,783)</w:t>
            </w:r>
          </w:p>
        </w:tc>
        <w:tc>
          <w:tcPr>
            <w:tcW w:w="14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28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(135,738)</w:t>
            </w: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28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(324,349)</w:t>
            </w:r>
          </w:p>
        </w:tc>
        <w:tc>
          <w:tcPr>
            <w:tcW w:w="12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30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(466)</w:t>
            </w:r>
          </w:p>
        </w:tc>
        <w:tc>
          <w:tcPr>
            <w:tcW w:w="14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24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(714,037)</w:t>
            </w:r>
          </w:p>
        </w:tc>
        <w:tc>
          <w:tcPr>
            <w:tcW w:w="14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14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(11,167,373)</w:t>
            </w:r>
          </w:p>
        </w:tc>
      </w:tr>
      <w:tr>
        <w:trPr>
          <w:trHeight w:val="223"/>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Balance, end of period</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127,639,286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571,370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3,430,518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4,337,629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135,978,803</w:t>
            </w:r>
          </w:p>
        </w:tc>
        <w:tc>
          <w:tcPr>
            <w:tcW w:w="12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48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380"/>
              <w:spacing w:after="0" w:line="190" w:lineRule="exact"/>
              <w:rPr>
                <w:sz w:val="20"/>
                <w:szCs w:val="20"/>
                <w:color w:val="auto"/>
              </w:rPr>
            </w:pPr>
            <w:r>
              <w:rPr>
                <w:rFonts w:ascii="Times New Roman" w:cs="Times New Roman" w:eastAsia="Times New Roman" w:hAnsi="Times New Roman"/>
                <w:sz w:val="18"/>
                <w:szCs w:val="18"/>
                <w:color w:val="auto"/>
                <w:w w:val="99"/>
              </w:rPr>
              <w:t>Traditional</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80"/>
              <w:spacing w:after="0" w:line="190" w:lineRule="exact"/>
              <w:rPr>
                <w:sz w:val="20"/>
                <w:szCs w:val="20"/>
                <w:color w:val="auto"/>
              </w:rPr>
            </w:pPr>
            <w:r>
              <w:rPr>
                <w:rFonts w:ascii="Times New Roman" w:cs="Times New Roman" w:eastAsia="Times New Roman" w:hAnsi="Times New Roman"/>
                <w:sz w:val="18"/>
                <w:szCs w:val="18"/>
                <w:color w:val="auto"/>
              </w:rPr>
              <w:t>Fixed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340"/>
              <w:spacing w:after="0" w:line="190" w:lineRule="exact"/>
              <w:rPr>
                <w:sz w:val="20"/>
                <w:szCs w:val="20"/>
                <w:color w:val="auto"/>
              </w:rPr>
            </w:pPr>
            <w:r>
              <w:rPr>
                <w:rFonts w:ascii="Times New Roman" w:cs="Times New Roman" w:eastAsia="Times New Roman" w:hAnsi="Times New Roman"/>
                <w:sz w:val="18"/>
                <w:szCs w:val="18"/>
                <w:color w:val="auto"/>
                <w:w w:val="99"/>
              </w:rPr>
              <w:t>Universal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00"/>
              <w:spacing w:after="0" w:line="190" w:lineRule="exact"/>
              <w:rPr>
                <w:sz w:val="20"/>
                <w:szCs w:val="20"/>
                <w:color w:val="auto"/>
              </w:rPr>
            </w:pPr>
            <w:r>
              <w:rPr>
                <w:rFonts w:ascii="Times New Roman" w:cs="Times New Roman" w:eastAsia="Times New Roman" w:hAnsi="Times New Roman"/>
                <w:sz w:val="18"/>
                <w:szCs w:val="18"/>
                <w:color w:val="auto"/>
              </w:rPr>
              <w:t>Accident and</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jc w:val="center"/>
              <w:ind w:right="360"/>
              <w:spacing w:after="0" w:line="190" w:lineRule="exact"/>
              <w:rPr>
                <w:sz w:val="20"/>
                <w:szCs w:val="20"/>
                <w:color w:val="auto"/>
              </w:rPr>
            </w:pPr>
            <w:r>
              <w:rPr>
                <w:rFonts w:ascii="Times New Roman" w:cs="Times New Roman" w:eastAsia="Times New Roman" w:hAnsi="Times New Roman"/>
                <w:sz w:val="18"/>
                <w:szCs w:val="18"/>
                <w:color w:val="auto"/>
                <w:w w:val="99"/>
              </w:rPr>
              <w:t>Pre-need</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5"/>
        </w:trPr>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Life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Annuities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Life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Health</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rPr>
              <w:t>Contracts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Total</w:t>
            </w:r>
          </w:p>
        </w:tc>
      </w:tr>
      <w:tr>
        <w:trPr>
          <w:trHeight w:val="177"/>
        </w:trPr>
        <w:tc>
          <w:tcPr>
            <w:tcW w:w="700" w:type="dxa"/>
            <w:vAlign w:val="bottom"/>
            <w:tcBorders>
              <w:top w:val="single" w:sz="8" w:color="DEDEDE"/>
            </w:tcBorders>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rPr>
              <w:t>Balance,</w:t>
            </w:r>
          </w:p>
        </w:tc>
        <w:tc>
          <w:tcPr>
            <w:tcW w:w="940" w:type="dxa"/>
            <w:vAlign w:val="bottom"/>
            <w:tcBorders>
              <w:top w:val="single" w:sz="8" w:color="DEDEDE"/>
            </w:tcBorders>
            <w:shd w:val="clear" w:color="auto" w:fill="DEDEDE"/>
          </w:tcPr>
          <w:p>
            <w:pPr>
              <w:ind w:left="80"/>
              <w:spacing w:after="0" w:line="176" w:lineRule="exact"/>
              <w:rPr>
                <w:sz w:val="20"/>
                <w:szCs w:val="20"/>
                <w:color w:val="auto"/>
              </w:rPr>
            </w:pPr>
            <w:r>
              <w:rPr>
                <w:rFonts w:ascii="Times New Roman" w:cs="Times New Roman" w:eastAsia="Times New Roman" w:hAnsi="Times New Roman"/>
                <w:sz w:val="18"/>
                <w:szCs w:val="18"/>
                <w:color w:val="auto"/>
              </w:rPr>
              <w:t>beginning</w:t>
            </w:r>
          </w:p>
        </w:tc>
        <w:tc>
          <w:tcPr>
            <w:tcW w:w="400" w:type="dxa"/>
            <w:vAlign w:val="bottom"/>
            <w:tcBorders>
              <w:top w:val="single" w:sz="8" w:color="DEDEDE"/>
            </w:tcBorders>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rPr>
              <w:t>of</w:t>
            </w:r>
          </w:p>
        </w:tc>
        <w:tc>
          <w:tcPr>
            <w:tcW w:w="160" w:type="dxa"/>
            <w:vAlign w:val="bottom"/>
            <w:tcBorders>
              <w:top w:val="single" w:sz="8" w:color="auto"/>
            </w:tcBorders>
            <w:shd w:val="clear" w:color="auto" w:fill="DEDEDE"/>
          </w:tcPr>
          <w:p>
            <w:pPr>
              <w:spacing w:after="0"/>
              <w:rPr>
                <w:sz w:val="15"/>
                <w:szCs w:val="15"/>
                <w:color w:val="auto"/>
              </w:rPr>
            </w:pPr>
          </w:p>
        </w:tc>
        <w:tc>
          <w:tcPr>
            <w:tcW w:w="1100" w:type="dxa"/>
            <w:vAlign w:val="bottom"/>
            <w:tcBorders>
              <w:top w:val="single" w:sz="8" w:color="auto"/>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180" w:type="dxa"/>
            <w:vAlign w:val="bottom"/>
            <w:tcBorders>
              <w:top w:val="single" w:sz="8" w:color="auto"/>
            </w:tcBorders>
            <w:shd w:val="clear" w:color="auto" w:fill="DEDEDE"/>
          </w:tcPr>
          <w:p>
            <w:pPr>
              <w:spacing w:after="0"/>
              <w:rPr>
                <w:sz w:val="15"/>
                <w:szCs w:val="15"/>
                <w:color w:val="auto"/>
              </w:rPr>
            </w:pPr>
          </w:p>
        </w:tc>
        <w:tc>
          <w:tcPr>
            <w:tcW w:w="1080" w:type="dxa"/>
            <w:vAlign w:val="bottom"/>
            <w:tcBorders>
              <w:top w:val="single" w:sz="8" w:color="auto"/>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auto"/>
            </w:tcBorders>
            <w:shd w:val="clear" w:color="auto" w:fill="DEDEDE"/>
          </w:tcPr>
          <w:p>
            <w:pPr>
              <w:spacing w:after="0"/>
              <w:rPr>
                <w:sz w:val="15"/>
                <w:szCs w:val="15"/>
                <w:color w:val="auto"/>
              </w:rPr>
            </w:pPr>
          </w:p>
        </w:tc>
        <w:tc>
          <w:tcPr>
            <w:tcW w:w="1080" w:type="dxa"/>
            <w:vAlign w:val="bottom"/>
            <w:tcBorders>
              <w:top w:val="single" w:sz="8" w:color="auto"/>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120" w:type="dxa"/>
            <w:vAlign w:val="bottom"/>
            <w:tcBorders>
              <w:top w:val="single" w:sz="8" w:color="DEDEDE"/>
            </w:tcBorders>
            <w:shd w:val="clear" w:color="auto" w:fill="DEDEDE"/>
          </w:tcPr>
          <w:p>
            <w:pPr>
              <w:spacing w:after="0"/>
              <w:rPr>
                <w:sz w:val="15"/>
                <w:szCs w:val="15"/>
                <w:color w:val="auto"/>
              </w:rPr>
            </w:pPr>
          </w:p>
        </w:tc>
        <w:tc>
          <w:tcPr>
            <w:tcW w:w="120" w:type="dxa"/>
            <w:vAlign w:val="bottom"/>
            <w:tcBorders>
              <w:top w:val="single" w:sz="8" w:color="auto"/>
            </w:tcBorders>
            <w:shd w:val="clear" w:color="auto" w:fill="DEDEDE"/>
          </w:tcPr>
          <w:p>
            <w:pPr>
              <w:spacing w:after="0"/>
              <w:rPr>
                <w:sz w:val="15"/>
                <w:szCs w:val="15"/>
                <w:color w:val="auto"/>
              </w:rPr>
            </w:pPr>
          </w:p>
        </w:tc>
        <w:tc>
          <w:tcPr>
            <w:tcW w:w="1120" w:type="dxa"/>
            <w:vAlign w:val="bottom"/>
            <w:tcBorders>
              <w:top w:val="single" w:sz="8" w:color="auto"/>
            </w:tcBorders>
            <w:shd w:val="clear" w:color="auto" w:fill="DEDEDE"/>
          </w:tcPr>
          <w:p>
            <w:pPr>
              <w:spacing w:after="0"/>
              <w:rPr>
                <w:sz w:val="15"/>
                <w:szCs w:val="15"/>
                <w:color w:val="auto"/>
              </w:rPr>
            </w:pPr>
          </w:p>
        </w:tc>
        <w:tc>
          <w:tcPr>
            <w:tcW w:w="18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180" w:type="dxa"/>
            <w:vAlign w:val="bottom"/>
            <w:tcBorders>
              <w:top w:val="single" w:sz="8" w:color="auto"/>
            </w:tcBorders>
            <w:shd w:val="clear" w:color="auto" w:fill="DEDEDE"/>
          </w:tcPr>
          <w:p>
            <w:pPr>
              <w:spacing w:after="0"/>
              <w:rPr>
                <w:sz w:val="15"/>
                <w:szCs w:val="15"/>
                <w:color w:val="auto"/>
              </w:rPr>
            </w:pPr>
          </w:p>
        </w:tc>
        <w:tc>
          <w:tcPr>
            <w:tcW w:w="1040" w:type="dxa"/>
            <w:vAlign w:val="bottom"/>
            <w:tcBorders>
              <w:top w:val="single" w:sz="8" w:color="auto"/>
            </w:tcBorders>
            <w:shd w:val="clear" w:color="auto" w:fill="DEDEDE"/>
          </w:tcPr>
          <w:p>
            <w:pPr>
              <w:spacing w:after="0"/>
              <w:rPr>
                <w:sz w:val="15"/>
                <w:szCs w:val="15"/>
                <w:color w:val="auto"/>
              </w:rPr>
            </w:pPr>
          </w:p>
        </w:tc>
        <w:tc>
          <w:tcPr>
            <w:tcW w:w="20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DEDEDE"/>
            </w:tcBorders>
            <w:shd w:val="clear" w:color="auto" w:fill="DEDEDE"/>
          </w:tcPr>
          <w:p>
            <w:pPr>
              <w:spacing w:after="0"/>
              <w:rPr>
                <w:sz w:val="15"/>
                <w:szCs w:val="15"/>
                <w:color w:val="auto"/>
              </w:rPr>
            </w:pPr>
          </w:p>
        </w:tc>
        <w:tc>
          <w:tcPr>
            <w:tcW w:w="200" w:type="dxa"/>
            <w:vAlign w:val="bottom"/>
            <w:tcBorders>
              <w:top w:val="single" w:sz="8" w:color="auto"/>
            </w:tcBorders>
            <w:shd w:val="clear" w:color="auto" w:fill="DEDEDE"/>
          </w:tcPr>
          <w:p>
            <w:pPr>
              <w:spacing w:after="0"/>
              <w:rPr>
                <w:sz w:val="15"/>
                <w:szCs w:val="15"/>
                <w:color w:val="auto"/>
              </w:rPr>
            </w:pPr>
          </w:p>
        </w:tc>
        <w:tc>
          <w:tcPr>
            <w:tcW w:w="1020" w:type="dxa"/>
            <w:vAlign w:val="bottom"/>
            <w:tcBorders>
              <w:top w:val="single" w:sz="8" w:color="auto"/>
            </w:tcBorders>
            <w:shd w:val="clear" w:color="auto" w:fill="DEDEDE"/>
          </w:tcPr>
          <w:p>
            <w:pPr>
              <w:spacing w:after="0"/>
              <w:rPr>
                <w:sz w:val="15"/>
                <w:szCs w:val="15"/>
                <w:color w:val="auto"/>
              </w:rPr>
            </w:pPr>
          </w:p>
        </w:tc>
        <w:tc>
          <w:tcPr>
            <w:tcW w:w="120" w:type="dxa"/>
            <w:vAlign w:val="bottom"/>
            <w:tcBorders>
              <w:top w:val="single" w:sz="8" w:color="DEDEDE"/>
            </w:tcBorders>
            <w:shd w:val="clear" w:color="auto" w:fill="DEDEDE"/>
          </w:tcPr>
          <w:p>
            <w:pPr>
              <w:spacing w:after="0"/>
              <w:rPr>
                <w:sz w:val="15"/>
                <w:szCs w:val="15"/>
                <w:color w:val="auto"/>
              </w:rPr>
            </w:pPr>
          </w:p>
        </w:tc>
      </w:tr>
      <w:tr>
        <w:trPr>
          <w:trHeight w:val="236"/>
        </w:trPr>
        <w:tc>
          <w:tcPr>
            <w:tcW w:w="7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period</w:t>
            </w:r>
          </w:p>
        </w:tc>
        <w:tc>
          <w:tcPr>
            <w:tcW w:w="940" w:type="dxa"/>
            <w:vAlign w:val="bottom"/>
            <w:shd w:val="clear" w:color="auto" w:fill="DEDEDE"/>
          </w:tcPr>
          <w:p>
            <w:pPr>
              <w:spacing w:after="0"/>
              <w:rPr>
                <w:sz w:val="20"/>
                <w:szCs w:val="20"/>
                <w:color w:val="auto"/>
              </w:rPr>
            </w:pPr>
          </w:p>
        </w:tc>
        <w:tc>
          <w:tcPr>
            <w:tcW w:w="5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107,480,923</w:t>
            </w:r>
          </w:p>
        </w:tc>
        <w:tc>
          <w:tcPr>
            <w:tcW w:w="200" w:type="dxa"/>
            <w:vAlign w:val="bottom"/>
            <w:shd w:val="clear" w:color="auto" w:fill="DEDEDE"/>
          </w:tcPr>
          <w:p>
            <w:pPr>
              <w:spacing w:after="0"/>
              <w:rPr>
                <w:sz w:val="20"/>
                <w:szCs w:val="20"/>
                <w:color w:val="auto"/>
              </w:rPr>
            </w:pPr>
          </w:p>
        </w:tc>
        <w:tc>
          <w:tcPr>
            <w:tcW w:w="3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833,218</w:t>
            </w:r>
          </w:p>
        </w:tc>
        <w:tc>
          <w:tcPr>
            <w:tcW w:w="200" w:type="dxa"/>
            <w:vAlign w:val="bottom"/>
            <w:shd w:val="clear" w:color="auto" w:fill="DEDEDE"/>
          </w:tcPr>
          <w:p>
            <w:pPr>
              <w:spacing w:after="0"/>
              <w:rPr>
                <w:sz w:val="20"/>
                <w:szCs w:val="20"/>
                <w:color w:val="auto"/>
              </w:rPr>
            </w:pPr>
          </w:p>
        </w:tc>
        <w:tc>
          <w:tcPr>
            <w:tcW w:w="2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4,064,299</w:t>
            </w:r>
          </w:p>
        </w:tc>
        <w:tc>
          <w:tcPr>
            <w:tcW w:w="200" w:type="dxa"/>
            <w:vAlign w:val="bottom"/>
            <w:shd w:val="clear" w:color="auto" w:fill="DEDEDE"/>
          </w:tcPr>
          <w:p>
            <w:pPr>
              <w:spacing w:after="0"/>
              <w:rPr>
                <w:sz w:val="20"/>
                <w:szCs w:val="20"/>
                <w:color w:val="auto"/>
              </w:rPr>
            </w:pPr>
          </w:p>
        </w:tc>
        <w:tc>
          <w:tcPr>
            <w:tcW w:w="2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80" w:type="dxa"/>
            <w:vAlign w:val="bottom"/>
            <w:shd w:val="clear" w:color="auto" w:fill="DEDEDE"/>
          </w:tcPr>
          <w:p>
            <w:pPr>
              <w:spacing w:after="0"/>
              <w:rPr>
                <w:sz w:val="20"/>
                <w:szCs w:val="20"/>
                <w:color w:val="auto"/>
              </w:rPr>
            </w:pPr>
          </w:p>
        </w:tc>
        <w:tc>
          <w:tcPr>
            <w:tcW w:w="320" w:type="dxa"/>
            <w:vAlign w:val="bottom"/>
            <w:gridSpan w:val="2"/>
            <w:shd w:val="clear" w:color="auto" w:fill="DEDEDE"/>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3,974,357</w:t>
            </w:r>
          </w:p>
        </w:tc>
        <w:tc>
          <w:tcPr>
            <w:tcW w:w="200" w:type="dxa"/>
            <w:vAlign w:val="bottom"/>
            <w:shd w:val="clear" w:color="auto" w:fill="DEDEDE"/>
          </w:tcPr>
          <w:p>
            <w:pPr>
              <w:spacing w:after="0"/>
              <w:rPr>
                <w:sz w:val="20"/>
                <w:szCs w:val="20"/>
                <w:color w:val="auto"/>
              </w:rPr>
            </w:pPr>
          </w:p>
        </w:tc>
        <w:tc>
          <w:tcPr>
            <w:tcW w:w="340" w:type="dxa"/>
            <w:vAlign w:val="bottom"/>
            <w:gridSpan w:val="2"/>
            <w:shd w:val="clear" w:color="auto" w:fill="DEDED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116,354,598</w:t>
            </w:r>
          </w:p>
        </w:tc>
        <w:tc>
          <w:tcPr>
            <w:tcW w:w="120" w:type="dxa"/>
            <w:vAlign w:val="bottom"/>
            <w:shd w:val="clear" w:color="auto" w:fill="DEDEDE"/>
          </w:tcPr>
          <w:p>
            <w:pPr>
              <w:spacing w:after="0"/>
              <w:rPr>
                <w:sz w:val="20"/>
                <w:szCs w:val="20"/>
                <w:color w:val="auto"/>
              </w:rPr>
            </w:pPr>
          </w:p>
        </w:tc>
      </w:tr>
      <w:tr>
        <w:trPr>
          <w:trHeight w:val="216"/>
        </w:trPr>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Deferrals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20,210,400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928,080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21,343,031</w:t>
            </w:r>
          </w:p>
        </w:tc>
        <w:tc>
          <w:tcPr>
            <w:tcW w:w="120" w:type="dxa"/>
            <w:vAlign w:val="bottom"/>
          </w:tcPr>
          <w:p>
            <w:pPr>
              <w:spacing w:after="0"/>
              <w:rPr>
                <w:sz w:val="18"/>
                <w:szCs w:val="18"/>
                <w:color w:val="auto"/>
              </w:rPr>
            </w:pPr>
          </w:p>
        </w:tc>
      </w:tr>
      <w:tr>
        <w:trPr>
          <w:trHeight w:val="229"/>
        </w:trPr>
        <w:tc>
          <w:tcPr>
            <w:tcW w:w="1640" w:type="dxa"/>
            <w:vAlign w:val="bottom"/>
            <w:gridSpan w:val="2"/>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4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30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8"/>
                <w:szCs w:val="18"/>
                <w:color w:val="auto"/>
              </w:rPr>
              <w:t>(8,887,646)</w:t>
            </w:r>
          </w:p>
        </w:tc>
        <w:tc>
          <w:tcPr>
            <w:tcW w:w="14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28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(501,933)</w:t>
            </w: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28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(309,432)</w:t>
            </w:r>
          </w:p>
        </w:tc>
        <w:tc>
          <w:tcPr>
            <w:tcW w:w="12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130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(1,335)</w:t>
            </w:r>
          </w:p>
        </w:tc>
        <w:tc>
          <w:tcPr>
            <w:tcW w:w="14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24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(777,376)</w:t>
            </w:r>
          </w:p>
        </w:tc>
        <w:tc>
          <w:tcPr>
            <w:tcW w:w="14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14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(10,477,722)</w:t>
            </w:r>
          </w:p>
        </w:tc>
      </w:tr>
      <w:tr>
        <w:trPr>
          <w:trHeight w:val="223"/>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Balance, end of period</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118,803,677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535,836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3,754,867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4,125,061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127,219,907</w:t>
            </w:r>
          </w:p>
        </w:tc>
        <w:tc>
          <w:tcPr>
            <w:tcW w:w="12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65</w:t>
      </w:r>
    </w:p>
    <w:p>
      <w:pPr>
        <w:sectPr>
          <w:pgSz w:w="12240" w:h="15840" w:orient="portrait"/>
          <w:cols w:equalWidth="0" w:num="1">
            <w:col w:w="11242"/>
          </w:cols>
          <w:pgMar w:left="498" w:top="687" w:right="500" w:bottom="0" w:gutter="0" w:footer="0" w:header="0"/>
        </w:sectPr>
      </w:pPr>
    </w:p>
    <w:bookmarkStart w:id="93" w:name="page94"/>
    <w:bookmarkEnd w:id="93"/>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Policy and Pre-need Contract Acquisition Costs, Value of Business Acquired, and Unearned Premium Reserve</w:t>
      </w:r>
      <w:r>
        <w:rPr>
          <w:rFonts w:ascii="Times New Roman" w:cs="Times New Roman" w:eastAsia="Times New Roman" w:hAnsi="Times New Roman"/>
          <w:sz w:val="18"/>
          <w:szCs w:val="18"/>
          <w:color w:val="auto"/>
        </w:rPr>
        <w:t xml:space="preserve"> (Continued)</w:t>
      </w:r>
    </w:p>
    <w:p>
      <w:pPr>
        <w:spacing w:after="0" w:line="2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Value of Business Acquired (“VOBA”)</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reports VOBA pursuant to the accounting policy discussed in Note 1. Also, refer to Note 1 regarding the adoption of ASU 2018-12.</w:t>
      </w:r>
    </w:p>
    <w:p>
      <w:pPr>
        <w:spacing w:after="0" w:line="225" w:lineRule="exact"/>
        <w:rPr>
          <w:sz w:val="20"/>
          <w:szCs w:val="20"/>
          <w:color w:val="auto"/>
        </w:rPr>
      </w:pPr>
    </w:p>
    <w:p>
      <w:pPr>
        <w:ind w:left="2" w:right="20"/>
        <w:spacing w:after="0" w:line="283" w:lineRule="auto"/>
        <w:rPr>
          <w:sz w:val="20"/>
          <w:szCs w:val="20"/>
          <w:color w:val="auto"/>
        </w:rPr>
      </w:pPr>
      <w:r>
        <w:rPr>
          <w:rFonts w:ascii="Times New Roman" w:cs="Times New Roman" w:eastAsia="Times New Roman" w:hAnsi="Times New Roman"/>
          <w:sz w:val="18"/>
          <w:szCs w:val="18"/>
          <w:color w:val="auto"/>
        </w:rPr>
        <w:t>The following tables show a roll forward for the lines of business that contain VOBA balances, along with a reconciliation to the Company’s total VOBA balance:</w:t>
      </w:r>
    </w:p>
    <w:p>
      <w:pPr>
        <w:spacing w:after="0" w:line="173"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4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8"/>
          </w:tcPr>
          <w:p>
            <w:pPr>
              <w:jc w:val="right"/>
              <w:ind w:right="1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3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0"/>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560"/>
              <w:spacing w:after="0" w:line="190" w:lineRule="exact"/>
              <w:rPr>
                <w:sz w:val="20"/>
                <w:szCs w:val="20"/>
                <w:color w:val="auto"/>
              </w:rPr>
            </w:pPr>
            <w:r>
              <w:rPr>
                <w:rFonts w:ascii="Times New Roman" w:cs="Times New Roman" w:eastAsia="Times New Roman" w:hAnsi="Times New Roman"/>
                <w:sz w:val="18"/>
                <w:szCs w:val="18"/>
                <w:color w:val="auto"/>
              </w:rPr>
              <w:t>Traditional</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480"/>
              <w:spacing w:after="0" w:line="190" w:lineRule="exact"/>
              <w:rPr>
                <w:sz w:val="20"/>
                <w:szCs w:val="20"/>
                <w:color w:val="auto"/>
              </w:rPr>
            </w:pPr>
            <w:r>
              <w:rPr>
                <w:rFonts w:ascii="Times New Roman" w:cs="Times New Roman" w:eastAsia="Times New Roman" w:hAnsi="Times New Roman"/>
                <w:sz w:val="18"/>
                <w:szCs w:val="18"/>
                <w:color w:val="auto"/>
                <w:w w:val="97"/>
              </w:rPr>
              <w:t>Fixed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440"/>
              <w:spacing w:after="0" w:line="190" w:lineRule="exact"/>
              <w:rPr>
                <w:sz w:val="20"/>
                <w:szCs w:val="20"/>
                <w:color w:val="auto"/>
              </w:rPr>
            </w:pPr>
            <w:r>
              <w:rPr>
                <w:rFonts w:ascii="Times New Roman" w:cs="Times New Roman" w:eastAsia="Times New Roman" w:hAnsi="Times New Roman"/>
                <w:sz w:val="18"/>
                <w:szCs w:val="18"/>
                <w:color w:val="auto"/>
                <w:w w:val="99"/>
              </w:rPr>
              <w:t>Universal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520"/>
              <w:spacing w:after="0" w:line="190" w:lineRule="exact"/>
              <w:rPr>
                <w:sz w:val="20"/>
                <w:szCs w:val="20"/>
                <w:color w:val="auto"/>
              </w:rPr>
            </w:pPr>
            <w:r>
              <w:rPr>
                <w:rFonts w:ascii="Times New Roman" w:cs="Times New Roman" w:eastAsia="Times New Roman" w:hAnsi="Times New Roman"/>
                <w:sz w:val="18"/>
                <w:szCs w:val="18"/>
                <w:color w:val="auto"/>
                <w:w w:val="98"/>
              </w:rPr>
              <w:t>Accident and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5"/>
        </w:trPr>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Life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Annuities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Life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Health</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48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Borders>
              <w:top w:val="single" w:sz="8" w:color="auto"/>
            </w:tcBorders>
            <w:shd w:val="clear" w:color="auto" w:fill="DEDEDE"/>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7,397,519</w:t>
            </w:r>
          </w:p>
        </w:tc>
        <w:tc>
          <w:tcPr>
            <w:tcW w:w="20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240" w:type="dxa"/>
            <w:vAlign w:val="bottom"/>
            <w:tcBorders>
              <w:top w:val="single" w:sz="8" w:color="auto"/>
            </w:tcBorders>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240" w:type="dxa"/>
            <w:vAlign w:val="bottom"/>
            <w:tcBorders>
              <w:top w:val="single" w:sz="8" w:color="auto"/>
            </w:tcBorders>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186,632</w:t>
            </w:r>
          </w:p>
        </w:tc>
        <w:tc>
          <w:tcPr>
            <w:tcW w:w="20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18,370</w:t>
            </w:r>
          </w:p>
        </w:tc>
        <w:tc>
          <w:tcPr>
            <w:tcW w:w="32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300" w:type="dxa"/>
            <w:vAlign w:val="bottom"/>
            <w:tcBorders>
              <w:top w:val="single" w:sz="8" w:color="auto"/>
            </w:tcBorders>
            <w:shd w:val="clear" w:color="auto" w:fill="DEDEDE"/>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7,602,521</w:t>
            </w:r>
          </w:p>
        </w:tc>
        <w:tc>
          <w:tcPr>
            <w:tcW w:w="120" w:type="dxa"/>
            <w:vAlign w:val="bottom"/>
            <w:tcBorders>
              <w:top w:val="single" w:sz="8" w:color="DEDEDE"/>
            </w:tcBorders>
            <w:shd w:val="clear" w:color="auto" w:fill="DEDEDE"/>
          </w:tcPr>
          <w:p>
            <w:pPr>
              <w:spacing w:after="0"/>
              <w:rPr>
                <w:sz w:val="18"/>
                <w:szCs w:val="18"/>
                <w:color w:val="auto"/>
              </w:rPr>
            </w:pPr>
          </w:p>
        </w:tc>
      </w:tr>
      <w:tr>
        <w:trPr>
          <w:trHeight w:val="216"/>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Deferrals</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shd w:val="clear" w:color="auto" w:fill="DEDEDE"/>
          </w:tcPr>
          <w:p>
            <w:pPr>
              <w:spacing w:after="0"/>
              <w:rPr>
                <w:sz w:val="19"/>
                <w:szCs w:val="19"/>
                <w:color w:val="auto"/>
              </w:rPr>
            </w:pPr>
          </w:p>
        </w:tc>
        <w:tc>
          <w:tcPr>
            <w:tcW w:w="148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(429,188)</w:t>
            </w:r>
          </w:p>
        </w:tc>
        <w:tc>
          <w:tcPr>
            <w:tcW w:w="140" w:type="dxa"/>
            <w:vAlign w:val="bottom"/>
            <w:shd w:val="clear" w:color="auto" w:fill="DEDEDE"/>
          </w:tcPr>
          <w:p>
            <w:pPr>
              <w:spacing w:after="0"/>
              <w:rPr>
                <w:sz w:val="19"/>
                <w:szCs w:val="19"/>
                <w:color w:val="auto"/>
              </w:rPr>
            </w:pPr>
          </w:p>
        </w:tc>
        <w:tc>
          <w:tcPr>
            <w:tcW w:w="240" w:type="dxa"/>
            <w:vAlign w:val="bottom"/>
            <w:shd w:val="clear" w:color="auto" w:fill="DEDEDE"/>
          </w:tcPr>
          <w:p>
            <w:pPr>
              <w:spacing w:after="0"/>
              <w:rPr>
                <w:sz w:val="19"/>
                <w:szCs w:val="19"/>
                <w:color w:val="auto"/>
              </w:rPr>
            </w:pPr>
          </w:p>
        </w:tc>
        <w:tc>
          <w:tcPr>
            <w:tcW w:w="144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19"/>
                <w:szCs w:val="19"/>
                <w:color w:val="auto"/>
              </w:rPr>
            </w:pPr>
          </w:p>
        </w:tc>
        <w:tc>
          <w:tcPr>
            <w:tcW w:w="240" w:type="dxa"/>
            <w:vAlign w:val="bottom"/>
            <w:shd w:val="clear" w:color="auto" w:fill="DEDEDE"/>
          </w:tcPr>
          <w:p>
            <w:pPr>
              <w:spacing w:after="0"/>
              <w:rPr>
                <w:sz w:val="19"/>
                <w:szCs w:val="19"/>
                <w:color w:val="auto"/>
              </w:rPr>
            </w:pPr>
          </w:p>
        </w:tc>
        <w:tc>
          <w:tcPr>
            <w:tcW w:w="142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(61,700)</w:t>
            </w:r>
          </w:p>
        </w:tc>
        <w:tc>
          <w:tcPr>
            <w:tcW w:w="12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620" w:type="dxa"/>
            <w:vAlign w:val="bottom"/>
            <w:gridSpan w:val="2"/>
            <w:shd w:val="clear" w:color="auto" w:fill="DEDEDE"/>
          </w:tcPr>
          <w:p>
            <w:pPr>
              <w:jc w:val="right"/>
              <w:ind w:right="260"/>
              <w:spacing w:after="0"/>
              <w:rPr>
                <w:sz w:val="20"/>
                <w:szCs w:val="20"/>
                <w:color w:val="auto"/>
              </w:rPr>
            </w:pPr>
            <w:r>
              <w:rPr>
                <w:rFonts w:ascii="Times New Roman" w:cs="Times New Roman" w:eastAsia="Times New Roman" w:hAnsi="Times New Roman"/>
                <w:sz w:val="18"/>
                <w:szCs w:val="18"/>
                <w:color w:val="auto"/>
              </w:rPr>
              <w:t>(2,447)</w:t>
            </w:r>
          </w:p>
        </w:tc>
        <w:tc>
          <w:tcPr>
            <w:tcW w:w="20" w:type="dxa"/>
            <w:vAlign w:val="bottom"/>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124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(493,335)</w:t>
            </w:r>
          </w:p>
        </w:tc>
      </w:tr>
      <w:tr>
        <w:trPr>
          <w:trHeight w:val="22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6,968,331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15,923</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7,109,186</w:t>
            </w:r>
          </w:p>
        </w:tc>
        <w:tc>
          <w:tcPr>
            <w:tcW w:w="12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2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8"/>
          </w:tcPr>
          <w:p>
            <w:pPr>
              <w:jc w:val="right"/>
              <w:ind w:right="3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2"/>
          </w:tcPr>
          <w:p>
            <w:pPr>
              <w:jc w:val="right"/>
              <w:ind w:right="560"/>
              <w:spacing w:after="0" w:line="190" w:lineRule="exact"/>
              <w:rPr>
                <w:sz w:val="20"/>
                <w:szCs w:val="20"/>
                <w:color w:val="auto"/>
              </w:rPr>
            </w:pPr>
            <w:r>
              <w:rPr>
                <w:rFonts w:ascii="Times New Roman" w:cs="Times New Roman" w:eastAsia="Times New Roman" w:hAnsi="Times New Roman"/>
                <w:sz w:val="18"/>
                <w:szCs w:val="18"/>
                <w:color w:val="auto"/>
              </w:rPr>
              <w:t>Traditional</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center"/>
              <w:ind w:right="480"/>
              <w:spacing w:after="0" w:line="190" w:lineRule="exact"/>
              <w:rPr>
                <w:sz w:val="20"/>
                <w:szCs w:val="20"/>
                <w:color w:val="auto"/>
              </w:rPr>
            </w:pPr>
            <w:r>
              <w:rPr>
                <w:rFonts w:ascii="Times New Roman" w:cs="Times New Roman" w:eastAsia="Times New Roman" w:hAnsi="Times New Roman"/>
                <w:sz w:val="18"/>
                <w:szCs w:val="18"/>
                <w:color w:val="auto"/>
                <w:w w:val="97"/>
              </w:rPr>
              <w:t>Fixed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jc w:val="center"/>
              <w:ind w:right="440"/>
              <w:spacing w:after="0" w:line="190" w:lineRule="exact"/>
              <w:rPr>
                <w:sz w:val="20"/>
                <w:szCs w:val="20"/>
                <w:color w:val="auto"/>
              </w:rPr>
            </w:pPr>
            <w:r>
              <w:rPr>
                <w:rFonts w:ascii="Times New Roman" w:cs="Times New Roman" w:eastAsia="Times New Roman" w:hAnsi="Times New Roman"/>
                <w:sz w:val="18"/>
                <w:szCs w:val="18"/>
                <w:color w:val="auto"/>
                <w:w w:val="99"/>
              </w:rPr>
              <w:t>Universal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jc w:val="center"/>
              <w:ind w:right="520"/>
              <w:spacing w:after="0" w:line="190" w:lineRule="exact"/>
              <w:rPr>
                <w:sz w:val="20"/>
                <w:szCs w:val="20"/>
                <w:color w:val="auto"/>
              </w:rPr>
            </w:pPr>
            <w:r>
              <w:rPr>
                <w:rFonts w:ascii="Times New Roman" w:cs="Times New Roman" w:eastAsia="Times New Roman" w:hAnsi="Times New Roman"/>
                <w:sz w:val="18"/>
                <w:szCs w:val="18"/>
                <w:color w:val="auto"/>
                <w:w w:val="98"/>
              </w:rPr>
              <w:t>Accident and</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5"/>
        </w:trPr>
        <w:tc>
          <w:tcPr>
            <w:tcW w:w="2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Life</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Annuities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Life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5"/>
              </w:rPr>
              <w:t>Health</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48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00" w:type="dxa"/>
            <w:vAlign w:val="bottom"/>
            <w:tcBorders>
              <w:top w:val="single" w:sz="8" w:color="auto"/>
            </w:tcBorders>
            <w:shd w:val="clear" w:color="auto" w:fill="DEDEDE"/>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7,841,767</w:t>
            </w:r>
          </w:p>
        </w:tc>
        <w:tc>
          <w:tcPr>
            <w:tcW w:w="20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240" w:type="dxa"/>
            <w:vAlign w:val="bottom"/>
            <w:tcBorders>
              <w:top w:val="single" w:sz="8" w:color="auto"/>
            </w:tcBorders>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11,436</w:t>
            </w:r>
          </w:p>
        </w:tc>
        <w:tc>
          <w:tcPr>
            <w:tcW w:w="20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240" w:type="dxa"/>
            <w:vAlign w:val="bottom"/>
            <w:tcBorders>
              <w:top w:val="single" w:sz="8" w:color="auto"/>
            </w:tcBorders>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263,025</w:t>
            </w:r>
          </w:p>
        </w:tc>
        <w:tc>
          <w:tcPr>
            <w:tcW w:w="20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21,187</w:t>
            </w:r>
          </w:p>
        </w:tc>
        <w:tc>
          <w:tcPr>
            <w:tcW w:w="32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300" w:type="dxa"/>
            <w:vAlign w:val="bottom"/>
            <w:tcBorders>
              <w:top w:val="single" w:sz="8" w:color="auto"/>
            </w:tcBorders>
            <w:shd w:val="clear" w:color="auto" w:fill="DEDEDE"/>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8,137,415</w:t>
            </w:r>
          </w:p>
        </w:tc>
        <w:tc>
          <w:tcPr>
            <w:tcW w:w="120" w:type="dxa"/>
            <w:vAlign w:val="bottom"/>
            <w:tcBorders>
              <w:top w:val="single" w:sz="8" w:color="DEDEDE"/>
            </w:tcBorders>
            <w:shd w:val="clear" w:color="auto" w:fill="DEDEDE"/>
          </w:tcPr>
          <w:p>
            <w:pPr>
              <w:spacing w:after="0"/>
              <w:rPr>
                <w:sz w:val="18"/>
                <w:szCs w:val="18"/>
                <w:color w:val="auto"/>
              </w:rPr>
            </w:pPr>
          </w:p>
        </w:tc>
      </w:tr>
      <w:tr>
        <w:trPr>
          <w:trHeight w:val="216"/>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Deferrals</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shd w:val="clear" w:color="auto" w:fill="DEDEDE"/>
          </w:tcPr>
          <w:p>
            <w:pPr>
              <w:spacing w:after="0"/>
              <w:rPr>
                <w:sz w:val="19"/>
                <w:szCs w:val="19"/>
                <w:color w:val="auto"/>
              </w:rPr>
            </w:pPr>
          </w:p>
        </w:tc>
        <w:tc>
          <w:tcPr>
            <w:tcW w:w="148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(444,248)</w:t>
            </w:r>
          </w:p>
        </w:tc>
        <w:tc>
          <w:tcPr>
            <w:tcW w:w="140" w:type="dxa"/>
            <w:vAlign w:val="bottom"/>
            <w:shd w:val="clear" w:color="auto" w:fill="DEDEDE"/>
          </w:tcPr>
          <w:p>
            <w:pPr>
              <w:spacing w:after="0"/>
              <w:rPr>
                <w:sz w:val="19"/>
                <w:szCs w:val="19"/>
                <w:color w:val="auto"/>
              </w:rPr>
            </w:pPr>
          </w:p>
        </w:tc>
        <w:tc>
          <w:tcPr>
            <w:tcW w:w="240" w:type="dxa"/>
            <w:vAlign w:val="bottom"/>
            <w:shd w:val="clear" w:color="auto" w:fill="DEDEDE"/>
          </w:tcPr>
          <w:p>
            <w:pPr>
              <w:spacing w:after="0"/>
              <w:rPr>
                <w:sz w:val="19"/>
                <w:szCs w:val="19"/>
                <w:color w:val="auto"/>
              </w:rPr>
            </w:pPr>
          </w:p>
        </w:tc>
        <w:tc>
          <w:tcPr>
            <w:tcW w:w="144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(11,436)</w:t>
            </w:r>
          </w:p>
        </w:tc>
        <w:tc>
          <w:tcPr>
            <w:tcW w:w="140" w:type="dxa"/>
            <w:vAlign w:val="bottom"/>
            <w:shd w:val="clear" w:color="auto" w:fill="DEDEDE"/>
          </w:tcPr>
          <w:p>
            <w:pPr>
              <w:spacing w:after="0"/>
              <w:rPr>
                <w:sz w:val="19"/>
                <w:szCs w:val="19"/>
                <w:color w:val="auto"/>
              </w:rPr>
            </w:pPr>
          </w:p>
        </w:tc>
        <w:tc>
          <w:tcPr>
            <w:tcW w:w="240" w:type="dxa"/>
            <w:vAlign w:val="bottom"/>
            <w:shd w:val="clear" w:color="auto" w:fill="DEDEDE"/>
          </w:tcPr>
          <w:p>
            <w:pPr>
              <w:spacing w:after="0"/>
              <w:rPr>
                <w:sz w:val="19"/>
                <w:szCs w:val="19"/>
                <w:color w:val="auto"/>
              </w:rPr>
            </w:pPr>
          </w:p>
        </w:tc>
        <w:tc>
          <w:tcPr>
            <w:tcW w:w="142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(76,393)</w:t>
            </w:r>
          </w:p>
        </w:tc>
        <w:tc>
          <w:tcPr>
            <w:tcW w:w="12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620" w:type="dxa"/>
            <w:vAlign w:val="bottom"/>
            <w:gridSpan w:val="2"/>
            <w:shd w:val="clear" w:color="auto" w:fill="DEDEDE"/>
          </w:tcPr>
          <w:p>
            <w:pPr>
              <w:jc w:val="right"/>
              <w:ind w:right="260"/>
              <w:spacing w:after="0"/>
              <w:rPr>
                <w:sz w:val="20"/>
                <w:szCs w:val="20"/>
                <w:color w:val="auto"/>
              </w:rPr>
            </w:pPr>
            <w:r>
              <w:rPr>
                <w:rFonts w:ascii="Times New Roman" w:cs="Times New Roman" w:eastAsia="Times New Roman" w:hAnsi="Times New Roman"/>
                <w:sz w:val="18"/>
                <w:szCs w:val="18"/>
                <w:color w:val="auto"/>
              </w:rPr>
              <w:t>(2,817)</w:t>
            </w:r>
          </w:p>
        </w:tc>
        <w:tc>
          <w:tcPr>
            <w:tcW w:w="20" w:type="dxa"/>
            <w:vAlign w:val="bottom"/>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124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(534,894)</w:t>
            </w:r>
          </w:p>
        </w:tc>
      </w:tr>
      <w:tr>
        <w:trPr>
          <w:trHeight w:val="22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7,397,519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186,632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7,602,521</w:t>
            </w:r>
          </w:p>
        </w:tc>
        <w:tc>
          <w:tcPr>
            <w:tcW w:w="12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Presuming no additional acquisitions, amortization expense is expected to approximate the following:</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0"/>
        </w:trPr>
        <w:tc>
          <w:tcPr>
            <w:tcW w:w="20" w:type="dxa"/>
            <w:vAlign w:val="bottom"/>
            <w:vMerge w:val="restart"/>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2026</w:t>
            </w:r>
          </w:p>
        </w:tc>
        <w:tc>
          <w:tcPr>
            <w:tcW w:w="1540" w:type="dxa"/>
            <w:vAlign w:val="bottom"/>
            <w:gridSpan w:val="2"/>
            <w:shd w:val="clear" w:color="auto" w:fill="DEDEDE"/>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445,378</w:t>
            </w:r>
          </w:p>
        </w:tc>
        <w:tc>
          <w:tcPr>
            <w:tcW w:w="6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2028</w:t>
            </w:r>
          </w:p>
        </w:tc>
        <w:tc>
          <w:tcPr>
            <w:tcW w:w="1140" w:type="dxa"/>
            <w:vAlign w:val="bottom"/>
            <w:shd w:val="clear" w:color="auto" w:fill="DEDEDE"/>
          </w:tcPr>
          <w:p>
            <w:pPr>
              <w:spacing w:after="0"/>
              <w:rPr>
                <w:sz w:val="18"/>
                <w:szCs w:val="18"/>
                <w:color w:val="auto"/>
              </w:rPr>
            </w:pPr>
          </w:p>
        </w:tc>
        <w:tc>
          <w:tcPr>
            <w:tcW w:w="400" w:type="dxa"/>
            <w:vAlign w:val="bottom"/>
            <w:shd w:val="clear" w:color="auto" w:fill="DEDEDE"/>
          </w:tcPr>
          <w:p>
            <w:pPr>
              <w:spacing w:after="0"/>
              <w:rPr>
                <w:sz w:val="18"/>
                <w:szCs w:val="18"/>
                <w:color w:val="auto"/>
              </w:rPr>
            </w:pP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373,840</w:t>
            </w:r>
          </w:p>
        </w:tc>
        <w:tc>
          <w:tcPr>
            <w:tcW w:w="6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2030</w:t>
            </w:r>
          </w:p>
        </w:tc>
        <w:tc>
          <w:tcPr>
            <w:tcW w:w="1140" w:type="dxa"/>
            <w:vAlign w:val="bottom"/>
            <w:shd w:val="clear" w:color="auto" w:fill="DEDEDE"/>
          </w:tcPr>
          <w:p>
            <w:pPr>
              <w:spacing w:after="0"/>
              <w:rPr>
                <w:sz w:val="18"/>
                <w:szCs w:val="18"/>
                <w:color w:val="auto"/>
              </w:rPr>
            </w:pPr>
          </w:p>
        </w:tc>
        <w:tc>
          <w:tcPr>
            <w:tcW w:w="400" w:type="dxa"/>
            <w:vAlign w:val="bottom"/>
            <w:shd w:val="clear" w:color="auto" w:fill="DEDEDE"/>
          </w:tcPr>
          <w:p>
            <w:pPr>
              <w:spacing w:after="0"/>
              <w:rPr>
                <w:sz w:val="18"/>
                <w:szCs w:val="18"/>
                <w:color w:val="auto"/>
              </w:rPr>
            </w:pP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321,933</w:t>
            </w:r>
          </w:p>
        </w:tc>
        <w:tc>
          <w:tcPr>
            <w:tcW w:w="6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4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40" w:type="dxa"/>
            <w:vAlign w:val="bottom"/>
            <w:tcBorders>
              <w:bottom w:val="single" w:sz="8" w:color="DEDEDE"/>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5,215,587</w:t>
            </w:r>
          </w:p>
        </w:tc>
        <w:tc>
          <w:tcPr>
            <w:tcW w:w="6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4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DEDEDE"/>
            </w:tcBorders>
            <w:shd w:val="clear" w:color="auto" w:fill="DEDEDE"/>
          </w:tcPr>
          <w:p>
            <w:pPr>
              <w:spacing w:after="0"/>
              <w:rPr>
                <w:sz w:val="19"/>
                <w:szCs w:val="19"/>
                <w:color w:val="auto"/>
              </w:rPr>
            </w:pPr>
          </w:p>
        </w:tc>
        <w:tc>
          <w:tcPr>
            <w:tcW w:w="400" w:type="dxa"/>
            <w:vAlign w:val="bottom"/>
            <w:tcBorders>
              <w:bottom w:val="single" w:sz="8" w:color="auto"/>
            </w:tcBorders>
            <w:shd w:val="clear" w:color="auto" w:fill="DEDEDE"/>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7,109,186</w:t>
            </w:r>
          </w:p>
        </w:tc>
        <w:tc>
          <w:tcPr>
            <w:tcW w:w="60" w:type="dxa"/>
            <w:vAlign w:val="bottom"/>
            <w:tcBorders>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66</w:t>
      </w:r>
    </w:p>
    <w:p>
      <w:pPr>
        <w:sectPr>
          <w:pgSz w:w="12240" w:h="15840" w:orient="portrait"/>
          <w:cols w:equalWidth="0" w:num="1">
            <w:col w:w="11242"/>
          </w:cols>
          <w:pgMar w:left="498" w:top="687" w:right="500" w:bottom="0" w:gutter="0" w:footer="0" w:header="0"/>
        </w:sectPr>
      </w:pPr>
    </w:p>
    <w:bookmarkStart w:id="94" w:name="page95"/>
    <w:bookmarkEnd w:id="94"/>
    <w:p>
      <w:pPr>
        <w:jc w:val="center"/>
        <w:ind w:right="-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Deferred Policy and Pre-need Contract Acquisition Costs, Value of Business Acquired, and Unearned Premium Reserve</w:t>
      </w:r>
      <w:r>
        <w:rPr>
          <w:rFonts w:ascii="Times New Roman" w:cs="Times New Roman" w:eastAsia="Times New Roman" w:hAnsi="Times New Roman"/>
          <w:sz w:val="18"/>
          <w:szCs w:val="18"/>
          <w:color w:val="auto"/>
        </w:rPr>
        <w:t xml:space="preserve"> (Continued)</w:t>
      </w:r>
    </w:p>
    <w:p>
      <w:pPr>
        <w:spacing w:after="0" w:line="2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Unearned Premium Reserve</w:t>
      </w:r>
    </w:p>
    <w:p>
      <w:pPr>
        <w:spacing w:after="0" w:line="228" w:lineRule="exact"/>
        <w:rPr>
          <w:sz w:val="20"/>
          <w:szCs w:val="20"/>
          <w:color w:val="auto"/>
        </w:rPr>
      </w:pPr>
    </w:p>
    <w:p>
      <w:pPr>
        <w:ind w:left="2"/>
        <w:spacing w:after="0" w:line="283" w:lineRule="auto"/>
        <w:rPr>
          <w:sz w:val="20"/>
          <w:szCs w:val="20"/>
          <w:color w:val="auto"/>
        </w:rPr>
      </w:pPr>
      <w:r>
        <w:rPr>
          <w:rFonts w:ascii="Times New Roman" w:cs="Times New Roman" w:eastAsia="Times New Roman" w:hAnsi="Times New Roman"/>
          <w:sz w:val="18"/>
          <w:szCs w:val="18"/>
          <w:color w:val="auto"/>
        </w:rPr>
        <w:t>The Company reports unearned premium reserve pursuant to the accounting policy discussed in Note 1. Also, refer to Note 1 regarding the adoption of ASU 2018-12.</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balance and the changes in Unearned Premium Reserve are as follows: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5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10"/>
        </w:trPr>
        <w:tc>
          <w:tcPr>
            <w:tcW w:w="5220" w:type="dxa"/>
            <w:vAlign w:val="bottom"/>
            <w:tcBorders>
              <w:bottom w:val="single" w:sz="8" w:color="DEDEDE"/>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Universal Life</w:t>
            </w:r>
          </w:p>
        </w:tc>
        <w:tc>
          <w:tcPr>
            <w:tcW w:w="260" w:type="dxa"/>
            <w:vAlign w:val="bottom"/>
            <w:tcBorders>
              <w:bottom w:val="single" w:sz="8" w:color="DEDEDE"/>
            </w:tcBorders>
          </w:tcPr>
          <w:p>
            <w:pPr>
              <w:spacing w:after="0"/>
              <w:rPr>
                <w:sz w:val="18"/>
                <w:szCs w:val="18"/>
                <w:color w:val="auto"/>
              </w:rPr>
            </w:pPr>
          </w:p>
        </w:tc>
        <w:tc>
          <w:tcPr>
            <w:tcW w:w="20" w:type="dxa"/>
            <w:vAlign w:val="bottom"/>
            <w:tcBorders>
              <w:bottom w:val="single" w:sz="8" w:color="DEDEDE"/>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Universal Life</w:t>
            </w:r>
          </w:p>
        </w:tc>
        <w:tc>
          <w:tcPr>
            <w:tcW w:w="80" w:type="dxa"/>
            <w:vAlign w:val="bottom"/>
            <w:tcBorders>
              <w:bottom w:val="single" w:sz="8" w:color="DEDEDE"/>
            </w:tcBorders>
          </w:tcPr>
          <w:p>
            <w:pPr>
              <w:spacing w:after="0"/>
              <w:rPr>
                <w:sz w:val="18"/>
                <w:szCs w:val="18"/>
                <w:color w:val="auto"/>
              </w:rPr>
            </w:pPr>
          </w:p>
        </w:tc>
      </w:tr>
      <w:tr>
        <w:trPr>
          <w:trHeight w:val="209"/>
        </w:trPr>
        <w:tc>
          <w:tcPr>
            <w:tcW w:w="52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2,013,245</w:t>
            </w:r>
          </w:p>
        </w:tc>
        <w:tc>
          <w:tcPr>
            <w:tcW w:w="26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2,545,132</w:t>
            </w:r>
          </w:p>
        </w:tc>
        <w:tc>
          <w:tcPr>
            <w:tcW w:w="80" w:type="dxa"/>
            <w:vAlign w:val="bottom"/>
            <w:shd w:val="clear" w:color="auto" w:fill="DEDEDE"/>
          </w:tcPr>
          <w:p>
            <w:pPr>
              <w:spacing w:after="0"/>
              <w:rPr>
                <w:sz w:val="18"/>
                <w:szCs w:val="18"/>
                <w:color w:val="auto"/>
              </w:rPr>
            </w:pPr>
          </w:p>
        </w:tc>
      </w:tr>
      <w:tr>
        <w:trPr>
          <w:trHeight w:val="216"/>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Deferrals</w:t>
            </w:r>
          </w:p>
        </w:tc>
        <w:tc>
          <w:tcPr>
            <w:tcW w:w="120" w:type="dxa"/>
            <w:vAlign w:val="bottom"/>
          </w:tcPr>
          <w:p>
            <w:pPr>
              <w:spacing w:after="0"/>
              <w:rPr>
                <w:sz w:val="18"/>
                <w:szCs w:val="18"/>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2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Amortization (1)</w:t>
            </w:r>
          </w:p>
        </w:tc>
        <w:tc>
          <w:tcPr>
            <w:tcW w:w="120" w:type="dxa"/>
            <w:vAlign w:val="bottom"/>
            <w:shd w:val="clear" w:color="auto" w:fill="DEDEDE"/>
          </w:tcPr>
          <w:p>
            <w:pPr>
              <w:spacing w:after="0"/>
              <w:rPr>
                <w:sz w:val="19"/>
                <w:szCs w:val="19"/>
                <w:color w:val="auto"/>
              </w:rPr>
            </w:pPr>
          </w:p>
        </w:tc>
        <w:tc>
          <w:tcPr>
            <w:tcW w:w="186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8"/>
                <w:szCs w:val="18"/>
                <w:color w:val="auto"/>
              </w:rPr>
              <w:t>(188,449)</w:t>
            </w: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16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(531,887)</w:t>
            </w: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 reserve,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1,824,796</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2,013,245</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(1) Included in premiums and other considerations on the consolidated statements of earnings.</w:t>
      </w:r>
    </w:p>
    <w:p>
      <w:pPr>
        <w:spacing w:after="0" w:line="225" w:lineRule="exact"/>
        <w:rPr>
          <w:sz w:val="20"/>
          <w:szCs w:val="20"/>
          <w:color w:val="auto"/>
        </w:rPr>
      </w:pPr>
    </w:p>
    <w:p>
      <w:pPr>
        <w:ind w:left="2" w:right="6920" w:hanging="2"/>
        <w:spacing w:after="0" w:line="500" w:lineRule="auto"/>
        <w:tabs>
          <w:tab w:leader="none" w:pos="65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Goodwill and Other Intangible Assets </w:t>
      </w:r>
      <w:r>
        <w:rPr>
          <w:rFonts w:ascii="Times New Roman" w:cs="Times New Roman" w:eastAsia="Times New Roman" w:hAnsi="Times New Roman"/>
          <w:sz w:val="18"/>
          <w:szCs w:val="18"/>
          <w:color w:val="auto"/>
        </w:rPr>
        <w:t>Information regarding goodwill by segment was as follows:</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Cemetery/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Life Insurance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Mortuary</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760" w:type="dxa"/>
            <w:vAlign w:val="bottom"/>
            <w:tcBorders>
              <w:top w:val="single" w:sz="8" w:color="DEDEDE"/>
            </w:tcBorders>
            <w:shd w:val="clear" w:color="auto" w:fill="DEDEDE"/>
          </w:tcPr>
          <w:p>
            <w:pPr>
              <w:spacing w:after="0"/>
              <w:rPr>
                <w:sz w:val="18"/>
                <w:szCs w:val="18"/>
                <w:color w:val="auto"/>
              </w:rPr>
            </w:pPr>
          </w:p>
        </w:tc>
        <w:tc>
          <w:tcPr>
            <w:tcW w:w="280" w:type="dxa"/>
            <w:vAlign w:val="bottom"/>
            <w:tcBorders>
              <w:top w:val="single" w:sz="8" w:color="auto"/>
            </w:tcBorders>
            <w:shd w:val="clear" w:color="auto" w:fill="DEDEDE"/>
          </w:tcPr>
          <w:p>
            <w:pPr>
              <w:spacing w:after="0"/>
              <w:rPr>
                <w:sz w:val="18"/>
                <w:szCs w:val="18"/>
                <w:color w:val="auto"/>
              </w:rPr>
            </w:pPr>
          </w:p>
        </w:tc>
        <w:tc>
          <w:tcPr>
            <w:tcW w:w="920" w:type="dxa"/>
            <w:vAlign w:val="bottom"/>
            <w:tcBorders>
              <w:top w:val="single" w:sz="8" w:color="auto"/>
            </w:tcBorders>
            <w:shd w:val="clear" w:color="auto" w:fill="DEDEDE"/>
          </w:tcPr>
          <w:p>
            <w:pPr>
              <w:spacing w:after="0"/>
              <w:rPr>
                <w:sz w:val="18"/>
                <w:szCs w:val="18"/>
                <w:color w:val="auto"/>
              </w:rPr>
            </w:pPr>
          </w:p>
        </w:tc>
        <w:tc>
          <w:tcPr>
            <w:tcW w:w="22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1020" w:type="dxa"/>
            <w:vAlign w:val="bottom"/>
            <w:tcBorders>
              <w:top w:val="single" w:sz="8" w:color="auto"/>
            </w:tcBorders>
            <w:shd w:val="clear" w:color="auto" w:fill="DEDEDE"/>
          </w:tcPr>
          <w:p>
            <w:pPr>
              <w:spacing w:after="0"/>
              <w:rPr>
                <w:sz w:val="18"/>
                <w:szCs w:val="18"/>
                <w:color w:val="auto"/>
              </w:rPr>
            </w:pPr>
          </w:p>
        </w:tc>
        <w:tc>
          <w:tcPr>
            <w:tcW w:w="22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220" w:type="dxa"/>
            <w:vAlign w:val="bottom"/>
            <w:tcBorders>
              <w:top w:val="single" w:sz="8" w:color="auto"/>
            </w:tcBorders>
            <w:shd w:val="clear" w:color="auto" w:fill="DEDEDE"/>
          </w:tcPr>
          <w:p>
            <w:pPr>
              <w:spacing w:after="0"/>
              <w:rPr>
                <w:sz w:val="18"/>
                <w:szCs w:val="18"/>
                <w:color w:val="auto"/>
              </w:rPr>
            </w:pPr>
          </w:p>
        </w:tc>
        <w:tc>
          <w:tcPr>
            <w:tcW w:w="940" w:type="dxa"/>
            <w:vAlign w:val="bottom"/>
            <w:tcBorders>
              <w:top w:val="single" w:sz="8" w:color="auto"/>
            </w:tcBorders>
            <w:shd w:val="clear" w:color="auto" w:fill="DEDEDE"/>
          </w:tcPr>
          <w:p>
            <w:pPr>
              <w:spacing w:after="0"/>
              <w:rPr>
                <w:sz w:val="18"/>
                <w:szCs w:val="18"/>
                <w:color w:val="auto"/>
              </w:rPr>
            </w:pPr>
          </w:p>
        </w:tc>
        <w:tc>
          <w:tcPr>
            <w:tcW w:w="8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40" w:type="dxa"/>
            <w:vAlign w:val="bottom"/>
            <w:gridSpan w:val="2"/>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2,488,213</w:t>
            </w:r>
          </w:p>
        </w:tc>
        <w:tc>
          <w:tcPr>
            <w:tcW w:w="220" w:type="dxa"/>
            <w:vAlign w:val="bottom"/>
          </w:tcPr>
          <w:p>
            <w:pPr>
              <w:spacing w:after="0"/>
              <w:rPr>
                <w:sz w:val="18"/>
                <w:szCs w:val="18"/>
                <w:color w:val="auto"/>
              </w:rPr>
            </w:pPr>
          </w:p>
        </w:tc>
        <w:tc>
          <w:tcPr>
            <w:tcW w:w="240" w:type="dxa"/>
            <w:vAlign w:val="bottom"/>
            <w:gridSpan w:val="2"/>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760" w:type="dxa"/>
            <w:vAlign w:val="bottom"/>
            <w:shd w:val="clear" w:color="auto" w:fill="DEDEDE"/>
          </w:tcPr>
          <w:p>
            <w:pPr>
              <w:spacing w:after="0"/>
              <w:rPr>
                <w:sz w:val="19"/>
                <w:szCs w:val="19"/>
                <w:color w:val="auto"/>
              </w:rPr>
            </w:pPr>
          </w:p>
        </w:tc>
        <w:tc>
          <w:tcPr>
            <w:tcW w:w="280" w:type="dxa"/>
            <w:vAlign w:val="bottom"/>
            <w:shd w:val="clear" w:color="auto" w:fill="DEDEDE"/>
          </w:tcPr>
          <w:p>
            <w:pPr>
              <w:spacing w:after="0"/>
              <w:rPr>
                <w:sz w:val="19"/>
                <w:szCs w:val="19"/>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24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EDEDE"/>
          </w:tcPr>
          <w:p>
            <w:pPr>
              <w:spacing w:after="0"/>
              <w:rPr>
                <w:sz w:val="19"/>
                <w:szCs w:val="19"/>
                <w:color w:val="auto"/>
              </w:rPr>
            </w:pPr>
          </w:p>
        </w:tc>
        <w:tc>
          <w:tcPr>
            <w:tcW w:w="220" w:type="dxa"/>
            <w:vAlign w:val="bottom"/>
            <w:shd w:val="clear" w:color="auto" w:fill="DEDEDE"/>
          </w:tcPr>
          <w:p>
            <w:pPr>
              <w:spacing w:after="0"/>
              <w:rPr>
                <w:sz w:val="19"/>
                <w:szCs w:val="19"/>
                <w:color w:val="auto"/>
              </w:rPr>
            </w:pPr>
          </w:p>
        </w:tc>
        <w:tc>
          <w:tcPr>
            <w:tcW w:w="102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goodwill, net</w:t>
            </w:r>
          </w:p>
        </w:tc>
        <w:tc>
          <w:tcPr>
            <w:tcW w:w="7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2,488,213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DEDEDE"/>
          </w:tcPr>
          <w:p>
            <w:pPr>
              <w:spacing w:after="0"/>
              <w:rPr>
                <w:sz w:val="18"/>
                <w:szCs w:val="18"/>
                <w:color w:val="auto"/>
              </w:rPr>
            </w:pPr>
          </w:p>
        </w:tc>
        <w:tc>
          <w:tcPr>
            <w:tcW w:w="760" w:type="dxa"/>
            <w:vAlign w:val="bottom"/>
            <w:shd w:val="clear" w:color="auto" w:fill="DEDEDE"/>
          </w:tcPr>
          <w:p>
            <w:pPr>
              <w:spacing w:after="0"/>
              <w:rPr>
                <w:sz w:val="18"/>
                <w:szCs w:val="18"/>
                <w:color w:val="auto"/>
              </w:rPr>
            </w:pPr>
          </w:p>
        </w:tc>
        <w:tc>
          <w:tcPr>
            <w:tcW w:w="280" w:type="dxa"/>
            <w:vAlign w:val="bottom"/>
            <w:shd w:val="clear" w:color="auto" w:fill="DEDEDE"/>
          </w:tcPr>
          <w:p>
            <w:pPr>
              <w:spacing w:after="0"/>
              <w:rPr>
                <w:sz w:val="18"/>
                <w:szCs w:val="18"/>
                <w:color w:val="auto"/>
              </w:rPr>
            </w:pPr>
          </w:p>
        </w:tc>
        <w:tc>
          <w:tcPr>
            <w:tcW w:w="9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9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shd w:val="clear" w:color="auto" w:fill="DEDEDE"/>
          </w:tcPr>
          <w:p>
            <w:pPr>
              <w:spacing w:after="0"/>
              <w:rPr>
                <w:sz w:val="18"/>
                <w:szCs w:val="18"/>
                <w:color w:val="auto"/>
              </w:rPr>
            </w:pPr>
          </w:p>
        </w:tc>
        <w:tc>
          <w:tcPr>
            <w:tcW w:w="760" w:type="dxa"/>
            <w:vAlign w:val="bottom"/>
            <w:shd w:val="clear" w:color="auto" w:fill="DEDEDE"/>
          </w:tcPr>
          <w:p>
            <w:pPr>
              <w:spacing w:after="0"/>
              <w:rPr>
                <w:sz w:val="18"/>
                <w:szCs w:val="18"/>
                <w:color w:val="auto"/>
              </w:rPr>
            </w:pPr>
          </w:p>
        </w:tc>
        <w:tc>
          <w:tcPr>
            <w:tcW w:w="280" w:type="dxa"/>
            <w:vAlign w:val="bottom"/>
            <w:shd w:val="clear" w:color="auto" w:fill="DEDEDE"/>
          </w:tcPr>
          <w:p>
            <w:pPr>
              <w:spacing w:after="0"/>
              <w:rPr>
                <w:sz w:val="18"/>
                <w:szCs w:val="18"/>
                <w:color w:val="auto"/>
              </w:rPr>
            </w:pPr>
          </w:p>
        </w:tc>
        <w:tc>
          <w:tcPr>
            <w:tcW w:w="9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9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shd w:val="clear" w:color="auto" w:fill="DEDEDE"/>
          </w:tcPr>
          <w:p>
            <w:pPr>
              <w:spacing w:after="0"/>
              <w:rPr>
                <w:sz w:val="18"/>
                <w:szCs w:val="18"/>
                <w:color w:val="auto"/>
              </w:rPr>
            </w:pPr>
          </w:p>
        </w:tc>
        <w:tc>
          <w:tcPr>
            <w:tcW w:w="28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2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2,488,213</w:t>
            </w:r>
          </w:p>
        </w:tc>
        <w:tc>
          <w:tcPr>
            <w:tcW w:w="2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top w:val="single" w:sz="8" w:color="DEDEDE"/>
            </w:tcBorders>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Total goodwill, net</w:t>
            </w:r>
          </w:p>
        </w:tc>
        <w:tc>
          <w:tcPr>
            <w:tcW w:w="760" w:type="dxa"/>
            <w:vAlign w:val="bottom"/>
            <w:tcBorders>
              <w:top w:val="single" w:sz="8" w:color="DEDEDE"/>
            </w:tcBorders>
            <w:shd w:val="clear" w:color="auto" w:fill="DEDEDE"/>
          </w:tcPr>
          <w:p>
            <w:pPr>
              <w:spacing w:after="0"/>
              <w:rPr>
                <w:sz w:val="18"/>
                <w:szCs w:val="18"/>
                <w:color w:val="auto"/>
              </w:rPr>
            </w:pPr>
          </w:p>
        </w:tc>
        <w:tc>
          <w:tcPr>
            <w:tcW w:w="280" w:type="dxa"/>
            <w:vAlign w:val="bottom"/>
            <w:tcBorders>
              <w:top w:val="single" w:sz="8" w:color="auto"/>
            </w:tcBorders>
            <w:shd w:val="clear" w:color="auto" w:fill="DEDEDE"/>
          </w:tcPr>
          <w:p>
            <w:pPr>
              <w:spacing w:after="0"/>
              <w:rPr>
                <w:sz w:val="18"/>
                <w:szCs w:val="18"/>
                <w:color w:val="auto"/>
              </w:rPr>
            </w:pPr>
          </w:p>
        </w:tc>
        <w:tc>
          <w:tcPr>
            <w:tcW w:w="9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22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10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2,488,213</w:t>
            </w:r>
          </w:p>
        </w:tc>
        <w:tc>
          <w:tcPr>
            <w:tcW w:w="22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220" w:type="dxa"/>
            <w:vAlign w:val="bottom"/>
            <w:tcBorders>
              <w:top w:val="single" w:sz="8" w:color="auto"/>
            </w:tcBorders>
            <w:shd w:val="clear" w:color="auto" w:fill="DEDEDE"/>
          </w:tcPr>
          <w:p>
            <w:pPr>
              <w:spacing w:after="0"/>
              <w:rPr>
                <w:sz w:val="18"/>
                <w:szCs w:val="18"/>
                <w:color w:val="auto"/>
              </w:rPr>
            </w:pPr>
          </w:p>
        </w:tc>
        <w:tc>
          <w:tcPr>
            <w:tcW w:w="9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8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Acquisition</w:t>
            </w:r>
          </w:p>
        </w:tc>
        <w:tc>
          <w:tcPr>
            <w:tcW w:w="760" w:type="dxa"/>
            <w:vAlign w:val="bottom"/>
            <w:shd w:val="clear" w:color="auto" w:fill="DEDEDE"/>
          </w:tcPr>
          <w:p>
            <w:pPr>
              <w:spacing w:after="0"/>
              <w:rPr>
                <w:sz w:val="18"/>
                <w:szCs w:val="18"/>
                <w:color w:val="auto"/>
              </w:rPr>
            </w:pPr>
          </w:p>
        </w:tc>
        <w:tc>
          <w:tcPr>
            <w:tcW w:w="28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24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02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760" w:type="dxa"/>
            <w:vAlign w:val="bottom"/>
            <w:shd w:val="clear" w:color="auto" w:fill="DEDEDE"/>
          </w:tcPr>
          <w:p>
            <w:pPr>
              <w:spacing w:after="0"/>
              <w:rPr>
                <w:sz w:val="18"/>
                <w:szCs w:val="18"/>
                <w:color w:val="auto"/>
              </w:rPr>
            </w:pPr>
          </w:p>
        </w:tc>
        <w:tc>
          <w:tcPr>
            <w:tcW w:w="280" w:type="dxa"/>
            <w:vAlign w:val="bottom"/>
            <w:shd w:val="clear" w:color="auto" w:fill="DEDEDE"/>
          </w:tcPr>
          <w:p>
            <w:pPr>
              <w:spacing w:after="0"/>
              <w:rPr>
                <w:sz w:val="18"/>
                <w:szCs w:val="18"/>
                <w:color w:val="auto"/>
              </w:rPr>
            </w:pPr>
          </w:p>
        </w:tc>
        <w:tc>
          <w:tcPr>
            <w:tcW w:w="9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9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2,488,213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Accumulated impairment</w:t>
            </w:r>
          </w:p>
        </w:tc>
        <w:tc>
          <w:tcPr>
            <w:tcW w:w="760" w:type="dxa"/>
            <w:vAlign w:val="bottom"/>
            <w:shd w:val="clear" w:color="auto" w:fill="DEDEDE"/>
          </w:tcPr>
          <w:p>
            <w:pPr>
              <w:spacing w:after="0"/>
              <w:rPr>
                <w:sz w:val="19"/>
                <w:szCs w:val="19"/>
                <w:color w:val="auto"/>
              </w:rPr>
            </w:pPr>
          </w:p>
        </w:tc>
        <w:tc>
          <w:tcPr>
            <w:tcW w:w="280" w:type="dxa"/>
            <w:vAlign w:val="bottom"/>
            <w:shd w:val="clear" w:color="auto" w:fill="DEDEDE"/>
          </w:tcPr>
          <w:p>
            <w:pPr>
              <w:spacing w:after="0"/>
              <w:rPr>
                <w:sz w:val="19"/>
                <w:szCs w:val="19"/>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24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EDEDE"/>
          </w:tcPr>
          <w:p>
            <w:pPr>
              <w:spacing w:after="0"/>
              <w:rPr>
                <w:sz w:val="19"/>
                <w:szCs w:val="19"/>
                <w:color w:val="auto"/>
              </w:rPr>
            </w:pPr>
          </w:p>
        </w:tc>
        <w:tc>
          <w:tcPr>
            <w:tcW w:w="220" w:type="dxa"/>
            <w:vAlign w:val="bottom"/>
            <w:shd w:val="clear" w:color="auto" w:fill="DEDEDE"/>
          </w:tcPr>
          <w:p>
            <w:pPr>
              <w:spacing w:after="0"/>
              <w:rPr>
                <w:sz w:val="19"/>
                <w:szCs w:val="19"/>
                <w:color w:val="auto"/>
              </w:rPr>
            </w:pPr>
          </w:p>
        </w:tc>
        <w:tc>
          <w:tcPr>
            <w:tcW w:w="102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goodwill, net</w:t>
            </w:r>
          </w:p>
        </w:tc>
        <w:tc>
          <w:tcPr>
            <w:tcW w:w="7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2,765,570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2,488,213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5,253,783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Goodwill is not amortized but is tested annually for impairment. The annual impairment tests resulted in no impairment of goodwill for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67</w:t>
      </w:r>
    </w:p>
    <w:p>
      <w:pPr>
        <w:sectPr>
          <w:pgSz w:w="12240" w:h="15840" w:orient="portrait"/>
          <w:cols w:equalWidth="0" w:num="1">
            <w:col w:w="11222"/>
          </w:cols>
          <w:pgMar w:left="498" w:top="687" w:right="520" w:bottom="0" w:gutter="0" w:footer="0" w:header="0"/>
        </w:sectPr>
      </w:pPr>
    </w:p>
    <w:bookmarkStart w:id="95" w:name="page96"/>
    <w:bookmarkEnd w:id="95"/>
    <w:p>
      <w:pPr>
        <w:jc w:val="center"/>
        <w:ind w:right="-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Other Intangible Assets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carrying value of the Company’s other intangible assets were as follows, which are included in other assets on the consolidated balance sheets: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Borders>
              <w:bottom w:val="single" w:sz="8" w:color="DEDEDE"/>
            </w:tcBorders>
          </w:tcPr>
          <w:p>
            <w:pPr>
              <w:spacing w:after="0"/>
              <w:rPr>
                <w:sz w:val="19"/>
                <w:szCs w:val="19"/>
                <w:color w:val="auto"/>
              </w:rPr>
            </w:pPr>
          </w:p>
        </w:tc>
        <w:tc>
          <w:tcPr>
            <w:tcW w:w="2540" w:type="dxa"/>
            <w:vAlign w:val="bottom"/>
            <w:tcBorders>
              <w:bottom w:val="single" w:sz="8" w:color="DEDEDE"/>
            </w:tcBorders>
          </w:tcPr>
          <w:p>
            <w:pPr>
              <w:spacing w:after="0"/>
              <w:rPr>
                <w:sz w:val="19"/>
                <w:szCs w:val="19"/>
                <w:color w:val="auto"/>
              </w:rPr>
            </w:pPr>
          </w:p>
        </w:tc>
        <w:tc>
          <w:tcPr>
            <w:tcW w:w="1520" w:type="dxa"/>
            <w:vAlign w:val="bottom"/>
            <w:tcBorders>
              <w:bottom w:val="single" w:sz="8" w:color="DEDEDE"/>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Useful Life</w:t>
            </w:r>
          </w:p>
        </w:tc>
        <w:tc>
          <w:tcPr>
            <w:tcW w:w="18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DEDEDE"/>
            </w:tcBorders>
          </w:tcPr>
          <w:p>
            <w:pPr>
              <w:spacing w:after="0"/>
              <w:rPr>
                <w:sz w:val="19"/>
                <w:szCs w:val="19"/>
                <w:color w:val="auto"/>
              </w:rPr>
            </w:pPr>
          </w:p>
        </w:tc>
        <w:tc>
          <w:tcPr>
            <w:tcW w:w="8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3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Intangible asset - trade name (1)</w:t>
            </w:r>
          </w:p>
        </w:tc>
        <w:tc>
          <w:tcPr>
            <w:tcW w:w="10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180" w:type="dxa"/>
            <w:vAlign w:val="bottom"/>
            <w:shd w:val="clear" w:color="auto" w:fill="DEDEDE"/>
          </w:tcPr>
          <w:p>
            <w:pPr>
              <w:spacing w:after="0"/>
              <w:rPr>
                <w:sz w:val="18"/>
                <w:szCs w:val="18"/>
                <w:color w:val="auto"/>
              </w:rPr>
            </w:pP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1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480" w:type="dxa"/>
            <w:vAlign w:val="bottom"/>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80" w:type="dxa"/>
            <w:vAlign w:val="bottom"/>
            <w:shd w:val="clear" w:color="auto" w:fill="DEDED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 other (1)</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Intangible asset - trade name (2)</w:t>
            </w:r>
          </w:p>
        </w:tc>
        <w:tc>
          <w:tcPr>
            <w:tcW w:w="10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1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610,000</w:t>
            </w:r>
          </w:p>
        </w:tc>
        <w:tc>
          <w:tcPr>
            <w:tcW w:w="1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610,000</w:t>
            </w:r>
          </w:p>
        </w:tc>
        <w:tc>
          <w:tcPr>
            <w:tcW w:w="80" w:type="dxa"/>
            <w:vAlign w:val="bottom"/>
            <w:shd w:val="clear" w:color="auto" w:fill="DEDED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 - customer lists (2)</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2,290,000</w:t>
            </w: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3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340" w:type="dxa"/>
            <w:vAlign w:val="bottom"/>
            <w:shd w:val="clear" w:color="auto" w:fill="DEDEDE"/>
          </w:tcPr>
          <w:p>
            <w:pPr>
              <w:spacing w:after="0"/>
              <w:rPr>
                <w:sz w:val="19"/>
                <w:szCs w:val="19"/>
                <w:color w:val="auto"/>
              </w:rPr>
            </w:pPr>
          </w:p>
        </w:tc>
        <w:tc>
          <w:tcPr>
            <w:tcW w:w="136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(1,478,666)</w:t>
            </w:r>
          </w:p>
        </w:tc>
        <w:tc>
          <w:tcPr>
            <w:tcW w:w="80" w:type="dxa"/>
            <w:vAlign w:val="bottom"/>
            <w:shd w:val="clear" w:color="auto" w:fill="DEDEDE"/>
          </w:tcPr>
          <w:p>
            <w:pPr>
              <w:spacing w:after="0"/>
              <w:rPr>
                <w:sz w:val="19"/>
                <w:szCs w:val="19"/>
                <w:color w:val="auto"/>
              </w:rPr>
            </w:pPr>
          </w:p>
        </w:tc>
        <w:tc>
          <w:tcPr>
            <w:tcW w:w="480" w:type="dxa"/>
            <w:vAlign w:val="bottom"/>
            <w:shd w:val="clear" w:color="auto" w:fill="DEDEDE"/>
          </w:tcPr>
          <w:p>
            <w:pPr>
              <w:spacing w:after="0"/>
              <w:rPr>
                <w:sz w:val="19"/>
                <w:szCs w:val="19"/>
                <w:color w:val="auto"/>
              </w:rPr>
            </w:pPr>
          </w:p>
        </w:tc>
        <w:tc>
          <w:tcPr>
            <w:tcW w:w="114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(1,131,333)</w:t>
            </w:r>
          </w:p>
        </w:tc>
      </w:tr>
      <w:tr>
        <w:trPr>
          <w:trHeight w:val="223"/>
        </w:trPr>
        <w:tc>
          <w:tcPr>
            <w:tcW w:w="20" w:type="dxa"/>
            <w:vAlign w:val="bottom"/>
          </w:tcPr>
          <w:p>
            <w:pPr>
              <w:spacing w:after="0"/>
              <w:rPr>
                <w:sz w:val="19"/>
                <w:szCs w:val="19"/>
                <w:color w:val="auto"/>
              </w:rPr>
            </w:pPr>
          </w:p>
        </w:tc>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3,731,334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4,078,667</w:t>
            </w:r>
          </w:p>
        </w:tc>
        <w:tc>
          <w:tcPr>
            <w:tcW w:w="80" w:type="dxa"/>
            <w:vAlign w:val="bottom"/>
          </w:tcPr>
          <w:p>
            <w:pPr>
              <w:spacing w:after="0"/>
              <w:rPr>
                <w:sz w:val="19"/>
                <w:szCs w:val="19"/>
                <w:color w:val="auto"/>
              </w:rPr>
            </w:pPr>
          </w:p>
        </w:tc>
      </w:tr>
      <w:tr>
        <w:trPr>
          <w:trHeight w:val="20"/>
        </w:trPr>
        <w:tc>
          <w:tcPr>
            <w:tcW w:w="26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260" w:type="dxa"/>
            <w:vAlign w:val="bottom"/>
            <w:gridSpan w:val="2"/>
          </w:tcPr>
          <w:p>
            <w:pPr>
              <w:spacing w:after="0"/>
              <w:rPr>
                <w:sz w:val="17"/>
                <w:szCs w:val="17"/>
                <w:color w:val="auto"/>
              </w:rPr>
            </w:pPr>
          </w:p>
        </w:tc>
        <w:tc>
          <w:tcPr>
            <w:tcW w:w="406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40" w:type="dxa"/>
            <w:vAlign w:val="bottom"/>
            <w:tcBorders>
              <w:top w:val="single" w:sz="8" w:color="auto"/>
            </w:tcBorders>
          </w:tcPr>
          <w:p>
            <w:pPr>
              <w:spacing w:after="0" w:line="204" w:lineRule="exact"/>
              <w:rPr>
                <w:sz w:val="20"/>
                <w:szCs w:val="20"/>
                <w:color w:val="auto"/>
              </w:rPr>
            </w:pPr>
            <w:r>
              <w:rPr>
                <w:rFonts w:ascii="Times New Roman" w:cs="Times New Roman" w:eastAsia="Times New Roman" w:hAnsi="Times New Roman"/>
                <w:sz w:val="18"/>
                <w:szCs w:val="18"/>
                <w:color w:val="auto"/>
              </w:rPr>
              <w:t>(1)</w:t>
            </w:r>
          </w:p>
        </w:tc>
        <w:tc>
          <w:tcPr>
            <w:tcW w:w="2540" w:type="dxa"/>
            <w:vAlign w:val="bottom"/>
            <w:tcBorders>
              <w:top w:val="single" w:sz="8" w:color="auto"/>
            </w:tcBorders>
          </w:tcPr>
          <w:p>
            <w:pPr>
              <w:ind w:left="60"/>
              <w:spacing w:after="0" w:line="204" w:lineRule="exact"/>
              <w:rPr>
                <w:sz w:val="20"/>
                <w:szCs w:val="20"/>
                <w:color w:val="auto"/>
              </w:rPr>
            </w:pPr>
            <w:r>
              <w:rPr>
                <w:rFonts w:ascii="Times New Roman" w:cs="Times New Roman" w:eastAsia="Times New Roman" w:hAnsi="Times New Roman"/>
                <w:sz w:val="18"/>
                <w:szCs w:val="18"/>
                <w:color w:val="auto"/>
              </w:rPr>
              <w:t>Cemetery/Mortuary Segment</w:t>
            </w:r>
          </w:p>
        </w:tc>
        <w:tc>
          <w:tcPr>
            <w:tcW w:w="1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w:t>
            </w:r>
          </w:p>
        </w:tc>
        <w:tc>
          <w:tcPr>
            <w:tcW w:w="40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Life Insurance Segment</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97" w:lineRule="exact"/>
        <w:rPr>
          <w:sz w:val="20"/>
          <w:szCs w:val="20"/>
          <w:color w:val="auto"/>
        </w:rPr>
      </w:pPr>
    </w:p>
    <w:p>
      <w:pPr>
        <w:ind w:left="2"/>
        <w:spacing w:after="0" w:line="283" w:lineRule="auto"/>
        <w:rPr>
          <w:sz w:val="20"/>
          <w:szCs w:val="20"/>
          <w:color w:val="auto"/>
        </w:rPr>
      </w:pPr>
      <w:r>
        <w:rPr>
          <w:rFonts w:ascii="Times New Roman" w:cs="Times New Roman" w:eastAsia="Times New Roman" w:hAnsi="Times New Roman"/>
          <w:sz w:val="18"/>
          <w:szCs w:val="18"/>
          <w:color w:val="auto"/>
        </w:rPr>
        <w:t>Amortization expense for 2025 and 2024 was $347,333 and $324,000, respectively, and is amortized over the estimated useful life using the straight-line method. Amortization expense is included in other expenses on the consolidated statements of earnings.</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summarizes the Company’s estimate of future amortization for the other intangible assets:</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30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DEDEDE"/>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347,333</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347,333</w:t>
            </w:r>
          </w:p>
        </w:tc>
      </w:tr>
      <w:tr>
        <w:trPr>
          <w:trHeight w:val="216"/>
        </w:trPr>
        <w:tc>
          <w:tcPr>
            <w:tcW w:w="30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DEDEDE"/>
          </w:tcPr>
          <w:p>
            <w:pPr>
              <w:spacing w:after="0"/>
              <w:rPr>
                <w:sz w:val="18"/>
                <w:szCs w:val="18"/>
                <w:color w:val="auto"/>
              </w:rPr>
            </w:pPr>
          </w:p>
        </w:tc>
        <w:tc>
          <w:tcPr>
            <w:tcW w:w="108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347,333</w:t>
            </w: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347,333</w:t>
            </w:r>
          </w:p>
        </w:tc>
      </w:tr>
      <w:tr>
        <w:trPr>
          <w:trHeight w:val="216"/>
        </w:trPr>
        <w:tc>
          <w:tcPr>
            <w:tcW w:w="30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2030</w:t>
            </w:r>
          </w:p>
        </w:tc>
        <w:tc>
          <w:tcPr>
            <w:tcW w:w="400" w:type="dxa"/>
            <w:vAlign w:val="bottom"/>
            <w:shd w:val="clear" w:color="auto" w:fill="DEDEDE"/>
          </w:tcPr>
          <w:p>
            <w:pPr>
              <w:spacing w:after="0"/>
              <w:rPr>
                <w:sz w:val="18"/>
                <w:szCs w:val="18"/>
                <w:color w:val="auto"/>
              </w:rPr>
            </w:pPr>
          </w:p>
        </w:tc>
        <w:tc>
          <w:tcPr>
            <w:tcW w:w="108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347,333</w:t>
            </w:r>
          </w:p>
        </w:tc>
      </w:tr>
      <w:tr>
        <w:trPr>
          <w:trHeight w:val="229"/>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1,994,669</w:t>
            </w:r>
          </w:p>
        </w:tc>
      </w:tr>
      <w:tr>
        <w:trPr>
          <w:trHeight w:val="223"/>
        </w:trPr>
        <w:tc>
          <w:tcPr>
            <w:tcW w:w="300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shd w:val="clear" w:color="auto" w:fill="DEDEDE"/>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3,731,334</w:t>
            </w:r>
          </w:p>
        </w:tc>
        <w:tc>
          <w:tcPr>
            <w:tcW w:w="6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3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68</w:t>
      </w:r>
    </w:p>
    <w:p>
      <w:pPr>
        <w:sectPr>
          <w:pgSz w:w="12240" w:h="15840" w:orient="portrait"/>
          <w:cols w:equalWidth="0" w:num="1">
            <w:col w:w="11222"/>
          </w:cols>
          <w:pgMar w:left="498" w:top="687" w:right="520" w:bottom="0" w:gutter="0" w:footer="0" w:header="0"/>
        </w:sectPr>
      </w:pPr>
    </w:p>
    <w:bookmarkStart w:id="96" w:name="page97"/>
    <w:bookmarkEnd w:id="96"/>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Derivative Instruments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reports derivative instruments pursuant to the accounting policy discussed in Note 1.</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shows the fair value and notional amounts of derivative instruments.</w:t>
      </w:r>
    </w:p>
    <w:p>
      <w:pPr>
        <w:spacing w:after="0" w:line="200" w:lineRule="exact"/>
        <w:rPr>
          <w:sz w:val="20"/>
          <w:szCs w:val="20"/>
          <w:color w:val="auto"/>
        </w:rPr>
      </w:pPr>
    </w:p>
    <w:p>
      <w:pPr>
        <w:spacing w:after="0" w:line="254" w:lineRule="exact"/>
        <w:rPr>
          <w:sz w:val="20"/>
          <w:szCs w:val="20"/>
          <w:color w:val="auto"/>
        </w:rPr>
      </w:pPr>
    </w:p>
    <w:tbl>
      <w:tblPr>
        <w:tblLayout w:type="fixed"/>
        <w:tblInd w:w="2" w:type="dxa"/>
        <w:tblCellMar>
          <w:top w:w="0" w:type="dxa"/>
          <w:left w:w="0" w:type="dxa"/>
          <w:bottom w:w="0" w:type="dxa"/>
          <w:right w:w="0" w:type="dxa"/>
        </w:tblCellMar>
      </w:tblPr>
      <w:tr>
        <w:trPr>
          <w:trHeight w:val="230"/>
        </w:trPr>
        <w:tc>
          <w:tcPr>
            <w:tcW w:w="226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Balance</w:t>
            </w:r>
          </w:p>
        </w:tc>
        <w:tc>
          <w:tcPr>
            <w:tcW w:w="2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December 31, 2024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196"/>
        </w:trPr>
        <w:tc>
          <w:tcPr>
            <w:tcW w:w="22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Sheet</w:t>
            </w:r>
          </w:p>
        </w:tc>
        <w:tc>
          <w:tcPr>
            <w:tcW w:w="220" w:type="dxa"/>
            <w:vAlign w:val="bottom"/>
          </w:tcPr>
          <w:p>
            <w:pPr>
              <w:spacing w:after="0"/>
              <w:rPr>
                <w:sz w:val="17"/>
                <w:szCs w:val="17"/>
                <w:color w:val="auto"/>
              </w:rPr>
            </w:pPr>
          </w:p>
        </w:tc>
        <w:tc>
          <w:tcPr>
            <w:tcW w:w="10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Notional</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200"/>
              <w:spacing w:after="0" w:line="196" w:lineRule="exact"/>
              <w:rPr>
                <w:sz w:val="20"/>
                <w:szCs w:val="20"/>
                <w:color w:val="auto"/>
              </w:rPr>
            </w:pPr>
            <w:r>
              <w:rPr>
                <w:rFonts w:ascii="Times New Roman" w:cs="Times New Roman" w:eastAsia="Times New Roman" w:hAnsi="Times New Roman"/>
                <w:sz w:val="18"/>
                <w:szCs w:val="18"/>
                <w:color w:val="auto"/>
              </w:rPr>
              <w:t>Asset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rPr>
              <w:t>Liability</w:t>
            </w:r>
          </w:p>
        </w:tc>
        <w:tc>
          <w:tcPr>
            <w:tcW w:w="320" w:type="dxa"/>
            <w:vAlign w:val="bottom"/>
          </w:tcPr>
          <w:p>
            <w:pPr>
              <w:spacing w:after="0"/>
              <w:rPr>
                <w:sz w:val="17"/>
                <w:szCs w:val="17"/>
                <w:color w:val="auto"/>
              </w:rPr>
            </w:pPr>
          </w:p>
        </w:tc>
        <w:tc>
          <w:tcPr>
            <w:tcW w:w="10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Notional</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360"/>
              <w:spacing w:after="0" w:line="196" w:lineRule="exact"/>
              <w:rPr>
                <w:sz w:val="20"/>
                <w:szCs w:val="20"/>
                <w:color w:val="auto"/>
              </w:rPr>
            </w:pPr>
            <w:r>
              <w:rPr>
                <w:rFonts w:ascii="Times New Roman" w:cs="Times New Roman" w:eastAsia="Times New Roman" w:hAnsi="Times New Roman"/>
                <w:sz w:val="18"/>
                <w:szCs w:val="18"/>
                <w:color w:val="auto"/>
                <w:w w:val="99"/>
              </w:rPr>
              <w:t>Asset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10"/>
              <w:spacing w:after="0" w:line="196" w:lineRule="exact"/>
              <w:rPr>
                <w:sz w:val="20"/>
                <w:szCs w:val="20"/>
                <w:color w:val="auto"/>
              </w:rPr>
            </w:pPr>
            <w:r>
              <w:rPr>
                <w:rFonts w:ascii="Times New Roman" w:cs="Times New Roman" w:eastAsia="Times New Roman" w:hAnsi="Times New Roman"/>
                <w:sz w:val="18"/>
                <w:szCs w:val="18"/>
                <w:color w:val="auto"/>
                <w:w w:val="99"/>
              </w:rPr>
              <w:t>Liability</w:t>
            </w:r>
          </w:p>
        </w:tc>
        <w:tc>
          <w:tcPr>
            <w:tcW w:w="120" w:type="dxa"/>
            <w:vAlign w:val="bottom"/>
          </w:tcPr>
          <w:p>
            <w:pPr>
              <w:spacing w:after="0"/>
              <w:rPr>
                <w:sz w:val="17"/>
                <w:szCs w:val="17"/>
                <w:color w:val="auto"/>
              </w:rPr>
            </w:pPr>
          </w:p>
        </w:tc>
      </w:tr>
      <w:tr>
        <w:trPr>
          <w:trHeight w:val="235"/>
        </w:trPr>
        <w:tc>
          <w:tcPr>
            <w:tcW w:w="226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w:t>
            </w:r>
          </w:p>
        </w:tc>
        <w:tc>
          <w:tcPr>
            <w:tcW w:w="2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Fair Value</w:t>
            </w:r>
          </w:p>
        </w:tc>
        <w:tc>
          <w:tcPr>
            <w:tcW w:w="3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Amount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Fair Value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177"/>
        </w:trPr>
        <w:tc>
          <w:tcPr>
            <w:tcW w:w="2260" w:type="dxa"/>
            <w:vAlign w:val="bottom"/>
            <w:tcBorders>
              <w:top w:val="single" w:sz="8" w:color="DEDEDE"/>
            </w:tcBorders>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rPr>
              <w:t>Derivatives not designated</w:t>
            </w:r>
          </w:p>
        </w:tc>
        <w:tc>
          <w:tcPr>
            <w:tcW w:w="900" w:type="dxa"/>
            <w:vAlign w:val="bottom"/>
            <w:tcBorders>
              <w:top w:val="single" w:sz="8" w:color="auto"/>
            </w:tcBorders>
            <w:shd w:val="clear" w:color="auto" w:fill="DEDEDE"/>
          </w:tcPr>
          <w:p>
            <w:pPr>
              <w:spacing w:after="0"/>
              <w:rPr>
                <w:sz w:val="15"/>
                <w:szCs w:val="15"/>
                <w:color w:val="auto"/>
              </w:rPr>
            </w:pPr>
          </w:p>
        </w:tc>
        <w:tc>
          <w:tcPr>
            <w:tcW w:w="220" w:type="dxa"/>
            <w:vAlign w:val="bottom"/>
            <w:tcBorders>
              <w:top w:val="single" w:sz="8" w:color="DEDEDE"/>
            </w:tcBorders>
            <w:shd w:val="clear" w:color="auto" w:fill="DEDEDE"/>
          </w:tcPr>
          <w:p>
            <w:pPr>
              <w:spacing w:after="0"/>
              <w:rPr>
                <w:sz w:val="15"/>
                <w:szCs w:val="15"/>
                <w:color w:val="auto"/>
              </w:rPr>
            </w:pPr>
          </w:p>
        </w:tc>
        <w:tc>
          <w:tcPr>
            <w:tcW w:w="1040" w:type="dxa"/>
            <w:vAlign w:val="bottom"/>
            <w:tcBorders>
              <w:top w:val="single" w:sz="8" w:color="auto"/>
            </w:tcBorders>
            <w:shd w:val="clear" w:color="auto" w:fill="DEDEDE"/>
          </w:tcPr>
          <w:p>
            <w:pPr>
              <w:spacing w:after="0"/>
              <w:rPr>
                <w:sz w:val="15"/>
                <w:szCs w:val="15"/>
                <w:color w:val="auto"/>
              </w:rPr>
            </w:pPr>
          </w:p>
        </w:tc>
        <w:tc>
          <w:tcPr>
            <w:tcW w:w="360" w:type="dxa"/>
            <w:vAlign w:val="bottom"/>
            <w:tcBorders>
              <w:top w:val="single" w:sz="8" w:color="DEDEDE"/>
            </w:tcBorders>
            <w:shd w:val="clear" w:color="auto" w:fill="DEDEDE"/>
          </w:tcPr>
          <w:p>
            <w:pPr>
              <w:spacing w:after="0"/>
              <w:rPr>
                <w:sz w:val="15"/>
                <w:szCs w:val="15"/>
                <w:color w:val="auto"/>
              </w:rPr>
            </w:pPr>
          </w:p>
        </w:tc>
        <w:tc>
          <w:tcPr>
            <w:tcW w:w="120" w:type="dxa"/>
            <w:vAlign w:val="bottom"/>
            <w:tcBorders>
              <w:top w:val="single" w:sz="8" w:color="auto"/>
            </w:tcBorders>
            <w:shd w:val="clear" w:color="auto" w:fill="DEDEDE"/>
          </w:tcPr>
          <w:p>
            <w:pPr>
              <w:spacing w:after="0"/>
              <w:rPr>
                <w:sz w:val="15"/>
                <w:szCs w:val="15"/>
                <w:color w:val="auto"/>
              </w:rPr>
            </w:pPr>
          </w:p>
        </w:tc>
        <w:tc>
          <w:tcPr>
            <w:tcW w:w="900" w:type="dxa"/>
            <w:vAlign w:val="bottom"/>
            <w:tcBorders>
              <w:top w:val="single" w:sz="8" w:color="auto"/>
            </w:tcBorders>
            <w:shd w:val="clear" w:color="auto" w:fill="DEDEDE"/>
          </w:tcPr>
          <w:p>
            <w:pPr>
              <w:spacing w:after="0"/>
              <w:rPr>
                <w:sz w:val="15"/>
                <w:szCs w:val="15"/>
                <w:color w:val="auto"/>
              </w:rPr>
            </w:pPr>
          </w:p>
        </w:tc>
        <w:tc>
          <w:tcPr>
            <w:tcW w:w="260" w:type="dxa"/>
            <w:vAlign w:val="bottom"/>
            <w:tcBorders>
              <w:top w:val="single" w:sz="8" w:color="DEDEDE"/>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100" w:type="dxa"/>
            <w:vAlign w:val="bottom"/>
            <w:tcBorders>
              <w:top w:val="single" w:sz="8" w:color="auto"/>
            </w:tcBorders>
            <w:shd w:val="clear" w:color="auto" w:fill="DEDEDE"/>
          </w:tcPr>
          <w:p>
            <w:pPr>
              <w:spacing w:after="0"/>
              <w:rPr>
                <w:sz w:val="15"/>
                <w:szCs w:val="15"/>
                <w:color w:val="auto"/>
              </w:rPr>
            </w:pPr>
          </w:p>
        </w:tc>
        <w:tc>
          <w:tcPr>
            <w:tcW w:w="900" w:type="dxa"/>
            <w:vAlign w:val="bottom"/>
            <w:tcBorders>
              <w:top w:val="single" w:sz="8" w:color="auto"/>
            </w:tcBorders>
            <w:shd w:val="clear" w:color="auto" w:fill="DEDEDE"/>
          </w:tcPr>
          <w:p>
            <w:pPr>
              <w:spacing w:after="0"/>
              <w:rPr>
                <w:sz w:val="15"/>
                <w:szCs w:val="15"/>
                <w:color w:val="auto"/>
              </w:rPr>
            </w:pPr>
          </w:p>
        </w:tc>
        <w:tc>
          <w:tcPr>
            <w:tcW w:w="320" w:type="dxa"/>
            <w:vAlign w:val="bottom"/>
            <w:tcBorders>
              <w:top w:val="single" w:sz="8" w:color="DEDEDE"/>
            </w:tcBorders>
            <w:shd w:val="clear" w:color="auto" w:fill="DEDEDE"/>
          </w:tcPr>
          <w:p>
            <w:pPr>
              <w:spacing w:after="0"/>
              <w:rPr>
                <w:sz w:val="15"/>
                <w:szCs w:val="15"/>
                <w:color w:val="auto"/>
              </w:rPr>
            </w:pPr>
          </w:p>
        </w:tc>
        <w:tc>
          <w:tcPr>
            <w:tcW w:w="1020" w:type="dxa"/>
            <w:vAlign w:val="bottom"/>
            <w:tcBorders>
              <w:top w:val="single" w:sz="8" w:color="auto"/>
            </w:tcBorders>
            <w:shd w:val="clear" w:color="auto" w:fill="DEDEDE"/>
          </w:tcPr>
          <w:p>
            <w:pPr>
              <w:spacing w:after="0"/>
              <w:rPr>
                <w:sz w:val="15"/>
                <w:szCs w:val="15"/>
                <w:color w:val="auto"/>
              </w:rPr>
            </w:pPr>
          </w:p>
        </w:tc>
        <w:tc>
          <w:tcPr>
            <w:tcW w:w="320" w:type="dxa"/>
            <w:vAlign w:val="bottom"/>
            <w:tcBorders>
              <w:top w:val="single" w:sz="8" w:color="DEDEDE"/>
            </w:tcBorders>
            <w:shd w:val="clear" w:color="auto" w:fill="DEDEDE"/>
          </w:tcPr>
          <w:p>
            <w:pPr>
              <w:spacing w:after="0"/>
              <w:rPr>
                <w:sz w:val="15"/>
                <w:szCs w:val="15"/>
                <w:color w:val="auto"/>
              </w:rPr>
            </w:pPr>
          </w:p>
        </w:tc>
        <w:tc>
          <w:tcPr>
            <w:tcW w:w="100" w:type="dxa"/>
            <w:vAlign w:val="bottom"/>
            <w:tcBorders>
              <w:top w:val="single" w:sz="8" w:color="auto"/>
            </w:tcBorders>
            <w:shd w:val="clear" w:color="auto" w:fill="DEDEDE"/>
          </w:tcPr>
          <w:p>
            <w:pPr>
              <w:spacing w:after="0"/>
              <w:rPr>
                <w:sz w:val="15"/>
                <w:szCs w:val="15"/>
                <w:color w:val="auto"/>
              </w:rPr>
            </w:pPr>
          </w:p>
        </w:tc>
        <w:tc>
          <w:tcPr>
            <w:tcW w:w="900" w:type="dxa"/>
            <w:vAlign w:val="bottom"/>
            <w:tcBorders>
              <w:top w:val="single" w:sz="8" w:color="auto"/>
            </w:tcBorders>
            <w:shd w:val="clear" w:color="auto" w:fill="DEDEDE"/>
          </w:tcPr>
          <w:p>
            <w:pPr>
              <w:spacing w:after="0"/>
              <w:rPr>
                <w:sz w:val="15"/>
                <w:szCs w:val="15"/>
                <w:color w:val="auto"/>
              </w:rPr>
            </w:pPr>
          </w:p>
        </w:tc>
        <w:tc>
          <w:tcPr>
            <w:tcW w:w="260" w:type="dxa"/>
            <w:vAlign w:val="bottom"/>
            <w:tcBorders>
              <w:top w:val="single" w:sz="8" w:color="DEDEDE"/>
            </w:tcBorders>
            <w:shd w:val="clear" w:color="auto" w:fill="DEDEDE"/>
          </w:tcPr>
          <w:p>
            <w:pPr>
              <w:spacing w:after="0"/>
              <w:rPr>
                <w:sz w:val="15"/>
                <w:szCs w:val="15"/>
                <w:color w:val="auto"/>
              </w:rPr>
            </w:pPr>
          </w:p>
        </w:tc>
        <w:tc>
          <w:tcPr>
            <w:tcW w:w="60" w:type="dxa"/>
            <w:vAlign w:val="bottom"/>
            <w:tcBorders>
              <w:top w:val="single" w:sz="8" w:color="DEDEDE"/>
            </w:tcBorders>
            <w:shd w:val="clear" w:color="auto" w:fill="DEDEDE"/>
          </w:tcPr>
          <w:p>
            <w:pPr>
              <w:spacing w:after="0"/>
              <w:rPr>
                <w:sz w:val="15"/>
                <w:szCs w:val="15"/>
                <w:color w:val="auto"/>
              </w:rPr>
            </w:pPr>
          </w:p>
        </w:tc>
        <w:tc>
          <w:tcPr>
            <w:tcW w:w="120" w:type="dxa"/>
            <w:vAlign w:val="bottom"/>
            <w:tcBorders>
              <w:top w:val="single" w:sz="8" w:color="auto"/>
            </w:tcBorders>
            <w:shd w:val="clear" w:color="auto" w:fill="DEDEDE"/>
          </w:tcPr>
          <w:p>
            <w:pPr>
              <w:spacing w:after="0"/>
              <w:rPr>
                <w:sz w:val="15"/>
                <w:szCs w:val="15"/>
                <w:color w:val="auto"/>
              </w:rPr>
            </w:pPr>
          </w:p>
        </w:tc>
        <w:tc>
          <w:tcPr>
            <w:tcW w:w="880" w:type="dxa"/>
            <w:vAlign w:val="bottom"/>
            <w:tcBorders>
              <w:top w:val="single" w:sz="8" w:color="auto"/>
            </w:tcBorders>
            <w:shd w:val="clear" w:color="auto" w:fill="DEDEDE"/>
          </w:tcPr>
          <w:p>
            <w:pPr>
              <w:spacing w:after="0"/>
              <w:rPr>
                <w:sz w:val="15"/>
                <w:szCs w:val="15"/>
                <w:color w:val="auto"/>
              </w:rPr>
            </w:pPr>
          </w:p>
        </w:tc>
        <w:tc>
          <w:tcPr>
            <w:tcW w:w="120" w:type="dxa"/>
            <w:vAlign w:val="bottom"/>
            <w:tcBorders>
              <w:top w:val="single" w:sz="8" w:color="DEDEDE"/>
            </w:tcBorders>
            <w:shd w:val="clear" w:color="auto" w:fill="DEDEDE"/>
          </w:tcPr>
          <w:p>
            <w:pPr>
              <w:spacing w:after="0"/>
              <w:rPr>
                <w:sz w:val="15"/>
                <w:szCs w:val="15"/>
                <w:color w:val="auto"/>
              </w:rPr>
            </w:pPr>
          </w:p>
        </w:tc>
      </w:tr>
      <w:tr>
        <w:trPr>
          <w:trHeight w:val="236"/>
        </w:trPr>
        <w:tc>
          <w:tcPr>
            <w:tcW w:w="22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as hedging instruments:</w:t>
            </w:r>
          </w:p>
        </w:tc>
        <w:tc>
          <w:tcPr>
            <w:tcW w:w="900" w:type="dxa"/>
            <w:vAlign w:val="bottom"/>
            <w:shd w:val="clear" w:color="auto" w:fill="DEDEDE"/>
          </w:tcPr>
          <w:p>
            <w:pPr>
              <w:spacing w:after="0"/>
              <w:rPr>
                <w:sz w:val="20"/>
                <w:szCs w:val="20"/>
                <w:color w:val="auto"/>
              </w:rPr>
            </w:pPr>
          </w:p>
        </w:tc>
        <w:tc>
          <w:tcPr>
            <w:tcW w:w="220" w:type="dxa"/>
            <w:vAlign w:val="bottom"/>
            <w:shd w:val="clear" w:color="auto" w:fill="DEDEDE"/>
          </w:tcPr>
          <w:p>
            <w:pPr>
              <w:spacing w:after="0"/>
              <w:rPr>
                <w:sz w:val="20"/>
                <w:szCs w:val="20"/>
                <w:color w:val="auto"/>
              </w:rPr>
            </w:pPr>
          </w:p>
        </w:tc>
        <w:tc>
          <w:tcPr>
            <w:tcW w:w="1040" w:type="dxa"/>
            <w:vAlign w:val="bottom"/>
            <w:shd w:val="clear" w:color="auto" w:fill="DEDEDE"/>
          </w:tcPr>
          <w:p>
            <w:pPr>
              <w:spacing w:after="0"/>
              <w:rPr>
                <w:sz w:val="20"/>
                <w:szCs w:val="20"/>
                <w:color w:val="auto"/>
              </w:rPr>
            </w:pPr>
          </w:p>
        </w:tc>
        <w:tc>
          <w:tcPr>
            <w:tcW w:w="36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900" w:type="dxa"/>
            <w:vAlign w:val="bottom"/>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80" w:type="dxa"/>
            <w:vAlign w:val="bottom"/>
            <w:shd w:val="clear" w:color="auto" w:fill="DEDEDE"/>
          </w:tcPr>
          <w:p>
            <w:pPr>
              <w:spacing w:after="0"/>
              <w:rPr>
                <w:sz w:val="20"/>
                <w:szCs w:val="20"/>
                <w:color w:val="auto"/>
              </w:rPr>
            </w:pPr>
          </w:p>
        </w:tc>
        <w:tc>
          <w:tcPr>
            <w:tcW w:w="100" w:type="dxa"/>
            <w:vAlign w:val="bottom"/>
            <w:shd w:val="clear" w:color="auto" w:fill="DEDEDE"/>
          </w:tcPr>
          <w:p>
            <w:pPr>
              <w:spacing w:after="0"/>
              <w:rPr>
                <w:sz w:val="20"/>
                <w:szCs w:val="20"/>
                <w:color w:val="auto"/>
              </w:rPr>
            </w:pPr>
          </w:p>
        </w:tc>
        <w:tc>
          <w:tcPr>
            <w:tcW w:w="90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1020" w:type="dxa"/>
            <w:vAlign w:val="bottom"/>
            <w:shd w:val="clear" w:color="auto" w:fill="DEDEDE"/>
          </w:tcPr>
          <w:p>
            <w:pPr>
              <w:spacing w:after="0"/>
              <w:rPr>
                <w:sz w:val="20"/>
                <w:szCs w:val="20"/>
                <w:color w:val="auto"/>
              </w:rPr>
            </w:pPr>
          </w:p>
        </w:tc>
        <w:tc>
          <w:tcPr>
            <w:tcW w:w="320" w:type="dxa"/>
            <w:vAlign w:val="bottom"/>
            <w:shd w:val="clear" w:color="auto" w:fill="DEDEDE"/>
          </w:tcPr>
          <w:p>
            <w:pPr>
              <w:spacing w:after="0"/>
              <w:rPr>
                <w:sz w:val="20"/>
                <w:szCs w:val="20"/>
                <w:color w:val="auto"/>
              </w:rPr>
            </w:pPr>
          </w:p>
        </w:tc>
        <w:tc>
          <w:tcPr>
            <w:tcW w:w="100" w:type="dxa"/>
            <w:vAlign w:val="bottom"/>
            <w:shd w:val="clear" w:color="auto" w:fill="DEDEDE"/>
          </w:tcPr>
          <w:p>
            <w:pPr>
              <w:spacing w:after="0"/>
              <w:rPr>
                <w:sz w:val="20"/>
                <w:szCs w:val="20"/>
                <w:color w:val="auto"/>
              </w:rPr>
            </w:pPr>
          </w:p>
        </w:tc>
        <w:tc>
          <w:tcPr>
            <w:tcW w:w="900" w:type="dxa"/>
            <w:vAlign w:val="bottom"/>
            <w:shd w:val="clear" w:color="auto" w:fill="DEDEDE"/>
          </w:tcPr>
          <w:p>
            <w:pPr>
              <w:spacing w:after="0"/>
              <w:rPr>
                <w:sz w:val="20"/>
                <w:szCs w:val="20"/>
                <w:color w:val="auto"/>
              </w:rPr>
            </w:pPr>
          </w:p>
        </w:tc>
        <w:tc>
          <w:tcPr>
            <w:tcW w:w="260" w:type="dxa"/>
            <w:vAlign w:val="bottom"/>
            <w:shd w:val="clear" w:color="auto" w:fill="DEDEDE"/>
          </w:tcPr>
          <w:p>
            <w:pPr>
              <w:spacing w:after="0"/>
              <w:rPr>
                <w:sz w:val="20"/>
                <w:szCs w:val="20"/>
                <w:color w:val="auto"/>
              </w:rPr>
            </w:pPr>
          </w:p>
        </w:tc>
        <w:tc>
          <w:tcPr>
            <w:tcW w:w="6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88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r>
      <w:tr>
        <w:trPr>
          <w:trHeight w:val="196"/>
        </w:trPr>
        <w:tc>
          <w:tcPr>
            <w:tcW w:w="22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2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and Other</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9"/>
        </w:trPr>
        <w:tc>
          <w:tcPr>
            <w:tcW w:w="2260" w:type="dxa"/>
            <w:vAlign w:val="bottom"/>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liabilities</w:t>
            </w:r>
          </w:p>
        </w:tc>
        <w:tc>
          <w:tcPr>
            <w:tcW w:w="126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$ 132,887,592</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1,700,742</w:t>
            </w:r>
          </w:p>
        </w:tc>
        <w:tc>
          <w:tcPr>
            <w:tcW w:w="2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220,605</w:t>
            </w:r>
          </w:p>
        </w:tc>
        <w:tc>
          <w:tcPr>
            <w:tcW w:w="13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210,597,657</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5,348,089</w:t>
            </w:r>
          </w:p>
        </w:tc>
        <w:tc>
          <w:tcPr>
            <w:tcW w:w="26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3,034,879</w:t>
            </w:r>
          </w:p>
        </w:tc>
        <w:tc>
          <w:tcPr>
            <w:tcW w:w="120" w:type="dxa"/>
            <w:vAlign w:val="bottom"/>
          </w:tcPr>
          <w:p>
            <w:pPr>
              <w:spacing w:after="0"/>
              <w:rPr>
                <w:sz w:val="21"/>
                <w:szCs w:val="21"/>
                <w:color w:val="auto"/>
              </w:rPr>
            </w:pPr>
          </w:p>
        </w:tc>
      </w:tr>
      <w:tr>
        <w:trPr>
          <w:trHeight w:val="224"/>
        </w:trPr>
        <w:tc>
          <w:tcPr>
            <w:tcW w:w="226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DEDEDE"/>
              <w:bottom w:val="single" w:sz="8" w:color="DEDEDE"/>
            </w:tcBorders>
            <w:shd w:val="clear" w:color="auto" w:fill="DEDEDE"/>
          </w:tcPr>
          <w:p>
            <w:pPr>
              <w:spacing w:after="0"/>
              <w:rPr>
                <w:sz w:val="19"/>
                <w:szCs w:val="19"/>
                <w:color w:val="auto"/>
              </w:rPr>
            </w:pPr>
          </w:p>
        </w:tc>
        <w:tc>
          <w:tcPr>
            <w:tcW w:w="220" w:type="dxa"/>
            <w:vAlign w:val="bottom"/>
            <w:tcBorders>
              <w:top w:val="single" w:sz="8" w:color="DEDEDE"/>
              <w:bottom w:val="single" w:sz="8" w:color="DEDEDE"/>
            </w:tcBorders>
            <w:shd w:val="clear" w:color="auto" w:fill="DEDEDE"/>
          </w:tcPr>
          <w:p>
            <w:pPr>
              <w:spacing w:after="0"/>
              <w:rPr>
                <w:sz w:val="19"/>
                <w:szCs w:val="19"/>
                <w:color w:val="auto"/>
              </w:rPr>
            </w:pPr>
          </w:p>
        </w:tc>
        <w:tc>
          <w:tcPr>
            <w:tcW w:w="1040" w:type="dxa"/>
            <w:vAlign w:val="bottom"/>
            <w:tcBorders>
              <w:top w:val="single" w:sz="8" w:color="auto"/>
              <w:bottom w:val="single" w:sz="8" w:color="auto"/>
            </w:tcBorders>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rPr>
              <w:t>$ 132,887,592</w:t>
            </w:r>
          </w:p>
        </w:tc>
        <w:tc>
          <w:tcPr>
            <w:tcW w:w="360" w:type="dxa"/>
            <w:vAlign w:val="bottom"/>
            <w:tcBorders>
              <w:top w:val="single" w:sz="8" w:color="DEDEDE"/>
              <w:bottom w:val="single" w:sz="8" w:color="DEDEDE"/>
            </w:tcBorders>
            <w:shd w:val="clear" w:color="auto" w:fill="DEDEDE"/>
          </w:tcPr>
          <w:p>
            <w:pPr>
              <w:spacing w:after="0"/>
              <w:rPr>
                <w:sz w:val="19"/>
                <w:szCs w:val="19"/>
                <w:color w:val="auto"/>
              </w:rPr>
            </w:pPr>
          </w:p>
        </w:tc>
        <w:tc>
          <w:tcPr>
            <w:tcW w:w="1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w w:val="97"/>
              </w:rPr>
              <w:t>1,700,742</w:t>
            </w:r>
          </w:p>
        </w:tc>
        <w:tc>
          <w:tcPr>
            <w:tcW w:w="260" w:type="dxa"/>
            <w:vAlign w:val="bottom"/>
            <w:tcBorders>
              <w:top w:val="single" w:sz="8" w:color="DEDEDE"/>
              <w:bottom w:val="single" w:sz="8" w:color="DEDEDE"/>
            </w:tcBorders>
            <w:shd w:val="clear" w:color="auto" w:fill="DEDEDE"/>
          </w:tcPr>
          <w:p>
            <w:pPr>
              <w:spacing w:after="0"/>
              <w:rPr>
                <w:sz w:val="19"/>
                <w:szCs w:val="19"/>
                <w:color w:val="auto"/>
              </w:rPr>
            </w:pP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220,605</w:t>
            </w: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1020" w:type="dxa"/>
            <w:vAlign w:val="bottom"/>
            <w:tcBorders>
              <w:top w:val="single" w:sz="8" w:color="auto"/>
              <w:bottom w:val="single" w:sz="8" w:color="auto"/>
            </w:tcBorders>
            <w:shd w:val="clear" w:color="auto" w:fill="DEDEDE"/>
          </w:tcPr>
          <w:p>
            <w:pPr>
              <w:jc w:val="center"/>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 xml:space="preserve"> 210,597,657</w:t>
            </w: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5,348,089</w:t>
            </w:r>
          </w:p>
        </w:tc>
        <w:tc>
          <w:tcPr>
            <w:tcW w:w="260" w:type="dxa"/>
            <w:vAlign w:val="bottom"/>
            <w:tcBorders>
              <w:top w:val="single" w:sz="8" w:color="DEDEDE"/>
              <w:bottom w:val="single" w:sz="8" w:color="DEDEDE"/>
            </w:tcBorders>
            <w:shd w:val="clear" w:color="auto" w:fill="DEDEDE"/>
          </w:tcPr>
          <w:p>
            <w:pPr>
              <w:spacing w:after="0"/>
              <w:rPr>
                <w:sz w:val="19"/>
                <w:szCs w:val="19"/>
                <w:color w:val="auto"/>
              </w:rPr>
            </w:pPr>
          </w:p>
        </w:tc>
        <w:tc>
          <w:tcPr>
            <w:tcW w:w="60" w:type="dxa"/>
            <w:vAlign w:val="bottom"/>
            <w:tcBorders>
              <w:top w:val="single" w:sz="8" w:color="DEDEDE"/>
              <w:bottom w:val="single" w:sz="8" w:color="DEDEDE"/>
            </w:tcBorders>
            <w:shd w:val="clear" w:color="auto" w:fill="DEDEDE"/>
          </w:tcPr>
          <w:p>
            <w:pPr>
              <w:spacing w:after="0"/>
              <w:rPr>
                <w:sz w:val="19"/>
                <w:szCs w:val="19"/>
                <w:color w:val="auto"/>
              </w:rPr>
            </w:pPr>
          </w:p>
        </w:tc>
        <w:tc>
          <w:tcPr>
            <w:tcW w:w="1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3,034,879</w:t>
            </w: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following table presents the gains (losses) on derivatives. There were no gains or losses reclassified from accumulated other comprehensive income into income, or gains or losses recognized into income on the ineffective portion of the derivatives or any amounts excluded from effective testing.</w:t>
      </w:r>
    </w:p>
    <w:p>
      <w:pPr>
        <w:spacing w:after="0" w:line="173"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6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Years ended December 31,</w:t>
            </w:r>
          </w:p>
        </w:tc>
      </w:tr>
      <w:tr>
        <w:trPr>
          <w:trHeight w:val="224"/>
        </w:trPr>
        <w:tc>
          <w:tcPr>
            <w:tcW w:w="252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Derivative</w:t>
            </w:r>
          </w:p>
        </w:tc>
        <w:tc>
          <w:tcPr>
            <w:tcW w:w="200" w:type="dxa"/>
            <w:vAlign w:val="bottom"/>
            <w:tcBorders>
              <w:bottom w:val="single" w:sz="8" w:color="DEDEDE"/>
            </w:tcBorders>
          </w:tcPr>
          <w:p>
            <w:pPr>
              <w:spacing w:after="0"/>
              <w:rPr>
                <w:sz w:val="19"/>
                <w:szCs w:val="19"/>
                <w:color w:val="auto"/>
              </w:rPr>
            </w:pPr>
          </w:p>
        </w:tc>
        <w:tc>
          <w:tcPr>
            <w:tcW w:w="27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Classification</w:t>
            </w:r>
          </w:p>
        </w:tc>
        <w:tc>
          <w:tcPr>
            <w:tcW w:w="160" w:type="dxa"/>
            <w:vAlign w:val="bottom"/>
            <w:tcBorders>
              <w:bottom w:val="single" w:sz="8" w:color="DEDED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bottom w:val="single" w:sz="8" w:color="DEDED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36"/>
        </w:trPr>
        <w:tc>
          <w:tcPr>
            <w:tcW w:w="25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00" w:type="dxa"/>
            <w:vAlign w:val="bottom"/>
            <w:shd w:val="clear" w:color="auto" w:fill="DEDEDE"/>
          </w:tcPr>
          <w:p>
            <w:pPr>
              <w:spacing w:after="0"/>
              <w:rPr>
                <w:sz w:val="20"/>
                <w:szCs w:val="20"/>
                <w:color w:val="auto"/>
              </w:rPr>
            </w:pPr>
          </w:p>
        </w:tc>
        <w:tc>
          <w:tcPr>
            <w:tcW w:w="27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 fee income</w:t>
            </w:r>
          </w:p>
        </w:tc>
        <w:tc>
          <w:tcPr>
            <w:tcW w:w="50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(833,073</w:t>
            </w:r>
          </w:p>
        </w:tc>
        <w:tc>
          <w:tcPr>
            <w:tcW w:w="240" w:type="dxa"/>
            <w:vAlign w:val="bottom"/>
            <w:shd w:val="clear" w:color="auto" w:fill="DEDEDE"/>
          </w:tcPr>
          <w:p>
            <w:pPr>
              <w:jc w:val="right"/>
              <w:ind w:right="161"/>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729,948</w:t>
            </w:r>
          </w:p>
        </w:tc>
        <w:tc>
          <w:tcPr>
            <w:tcW w:w="80" w:type="dxa"/>
            <w:vAlign w:val="bottom"/>
            <w:shd w:val="clear" w:color="auto" w:fill="DEDEDE"/>
          </w:tcPr>
          <w:p>
            <w:pPr>
              <w:spacing w:after="0"/>
              <w:rPr>
                <w:sz w:val="20"/>
                <w:szCs w:val="20"/>
                <w:color w:val="auto"/>
              </w:rPr>
            </w:pPr>
          </w:p>
        </w:tc>
      </w:tr>
      <w:tr>
        <w:trPr>
          <w:trHeight w:val="20"/>
        </w:trPr>
        <w:tc>
          <w:tcPr>
            <w:tcW w:w="252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27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69</w:t>
      </w:r>
    </w:p>
    <w:p>
      <w:pPr>
        <w:sectPr>
          <w:pgSz w:w="12240" w:h="15840" w:orient="portrait"/>
          <w:cols w:equalWidth="0" w:num="1">
            <w:col w:w="11242"/>
          </w:cols>
          <w:pgMar w:left="498" w:top="687" w:right="500" w:bottom="0" w:gutter="0" w:footer="0" w:header="0"/>
        </w:sectPr>
      </w:pPr>
    </w:p>
    <w:bookmarkStart w:id="97" w:name="page98"/>
    <w:bookmarkEnd w:id="97"/>
    <w:p>
      <w:pPr>
        <w:jc w:val="center"/>
        <w:ind w:right="-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Policy Benefits and Unpaid Claims</w:t>
      </w:r>
    </w:p>
    <w:p>
      <w:pPr>
        <w:spacing w:after="0" w:line="225"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Company reports future policy benefits and unpaid claims pursuant to the accounting policy discussed in Note 1. Also, refer to Note 1 regarding the adoption of ASU 2018-12. The Company establishes liabilities for amounts payable under insurance policies. These liabilities are comprised of traditional and limited-payment contracts and associated deferred profit liabilities, unpaid claims, and additional insurance liabilities.</w:t>
      </w:r>
    </w:p>
    <w:p>
      <w:pPr>
        <w:spacing w:after="0" w:line="176"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The following table provides a reconciliation of future policy benefits and unpaid claims and the related receivable from reinsurers to the consolidated balance sheets.</w:t>
      </w:r>
    </w:p>
    <w:tbl>
      <w:tblPr>
        <w:tblLayout w:type="fixed"/>
        <w:tblInd w:w="2"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Borders>
              <w:bottom w:val="single" w:sz="8" w:color="DEDEDE"/>
            </w:tcBorders>
          </w:tcPr>
          <w:p>
            <w:pPr>
              <w:spacing w:after="0"/>
              <w:rPr>
                <w:sz w:val="19"/>
                <w:szCs w:val="19"/>
                <w:color w:val="auto"/>
              </w:rPr>
            </w:pPr>
          </w:p>
        </w:tc>
        <w:tc>
          <w:tcPr>
            <w:tcW w:w="3060" w:type="dxa"/>
            <w:vAlign w:val="bottom"/>
            <w:tcBorders>
              <w:bottom w:val="single" w:sz="8" w:color="DEDEDE"/>
            </w:tcBorders>
          </w:tcPr>
          <w:p>
            <w:pPr>
              <w:spacing w:after="0"/>
              <w:rPr>
                <w:sz w:val="19"/>
                <w:szCs w:val="19"/>
                <w:color w:val="auto"/>
              </w:rPr>
            </w:pPr>
          </w:p>
        </w:tc>
        <w:tc>
          <w:tcPr>
            <w:tcW w:w="58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Traditional and limited-payment life</w:t>
            </w: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581,389,399</w:t>
            </w: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547,984,488</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profit liability - traditional and limited-payment life</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205,802,774</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192,278,993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Payout annuities</w:t>
            </w: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95,436</w:t>
            </w: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99,605</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Accident and health</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505,208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Other policyholder funds</w:t>
            </w: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4,514,783</w:t>
            </w: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4,482,462</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but unpaid claims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3,299,899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tcBorders>
              <w:bottom w:val="single" w:sz="8" w:color="DEDEDE"/>
            </w:tcBorders>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Incurred but not reported claims</w:t>
            </w:r>
          </w:p>
        </w:tc>
        <w:tc>
          <w:tcPr>
            <w:tcW w:w="580" w:type="dxa"/>
            <w:vAlign w:val="bottom"/>
            <w:tcBorders>
              <w:bottom w:val="single" w:sz="8" w:color="DEDEDE"/>
            </w:tcBorders>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4,099,447</w:t>
            </w:r>
          </w:p>
        </w:tc>
        <w:tc>
          <w:tcPr>
            <w:tcW w:w="240" w:type="dxa"/>
            <w:vAlign w:val="bottom"/>
            <w:tcBorders>
              <w:bottom w:val="single" w:sz="8" w:color="DEDEDE"/>
            </w:tcBorders>
            <w:shd w:val="clear" w:color="auto" w:fill="DEDEDE"/>
          </w:tcPr>
          <w:p>
            <w:pPr>
              <w:spacing w:after="0"/>
              <w:rPr>
                <w:sz w:val="19"/>
                <w:szCs w:val="19"/>
                <w:color w:val="auto"/>
              </w:rPr>
            </w:pPr>
          </w:p>
        </w:tc>
        <w:tc>
          <w:tcPr>
            <w:tcW w:w="480" w:type="dxa"/>
            <w:vAlign w:val="bottom"/>
            <w:tcBorders>
              <w:bottom w:val="single" w:sz="8" w:color="auto"/>
            </w:tcBorders>
            <w:shd w:val="clear" w:color="auto" w:fill="DEDEDE"/>
          </w:tcPr>
          <w:p>
            <w:pPr>
              <w:spacing w:after="0"/>
              <w:rPr>
                <w:sz w:val="19"/>
                <w:szCs w:val="19"/>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4,228,098</w:t>
            </w:r>
          </w:p>
        </w:tc>
        <w:tc>
          <w:tcPr>
            <w:tcW w:w="80" w:type="dxa"/>
            <w:vAlign w:val="bottom"/>
            <w:tcBorders>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Gross future policy benefits and unpaid claims</w:t>
            </w:r>
          </w:p>
        </w:tc>
        <w:tc>
          <w:tcPr>
            <w:tcW w:w="920" w:type="dxa"/>
            <w:vAlign w:val="bottom"/>
            <w:gridSpan w:val="2"/>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799,706,946</w:t>
            </w:r>
          </w:p>
        </w:tc>
        <w:tc>
          <w:tcPr>
            <w:tcW w:w="720" w:type="dxa"/>
            <w:vAlign w:val="bottom"/>
            <w:gridSpan w:val="2"/>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752,080,658</w:t>
            </w:r>
          </w:p>
        </w:tc>
        <w:tc>
          <w:tcPr>
            <w:tcW w:w="8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DEDEDE"/>
            </w:tcBorders>
          </w:tcPr>
          <w:p>
            <w:pPr>
              <w:spacing w:after="0" w:line="20" w:lineRule="exact"/>
              <w:rPr>
                <w:sz w:val="1"/>
                <w:szCs w:val="1"/>
                <w:color w:val="auto"/>
              </w:rPr>
            </w:pPr>
          </w:p>
        </w:tc>
        <w:tc>
          <w:tcPr>
            <w:tcW w:w="3060" w:type="dxa"/>
            <w:vAlign w:val="bottom"/>
            <w:tcBorders>
              <w:top w:val="single" w:sz="8" w:color="DEDEDE"/>
            </w:tcBorders>
          </w:tcPr>
          <w:p>
            <w:pPr>
              <w:spacing w:after="0" w:line="20" w:lineRule="exact"/>
              <w:rPr>
                <w:sz w:val="1"/>
                <w:szCs w:val="1"/>
                <w:color w:val="auto"/>
              </w:rPr>
            </w:pPr>
          </w:p>
        </w:tc>
        <w:tc>
          <w:tcPr>
            <w:tcW w:w="5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gridSpan w:val="2"/>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rPr>
              <w:t>Receivable from reinsurers</w:t>
            </w:r>
          </w:p>
        </w:tc>
        <w:tc>
          <w:tcPr>
            <w:tcW w:w="580" w:type="dxa"/>
            <w:vAlign w:val="bottom"/>
            <w:shd w:val="clear" w:color="auto" w:fill="DEDEDE"/>
          </w:tcPr>
          <w:p>
            <w:pPr>
              <w:spacing w:after="0"/>
              <w:rPr>
                <w:sz w:val="17"/>
                <w:szCs w:val="17"/>
                <w:color w:val="auto"/>
              </w:rPr>
            </w:pPr>
          </w:p>
        </w:tc>
        <w:tc>
          <w:tcPr>
            <w:tcW w:w="34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480" w:type="dxa"/>
            <w:vAlign w:val="bottom"/>
            <w:shd w:val="clear" w:color="auto" w:fill="DEDEDE"/>
          </w:tcPr>
          <w:p>
            <w:pPr>
              <w:spacing w:after="0"/>
              <w:rPr>
                <w:sz w:val="17"/>
                <w:szCs w:val="17"/>
                <w:color w:val="auto"/>
              </w:rPr>
            </w:pPr>
          </w:p>
        </w:tc>
        <w:tc>
          <w:tcPr>
            <w:tcW w:w="106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060" w:type="dxa"/>
            <w:vAlign w:val="bottom"/>
            <w:tcBorders>
              <w:top w:val="single" w:sz="8" w:color="DEDEDE"/>
            </w:tcBorders>
          </w:tcPr>
          <w:p>
            <w:pPr>
              <w:spacing w:after="0"/>
              <w:rPr>
                <w:sz w:val="18"/>
                <w:szCs w:val="18"/>
                <w:color w:val="auto"/>
              </w:rPr>
            </w:pPr>
          </w:p>
        </w:tc>
        <w:tc>
          <w:tcPr>
            <w:tcW w:w="580" w:type="dxa"/>
            <w:vAlign w:val="bottom"/>
            <w:tcBorders>
              <w:top w:val="single" w:sz="8" w:color="DEDEDE"/>
            </w:tcBorders>
          </w:tcPr>
          <w:p>
            <w:pPr>
              <w:spacing w:after="0"/>
              <w:rPr>
                <w:sz w:val="18"/>
                <w:szCs w:val="18"/>
                <w:color w:val="auto"/>
              </w:rPr>
            </w:pPr>
          </w:p>
        </w:tc>
        <w:tc>
          <w:tcPr>
            <w:tcW w:w="340" w:type="dxa"/>
            <w:vAlign w:val="bottom"/>
            <w:tcBorders>
              <w:top w:val="single" w:sz="8" w:color="DEDEDE"/>
            </w:tcBorders>
          </w:tcPr>
          <w:p>
            <w:pPr>
              <w:spacing w:after="0"/>
              <w:rPr>
                <w:sz w:val="18"/>
                <w:szCs w:val="18"/>
                <w:color w:val="auto"/>
              </w:rPr>
            </w:pPr>
          </w:p>
        </w:tc>
        <w:tc>
          <w:tcPr>
            <w:tcW w:w="1200" w:type="dxa"/>
            <w:vAlign w:val="bottom"/>
            <w:tcBorders>
              <w:top w:val="single" w:sz="8" w:color="DEDEDE"/>
            </w:tcBorders>
          </w:tcPr>
          <w:p>
            <w:pPr>
              <w:spacing w:after="0"/>
              <w:rPr>
                <w:sz w:val="18"/>
                <w:szCs w:val="18"/>
                <w:color w:val="auto"/>
              </w:rPr>
            </w:pPr>
          </w:p>
        </w:tc>
        <w:tc>
          <w:tcPr>
            <w:tcW w:w="240" w:type="dxa"/>
            <w:vAlign w:val="bottom"/>
            <w:tcBorders>
              <w:top w:val="single" w:sz="8" w:color="DEDEDE"/>
            </w:tcBorders>
          </w:tcPr>
          <w:p>
            <w:pPr>
              <w:spacing w:after="0"/>
              <w:rPr>
                <w:sz w:val="18"/>
                <w:szCs w:val="18"/>
                <w:color w:val="auto"/>
              </w:rPr>
            </w:pPr>
          </w:p>
        </w:tc>
        <w:tc>
          <w:tcPr>
            <w:tcW w:w="480" w:type="dxa"/>
            <w:vAlign w:val="bottom"/>
            <w:tcBorders>
              <w:top w:val="single" w:sz="8" w:color="DEDEDE"/>
            </w:tcBorders>
          </w:tcPr>
          <w:p>
            <w:pPr>
              <w:spacing w:after="0"/>
              <w:rPr>
                <w:sz w:val="18"/>
                <w:szCs w:val="18"/>
                <w:color w:val="auto"/>
              </w:rPr>
            </w:pPr>
          </w:p>
        </w:tc>
        <w:tc>
          <w:tcPr>
            <w:tcW w:w="1060" w:type="dxa"/>
            <w:vAlign w:val="bottom"/>
            <w:tcBorders>
              <w:top w:val="single" w:sz="8" w:color="DEDEDE"/>
            </w:tcBorders>
          </w:tcPr>
          <w:p>
            <w:pPr>
              <w:spacing w:after="0"/>
              <w:rPr>
                <w:sz w:val="18"/>
                <w:szCs w:val="18"/>
                <w:color w:val="auto"/>
              </w:rPr>
            </w:pPr>
          </w:p>
        </w:tc>
        <w:tc>
          <w:tcPr>
            <w:tcW w:w="80" w:type="dxa"/>
            <w:vAlign w:val="bottom"/>
            <w:tcBorders>
              <w:top w:val="single" w:sz="8" w:color="DEDED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Traditional and limited pay life</w:t>
            </w: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9,186,983</w:t>
            </w: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9,252,984</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profit liability - traditional and limited-payment life</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985,258</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1,017,678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Accident and health</w:t>
            </w:r>
          </w:p>
        </w:tc>
        <w:tc>
          <w:tcPr>
            <w:tcW w:w="5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70,173</w:t>
            </w: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74,762</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Reported but unpaid claims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131,712</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Incurred but not reported claims</w:t>
            </w:r>
          </w:p>
        </w:tc>
        <w:tc>
          <w:tcPr>
            <w:tcW w:w="580" w:type="dxa"/>
            <w:vAlign w:val="bottom"/>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40" w:type="dxa"/>
            <w:vAlign w:val="bottom"/>
            <w:shd w:val="clear" w:color="auto" w:fill="DEDEDE"/>
          </w:tcPr>
          <w:p>
            <w:pPr>
              <w:spacing w:after="0"/>
              <w:rPr>
                <w:sz w:val="19"/>
                <w:szCs w:val="19"/>
                <w:color w:val="auto"/>
              </w:rPr>
            </w:pPr>
          </w:p>
        </w:tc>
        <w:tc>
          <w:tcPr>
            <w:tcW w:w="480" w:type="dxa"/>
            <w:vAlign w:val="bottom"/>
            <w:tcBorders>
              <w:bottom w:val="single" w:sz="8" w:color="auto"/>
            </w:tcBorders>
            <w:shd w:val="clear" w:color="auto" w:fill="DEDEDE"/>
          </w:tcPr>
          <w:p>
            <w:pPr>
              <w:spacing w:after="0"/>
              <w:rPr>
                <w:sz w:val="19"/>
                <w:szCs w:val="19"/>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receivable from reinsurers</w:t>
            </w:r>
          </w:p>
        </w:tc>
        <w:tc>
          <w:tcPr>
            <w:tcW w:w="580" w:type="dxa"/>
            <w:vAlign w:val="bottom"/>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10,380,126</w:t>
            </w:r>
          </w:p>
        </w:tc>
        <w:tc>
          <w:tcPr>
            <w:tcW w:w="240" w:type="dxa"/>
            <w:vAlign w:val="bottom"/>
            <w:shd w:val="clear" w:color="auto" w:fill="DEDEDE"/>
          </w:tcPr>
          <w:p>
            <w:pPr>
              <w:spacing w:after="0"/>
              <w:rPr>
                <w:sz w:val="19"/>
                <w:szCs w:val="19"/>
                <w:color w:val="auto"/>
              </w:rPr>
            </w:pPr>
          </w:p>
        </w:tc>
        <w:tc>
          <w:tcPr>
            <w:tcW w:w="480" w:type="dxa"/>
            <w:vAlign w:val="bottom"/>
            <w:tcBorders>
              <w:bottom w:val="single" w:sz="8" w:color="auto"/>
            </w:tcBorders>
            <w:shd w:val="clear" w:color="auto" w:fill="DEDEDE"/>
          </w:tcPr>
          <w:p>
            <w:pPr>
              <w:spacing w:after="0"/>
              <w:rPr>
                <w:sz w:val="19"/>
                <w:szCs w:val="19"/>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10,401,019</w:t>
            </w:r>
          </w:p>
        </w:tc>
        <w:tc>
          <w:tcPr>
            <w:tcW w:w="8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future policy benefits and unpaid claims</w:t>
            </w:r>
          </w:p>
        </w:tc>
        <w:tc>
          <w:tcPr>
            <w:tcW w:w="920" w:type="dxa"/>
            <w:vAlign w:val="bottom"/>
            <w:gridSpan w:val="2"/>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789,326,820</w:t>
            </w:r>
          </w:p>
        </w:tc>
        <w:tc>
          <w:tcPr>
            <w:tcW w:w="720" w:type="dxa"/>
            <w:vAlign w:val="bottom"/>
            <w:gridSpan w:val="2"/>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741,679,639</w:t>
            </w:r>
          </w:p>
        </w:tc>
        <w:tc>
          <w:tcPr>
            <w:tcW w:w="8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DEDEDE"/>
            </w:tcBorders>
          </w:tcPr>
          <w:p>
            <w:pPr>
              <w:spacing w:after="0" w:line="20" w:lineRule="exact"/>
              <w:rPr>
                <w:sz w:val="1"/>
                <w:szCs w:val="1"/>
                <w:color w:val="auto"/>
              </w:rPr>
            </w:pPr>
          </w:p>
        </w:tc>
        <w:tc>
          <w:tcPr>
            <w:tcW w:w="3060" w:type="dxa"/>
            <w:vAlign w:val="bottom"/>
            <w:tcBorders>
              <w:top w:val="single" w:sz="8" w:color="DEDEDE"/>
            </w:tcBorders>
          </w:tcPr>
          <w:p>
            <w:pPr>
              <w:spacing w:after="0" w:line="20" w:lineRule="exact"/>
              <w:rPr>
                <w:sz w:val="1"/>
                <w:szCs w:val="1"/>
                <w:color w:val="auto"/>
              </w:rPr>
            </w:pPr>
          </w:p>
        </w:tc>
        <w:tc>
          <w:tcPr>
            <w:tcW w:w="5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9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unpaid claims</w:t>
            </w:r>
          </w:p>
        </w:tc>
        <w:tc>
          <w:tcPr>
            <w:tcW w:w="920" w:type="dxa"/>
            <w:vAlign w:val="bottom"/>
            <w:gridSpan w:val="2"/>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7,261,634</w:t>
            </w:r>
          </w:p>
        </w:tc>
        <w:tc>
          <w:tcPr>
            <w:tcW w:w="720" w:type="dxa"/>
            <w:vAlign w:val="bottom"/>
            <w:gridSpan w:val="2"/>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6,635,723</w:t>
            </w:r>
          </w:p>
        </w:tc>
        <w:tc>
          <w:tcPr>
            <w:tcW w:w="8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DEDEDE"/>
            </w:tcBorders>
          </w:tcPr>
          <w:p>
            <w:pPr>
              <w:spacing w:after="0" w:line="20" w:lineRule="exact"/>
              <w:rPr>
                <w:sz w:val="1"/>
                <w:szCs w:val="1"/>
                <w:color w:val="auto"/>
              </w:rPr>
            </w:pPr>
          </w:p>
        </w:tc>
        <w:tc>
          <w:tcPr>
            <w:tcW w:w="3060" w:type="dxa"/>
            <w:vAlign w:val="bottom"/>
            <w:tcBorders>
              <w:top w:val="single" w:sz="8" w:color="DEDEDE"/>
            </w:tcBorders>
          </w:tcPr>
          <w:p>
            <w:pPr>
              <w:spacing w:after="0" w:line="20" w:lineRule="exact"/>
              <w:rPr>
                <w:sz w:val="1"/>
                <w:szCs w:val="1"/>
                <w:color w:val="auto"/>
              </w:rPr>
            </w:pPr>
          </w:p>
        </w:tc>
        <w:tc>
          <w:tcPr>
            <w:tcW w:w="5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70</w:t>
      </w:r>
    </w:p>
    <w:p>
      <w:pPr>
        <w:sectPr>
          <w:pgSz w:w="12240" w:h="15840" w:orient="portrait"/>
          <w:cols w:equalWidth="0" w:num="1">
            <w:col w:w="11222"/>
          </w:cols>
          <w:pgMar w:left="498" w:top="687" w:right="520" w:bottom="0" w:gutter="0" w:footer="0" w:header="0"/>
        </w:sectPr>
      </w:pPr>
    </w:p>
    <w:bookmarkStart w:id="98" w:name="page99"/>
    <w:bookmarkEnd w:id="98"/>
    <w:p>
      <w:pPr>
        <w:jc w:val="center"/>
        <w:ind w:right="-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Policy Benefits and Unpaid Claims</w:t>
      </w:r>
      <w:r>
        <w:rPr>
          <w:rFonts w:ascii="Times New Roman" w:cs="Times New Roman" w:eastAsia="Times New Roman" w:hAnsi="Times New Roman"/>
          <w:sz w:val="18"/>
          <w:szCs w:val="18"/>
          <w:color w:val="auto"/>
        </w:rPr>
        <w:t xml:space="preserve"> (Continued)</w:t>
      </w:r>
    </w:p>
    <w:p>
      <w:pPr>
        <w:spacing w:after="0" w:line="2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Traditional and Limited-Payment Life</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summarizes the balances of and changes in the liability for future policy benefits for traditional and limited-payment life:</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DEDEDE"/>
            </w:tcBorders>
          </w:tcPr>
          <w:p>
            <w:pPr>
              <w:spacing w:after="0"/>
              <w:rPr>
                <w:sz w:val="19"/>
                <w:szCs w:val="19"/>
                <w:color w:val="auto"/>
              </w:rPr>
            </w:pPr>
          </w:p>
        </w:tc>
        <w:tc>
          <w:tcPr>
            <w:tcW w:w="18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Borders>
              <w:bottom w:val="single" w:sz="8" w:color="DEDEDE"/>
            </w:tcBorders>
          </w:tcPr>
          <w:p>
            <w:pPr>
              <w:spacing w:after="0"/>
              <w:rPr>
                <w:sz w:val="19"/>
                <w:szCs w:val="19"/>
                <w:color w:val="auto"/>
              </w:rPr>
            </w:pPr>
          </w:p>
        </w:tc>
        <w:tc>
          <w:tcPr>
            <w:tcW w:w="10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auto"/>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Present Value of Expected Net Premiums:</w:t>
            </w:r>
          </w:p>
        </w:tc>
        <w:tc>
          <w:tcPr>
            <w:tcW w:w="1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252,828,338</w:t>
            </w:r>
          </w:p>
        </w:tc>
        <w:tc>
          <w:tcPr>
            <w:tcW w:w="140" w:type="dxa"/>
            <w:vAlign w:val="bottom"/>
          </w:tcPr>
          <w:p>
            <w:pPr>
              <w:spacing w:after="0"/>
              <w:rPr>
                <w:sz w:val="18"/>
                <w:szCs w:val="18"/>
                <w:color w:val="auto"/>
              </w:rPr>
            </w:pP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261,319,018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Beginning balance at original discount rate</w:t>
            </w:r>
          </w:p>
        </w:tc>
        <w:tc>
          <w:tcPr>
            <w:tcW w:w="1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258,790,211</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259,735,586</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changes in cash flow assumptions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Effect of actual variances from expected experience (1)</w:t>
            </w:r>
          </w:p>
        </w:tc>
        <w:tc>
          <w:tcPr>
            <w:tcW w:w="180" w:type="dxa"/>
            <w:vAlign w:val="bottom"/>
            <w:shd w:val="clear" w:color="auto" w:fill="DEDEDE"/>
          </w:tcPr>
          <w:p>
            <w:pPr>
              <w:spacing w:after="0"/>
              <w:rPr>
                <w:sz w:val="19"/>
                <w:szCs w:val="19"/>
                <w:color w:val="auto"/>
              </w:rPr>
            </w:pPr>
          </w:p>
        </w:tc>
        <w:tc>
          <w:tcPr>
            <w:tcW w:w="340" w:type="dxa"/>
            <w:vAlign w:val="bottom"/>
            <w:shd w:val="clear" w:color="auto" w:fill="DEDEDE"/>
          </w:tcPr>
          <w:p>
            <w:pPr>
              <w:spacing w:after="0"/>
              <w:rPr>
                <w:sz w:val="19"/>
                <w:szCs w:val="19"/>
                <w:color w:val="auto"/>
              </w:rPr>
            </w:pPr>
          </w:p>
        </w:tc>
        <w:tc>
          <w:tcPr>
            <w:tcW w:w="13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(19,082,021)</w:t>
            </w:r>
          </w:p>
        </w:tc>
        <w:tc>
          <w:tcPr>
            <w:tcW w:w="100" w:type="dxa"/>
            <w:vAlign w:val="bottom"/>
            <w:shd w:val="clear" w:color="auto" w:fill="DEDEDE"/>
          </w:tcPr>
          <w:p>
            <w:pPr>
              <w:spacing w:after="0"/>
              <w:rPr>
                <w:sz w:val="19"/>
                <w:szCs w:val="19"/>
                <w:color w:val="auto"/>
              </w:rPr>
            </w:pPr>
          </w:p>
        </w:tc>
        <w:tc>
          <w:tcPr>
            <w:tcW w:w="480" w:type="dxa"/>
            <w:vAlign w:val="bottom"/>
            <w:shd w:val="clear" w:color="auto" w:fill="DEDEDE"/>
          </w:tcPr>
          <w:p>
            <w:pPr>
              <w:spacing w:after="0"/>
              <w:rPr>
                <w:sz w:val="19"/>
                <w:szCs w:val="19"/>
                <w:color w:val="auto"/>
              </w:rPr>
            </w:pPr>
          </w:p>
        </w:tc>
        <w:tc>
          <w:tcPr>
            <w:tcW w:w="114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(14,132,236)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Adjusted beginning of year balance</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239,708,190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245,603,350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Issuances</w:t>
            </w:r>
          </w:p>
        </w:tc>
        <w:tc>
          <w:tcPr>
            <w:tcW w:w="1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50,311,759</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53,853,867</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accrual</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12,184,348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Net premiums collected (2)</w:t>
            </w:r>
          </w:p>
        </w:tc>
        <w:tc>
          <w:tcPr>
            <w:tcW w:w="180" w:type="dxa"/>
            <w:vAlign w:val="bottom"/>
            <w:shd w:val="clear" w:color="auto" w:fill="DEDEDE"/>
          </w:tcPr>
          <w:p>
            <w:pPr>
              <w:spacing w:after="0"/>
              <w:rPr>
                <w:sz w:val="19"/>
                <w:szCs w:val="19"/>
                <w:color w:val="auto"/>
              </w:rPr>
            </w:pPr>
          </w:p>
        </w:tc>
        <w:tc>
          <w:tcPr>
            <w:tcW w:w="340" w:type="dxa"/>
            <w:vAlign w:val="bottom"/>
            <w:shd w:val="clear" w:color="auto" w:fill="DEDEDE"/>
          </w:tcPr>
          <w:p>
            <w:pPr>
              <w:spacing w:after="0"/>
              <w:rPr>
                <w:sz w:val="19"/>
                <w:szCs w:val="19"/>
                <w:color w:val="auto"/>
              </w:rPr>
            </w:pPr>
          </w:p>
        </w:tc>
        <w:tc>
          <w:tcPr>
            <w:tcW w:w="13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(51,872,527)</w:t>
            </w:r>
          </w:p>
        </w:tc>
        <w:tc>
          <w:tcPr>
            <w:tcW w:w="100" w:type="dxa"/>
            <w:vAlign w:val="bottom"/>
            <w:shd w:val="clear" w:color="auto" w:fill="DEDEDE"/>
          </w:tcPr>
          <w:p>
            <w:pPr>
              <w:spacing w:after="0"/>
              <w:rPr>
                <w:sz w:val="19"/>
                <w:szCs w:val="19"/>
                <w:color w:val="auto"/>
              </w:rPr>
            </w:pPr>
          </w:p>
        </w:tc>
        <w:tc>
          <w:tcPr>
            <w:tcW w:w="480" w:type="dxa"/>
            <w:vAlign w:val="bottom"/>
            <w:shd w:val="clear" w:color="auto" w:fill="DEDEDE"/>
          </w:tcPr>
          <w:p>
            <w:pPr>
              <w:spacing w:after="0"/>
              <w:rPr>
                <w:sz w:val="19"/>
                <w:szCs w:val="19"/>
                <w:color w:val="auto"/>
              </w:rPr>
            </w:pPr>
          </w:p>
        </w:tc>
        <w:tc>
          <w:tcPr>
            <w:tcW w:w="114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(53,220,587)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 at original discount rate</w:t>
            </w:r>
          </w:p>
        </w:tc>
        <w:tc>
          <w:tcPr>
            <w:tcW w:w="1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250,331,770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258,790,211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Effect of changes in discount rate assumptions</w:t>
            </w:r>
          </w:p>
        </w:tc>
        <w:tc>
          <w:tcPr>
            <w:tcW w:w="180" w:type="dxa"/>
            <w:vAlign w:val="bottom"/>
            <w:shd w:val="clear" w:color="auto" w:fill="DEDEDE"/>
          </w:tcPr>
          <w:p>
            <w:pPr>
              <w:spacing w:after="0"/>
              <w:rPr>
                <w:sz w:val="19"/>
                <w:szCs w:val="19"/>
                <w:color w:val="auto"/>
              </w:rPr>
            </w:pPr>
          </w:p>
        </w:tc>
        <w:tc>
          <w:tcPr>
            <w:tcW w:w="340" w:type="dxa"/>
            <w:vAlign w:val="bottom"/>
            <w:shd w:val="clear" w:color="auto" w:fill="DEDEDE"/>
          </w:tcPr>
          <w:p>
            <w:pPr>
              <w:spacing w:after="0"/>
              <w:rPr>
                <w:sz w:val="19"/>
                <w:szCs w:val="19"/>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118,532</w:t>
            </w:r>
          </w:p>
        </w:tc>
        <w:tc>
          <w:tcPr>
            <w:tcW w:w="14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480" w:type="dxa"/>
            <w:vAlign w:val="bottom"/>
            <w:shd w:val="clear" w:color="auto" w:fill="DEDEDE"/>
          </w:tcPr>
          <w:p>
            <w:pPr>
              <w:spacing w:after="0"/>
              <w:rPr>
                <w:sz w:val="19"/>
                <w:szCs w:val="19"/>
                <w:color w:val="auto"/>
              </w:rPr>
            </w:pPr>
          </w:p>
        </w:tc>
        <w:tc>
          <w:tcPr>
            <w:tcW w:w="114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(5,961,873)</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38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bottom w:val="single" w:sz="8" w:color="DEDED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250,450,302</w:t>
            </w:r>
          </w:p>
        </w:tc>
        <w:tc>
          <w:tcPr>
            <w:tcW w:w="140" w:type="dxa"/>
            <w:vAlign w:val="bottom"/>
            <w:tcBorders>
              <w:bottom w:val="single" w:sz="8" w:color="DEDEDE"/>
            </w:tcBorders>
          </w:tcPr>
          <w:p>
            <w:pPr>
              <w:spacing w:after="0"/>
              <w:rPr>
                <w:sz w:val="22"/>
                <w:szCs w:val="22"/>
                <w:color w:val="auto"/>
              </w:rPr>
            </w:pPr>
          </w:p>
        </w:tc>
        <w:tc>
          <w:tcPr>
            <w:tcW w:w="100" w:type="dxa"/>
            <w:vAlign w:val="bottom"/>
            <w:tcBorders>
              <w:bottom w:val="single" w:sz="8" w:color="DEDEDE"/>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252,828,338</w:t>
            </w:r>
          </w:p>
        </w:tc>
        <w:tc>
          <w:tcPr>
            <w:tcW w:w="80" w:type="dxa"/>
            <w:vAlign w:val="bottom"/>
            <w:tcBorders>
              <w:bottom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3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34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00" w:type="dxa"/>
            <w:vAlign w:val="bottom"/>
            <w:shd w:val="clear" w:color="auto" w:fill="DEDEDE"/>
          </w:tcPr>
          <w:p>
            <w:pPr>
              <w:spacing w:after="0"/>
              <w:rPr>
                <w:sz w:val="17"/>
                <w:szCs w:val="17"/>
                <w:color w:val="auto"/>
              </w:rPr>
            </w:pPr>
          </w:p>
        </w:tc>
        <w:tc>
          <w:tcPr>
            <w:tcW w:w="480" w:type="dxa"/>
            <w:vAlign w:val="bottom"/>
            <w:shd w:val="clear" w:color="auto" w:fill="DEDEDE"/>
          </w:tcPr>
          <w:p>
            <w:pPr>
              <w:spacing w:after="0"/>
              <w:rPr>
                <w:sz w:val="17"/>
                <w:szCs w:val="17"/>
                <w:color w:val="auto"/>
              </w:rPr>
            </w:pPr>
          </w:p>
        </w:tc>
        <w:tc>
          <w:tcPr>
            <w:tcW w:w="106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rPr>
              <w:t>Present Value of Expected Future Policy Benefits: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520" w:type="dxa"/>
            <w:vAlign w:val="bottom"/>
            <w:gridSpan w:val="2"/>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800,812,826</w:t>
            </w:r>
          </w:p>
        </w:tc>
        <w:tc>
          <w:tcPr>
            <w:tcW w:w="140" w:type="dxa"/>
            <w:vAlign w:val="bottom"/>
            <w:shd w:val="clear" w:color="auto" w:fill="DEDEDE"/>
          </w:tcPr>
          <w:p>
            <w:pPr>
              <w:spacing w:after="0"/>
              <w:rPr>
                <w:sz w:val="18"/>
                <w:szCs w:val="18"/>
                <w:color w:val="auto"/>
              </w:rPr>
            </w:pPr>
          </w:p>
        </w:tc>
        <w:tc>
          <w:tcPr>
            <w:tcW w:w="580" w:type="dxa"/>
            <w:vAlign w:val="bottom"/>
            <w:gridSpan w:val="2"/>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833,621,080</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Beginning balance at original discount rate</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858,516,933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838,813,645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Effect of changes in cash flow assumptions</w:t>
            </w:r>
          </w:p>
        </w:tc>
        <w:tc>
          <w:tcPr>
            <w:tcW w:w="1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1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actual variances from expected experience (1)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(15,224,887)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(12,409,158)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Adjusted beginning of year balance</w:t>
            </w:r>
          </w:p>
        </w:tc>
        <w:tc>
          <w:tcPr>
            <w:tcW w:w="180" w:type="dxa"/>
            <w:vAlign w:val="bottom"/>
            <w:tcBorders>
              <w:top w:val="single" w:sz="8" w:color="DEDEDE"/>
            </w:tcBorders>
            <w:shd w:val="clear" w:color="auto" w:fill="DEDEDE"/>
          </w:tcPr>
          <w:p>
            <w:pPr>
              <w:spacing w:after="0"/>
              <w:rPr>
                <w:sz w:val="18"/>
                <w:szCs w:val="18"/>
                <w:color w:val="auto"/>
              </w:rPr>
            </w:pPr>
          </w:p>
        </w:tc>
        <w:tc>
          <w:tcPr>
            <w:tcW w:w="340" w:type="dxa"/>
            <w:vAlign w:val="bottom"/>
            <w:tcBorders>
              <w:top w:val="single" w:sz="8" w:color="auto"/>
            </w:tcBorders>
            <w:shd w:val="clear" w:color="auto" w:fill="DEDEDE"/>
          </w:tcPr>
          <w:p>
            <w:pPr>
              <w:spacing w:after="0"/>
              <w:rPr>
                <w:sz w:val="18"/>
                <w:szCs w:val="18"/>
                <w:color w:val="auto"/>
              </w:rPr>
            </w:pPr>
          </w:p>
        </w:tc>
        <w:tc>
          <w:tcPr>
            <w:tcW w:w="12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843,292,046</w:t>
            </w:r>
          </w:p>
        </w:tc>
        <w:tc>
          <w:tcPr>
            <w:tcW w:w="1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480" w:type="dxa"/>
            <w:vAlign w:val="bottom"/>
            <w:tcBorders>
              <w:top w:val="single" w:sz="8" w:color="auto"/>
            </w:tcBorders>
            <w:shd w:val="clear" w:color="auto" w:fill="DEDEDE"/>
          </w:tcPr>
          <w:p>
            <w:pPr>
              <w:spacing w:after="0"/>
              <w:rPr>
                <w:sz w:val="18"/>
                <w:szCs w:val="18"/>
                <w:color w:val="auto"/>
              </w:rPr>
            </w:pPr>
          </w:p>
        </w:tc>
        <w:tc>
          <w:tcPr>
            <w:tcW w:w="10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826,404,487</w:t>
            </w:r>
          </w:p>
        </w:tc>
        <w:tc>
          <w:tcPr>
            <w:tcW w:w="8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Issuances</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50,684,159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55,415,178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Interest accrual</w:t>
            </w:r>
          </w:p>
        </w:tc>
        <w:tc>
          <w:tcPr>
            <w:tcW w:w="1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41,342,032</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40,743,098</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Benefit payments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(68,140,720)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(64,045,830)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8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Ending balance at original discount rate</w:t>
            </w:r>
          </w:p>
        </w:tc>
        <w:tc>
          <w:tcPr>
            <w:tcW w:w="180" w:type="dxa"/>
            <w:vAlign w:val="bottom"/>
            <w:tcBorders>
              <w:top w:val="single" w:sz="8" w:color="DEDEDE"/>
            </w:tcBorders>
            <w:shd w:val="clear" w:color="auto" w:fill="DEDEDE"/>
          </w:tcPr>
          <w:p>
            <w:pPr>
              <w:spacing w:after="0"/>
              <w:rPr>
                <w:sz w:val="18"/>
                <w:szCs w:val="18"/>
                <w:color w:val="auto"/>
              </w:rPr>
            </w:pPr>
          </w:p>
        </w:tc>
        <w:tc>
          <w:tcPr>
            <w:tcW w:w="340" w:type="dxa"/>
            <w:vAlign w:val="bottom"/>
            <w:tcBorders>
              <w:top w:val="single" w:sz="8" w:color="auto"/>
            </w:tcBorders>
            <w:shd w:val="clear" w:color="auto" w:fill="DEDEDE"/>
          </w:tcPr>
          <w:p>
            <w:pPr>
              <w:spacing w:after="0"/>
              <w:rPr>
                <w:sz w:val="18"/>
                <w:szCs w:val="18"/>
                <w:color w:val="auto"/>
              </w:rPr>
            </w:pPr>
          </w:p>
        </w:tc>
        <w:tc>
          <w:tcPr>
            <w:tcW w:w="12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867,177,517</w:t>
            </w:r>
          </w:p>
        </w:tc>
        <w:tc>
          <w:tcPr>
            <w:tcW w:w="1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480" w:type="dxa"/>
            <w:vAlign w:val="bottom"/>
            <w:tcBorders>
              <w:top w:val="single" w:sz="8" w:color="auto"/>
            </w:tcBorders>
            <w:shd w:val="clear" w:color="auto" w:fill="DEDEDE"/>
          </w:tcPr>
          <w:p>
            <w:pPr>
              <w:spacing w:after="0"/>
              <w:rPr>
                <w:sz w:val="18"/>
                <w:szCs w:val="18"/>
                <w:color w:val="auto"/>
              </w:rPr>
            </w:pPr>
          </w:p>
        </w:tc>
        <w:tc>
          <w:tcPr>
            <w:tcW w:w="10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858,516,933</w:t>
            </w:r>
          </w:p>
        </w:tc>
        <w:tc>
          <w:tcPr>
            <w:tcW w:w="8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changes in discount rate assumptions</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(35,337,817)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(57,704,107)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340" w:type="dxa"/>
            <w:vAlign w:val="bottom"/>
            <w:tcBorders>
              <w:top w:val="single" w:sz="8" w:color="auto"/>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831,839,700</w:t>
            </w: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c>
          <w:tcPr>
            <w:tcW w:w="480" w:type="dxa"/>
            <w:vAlign w:val="bottom"/>
            <w:tcBorders>
              <w:top w:val="single" w:sz="8" w:color="auto"/>
              <w:bottom w:val="single" w:sz="8" w:color="auto"/>
            </w:tcBorders>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800,812,826</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liability for future policy benefits, pre-flooring</w:t>
            </w:r>
          </w:p>
        </w:tc>
        <w:tc>
          <w:tcPr>
            <w:tcW w:w="520" w:type="dxa"/>
            <w:vAlign w:val="bottom"/>
            <w:gridSpan w:val="2"/>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581,309,175</w:t>
            </w:r>
          </w:p>
        </w:tc>
        <w:tc>
          <w:tcPr>
            <w:tcW w:w="140" w:type="dxa"/>
            <w:vAlign w:val="bottom"/>
            <w:shd w:val="clear" w:color="auto" w:fill="DEDEDE"/>
          </w:tcPr>
          <w:p>
            <w:pPr>
              <w:spacing w:after="0"/>
              <w:rPr>
                <w:sz w:val="18"/>
                <w:szCs w:val="18"/>
                <w:color w:val="auto"/>
              </w:rPr>
            </w:pPr>
          </w:p>
        </w:tc>
        <w:tc>
          <w:tcPr>
            <w:tcW w:w="580" w:type="dxa"/>
            <w:vAlign w:val="bottom"/>
            <w:gridSpan w:val="2"/>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547,983,396</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DEDEDE"/>
            </w:tcBorders>
          </w:tcPr>
          <w:p>
            <w:pPr>
              <w:ind w:left="160"/>
              <w:spacing w:after="0"/>
              <w:rPr>
                <w:sz w:val="20"/>
                <w:szCs w:val="20"/>
                <w:color w:val="auto"/>
              </w:rPr>
            </w:pPr>
            <w:r>
              <w:rPr>
                <w:rFonts w:ascii="Times New Roman" w:cs="Times New Roman" w:eastAsia="Times New Roman" w:hAnsi="Times New Roman"/>
                <w:sz w:val="18"/>
                <w:szCs w:val="18"/>
                <w:color w:val="auto"/>
              </w:rPr>
              <w:t>Flooring impact, end of period</w:t>
            </w:r>
          </w:p>
        </w:tc>
        <w:tc>
          <w:tcPr>
            <w:tcW w:w="18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80,224</w:t>
            </w:r>
          </w:p>
        </w:tc>
        <w:tc>
          <w:tcPr>
            <w:tcW w:w="140" w:type="dxa"/>
            <w:vAlign w:val="bottom"/>
            <w:tcBorders>
              <w:bottom w:val="single" w:sz="8" w:color="DEDEDE"/>
            </w:tcBorders>
          </w:tcPr>
          <w:p>
            <w:pPr>
              <w:spacing w:after="0"/>
              <w:rPr>
                <w:sz w:val="19"/>
                <w:szCs w:val="19"/>
                <w:color w:val="auto"/>
              </w:rPr>
            </w:pPr>
          </w:p>
        </w:tc>
        <w:tc>
          <w:tcPr>
            <w:tcW w:w="10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liability for future policy benefits, post-flooring</w:t>
            </w:r>
          </w:p>
        </w:tc>
        <w:tc>
          <w:tcPr>
            <w:tcW w:w="1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581,389,399</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547,984,488</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tcBorders>
              <w:bottom w:val="single" w:sz="8" w:color="DEDEDE"/>
            </w:tcBorders>
          </w:tcPr>
          <w:p>
            <w:pPr>
              <w:ind w:left="160"/>
              <w:spacing w:after="0"/>
              <w:rPr>
                <w:sz w:val="20"/>
                <w:szCs w:val="20"/>
                <w:color w:val="auto"/>
              </w:rPr>
            </w:pPr>
            <w:r>
              <w:rPr>
                <w:rFonts w:ascii="Times New Roman" w:cs="Times New Roman" w:eastAsia="Times New Roman" w:hAnsi="Times New Roman"/>
                <w:sz w:val="18"/>
                <w:szCs w:val="18"/>
                <w:color w:val="auto"/>
              </w:rPr>
              <w:t>Less: Receivable from reinsurers</w:t>
            </w:r>
          </w:p>
        </w:tc>
        <w:tc>
          <w:tcPr>
            <w:tcW w:w="18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9,186,983</w:t>
            </w:r>
          </w:p>
        </w:tc>
        <w:tc>
          <w:tcPr>
            <w:tcW w:w="140" w:type="dxa"/>
            <w:vAlign w:val="bottom"/>
            <w:tcBorders>
              <w:bottom w:val="single" w:sz="8" w:color="DEDEDE"/>
            </w:tcBorders>
          </w:tcPr>
          <w:p>
            <w:pPr>
              <w:spacing w:after="0"/>
              <w:rPr>
                <w:sz w:val="19"/>
                <w:szCs w:val="19"/>
                <w:color w:val="auto"/>
              </w:rPr>
            </w:pPr>
          </w:p>
        </w:tc>
        <w:tc>
          <w:tcPr>
            <w:tcW w:w="10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9,252,984</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8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liability for future policy benefits, after reinsurance</w:t>
            </w:r>
          </w:p>
        </w:tc>
        <w:tc>
          <w:tcPr>
            <w:tcW w:w="180" w:type="dxa"/>
            <w:vAlign w:val="bottom"/>
            <w:tcBorders>
              <w:bottom w:val="single" w:sz="8" w:color="DEDEDE"/>
            </w:tcBorders>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572,202,416</w:t>
            </w:r>
          </w:p>
        </w:tc>
        <w:tc>
          <w:tcPr>
            <w:tcW w:w="140" w:type="dxa"/>
            <w:vAlign w:val="bottom"/>
            <w:tcBorders>
              <w:bottom w:val="single" w:sz="8" w:color="DEDEDE"/>
            </w:tcBorders>
            <w:shd w:val="clear" w:color="auto" w:fill="DEDEDE"/>
          </w:tcPr>
          <w:p>
            <w:pPr>
              <w:spacing w:after="0"/>
              <w:rPr>
                <w:sz w:val="19"/>
                <w:szCs w:val="19"/>
                <w:color w:val="auto"/>
              </w:rPr>
            </w:pPr>
          </w:p>
        </w:tc>
        <w:tc>
          <w:tcPr>
            <w:tcW w:w="100" w:type="dxa"/>
            <w:vAlign w:val="bottom"/>
            <w:tcBorders>
              <w:bottom w:val="single" w:sz="8" w:color="DEDEDE"/>
            </w:tcBorders>
            <w:shd w:val="clear" w:color="auto" w:fill="DEDEDE"/>
          </w:tcPr>
          <w:p>
            <w:pPr>
              <w:spacing w:after="0"/>
              <w:rPr>
                <w:sz w:val="19"/>
                <w:szCs w:val="19"/>
                <w:color w:val="auto"/>
              </w:rPr>
            </w:pPr>
          </w:p>
        </w:tc>
        <w:tc>
          <w:tcPr>
            <w:tcW w:w="480" w:type="dxa"/>
            <w:vAlign w:val="bottom"/>
            <w:tcBorders>
              <w:bottom w:val="single" w:sz="8" w:color="auto"/>
            </w:tcBorders>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538,731,504</w:t>
            </w:r>
          </w:p>
        </w:tc>
        <w:tc>
          <w:tcPr>
            <w:tcW w:w="80" w:type="dxa"/>
            <w:vAlign w:val="bottom"/>
            <w:tcBorders>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322" w:hanging="322"/>
        <w:spacing w:after="0" w:line="250" w:lineRule="auto"/>
        <w:tabs>
          <w:tab w:leader="none" w:pos="32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2025, and 2024, the net effect of actual variances from expected experience was primarily due to lapses. Actual mortality and surrenders were close to expected.</w:t>
      </w:r>
    </w:p>
    <w:p>
      <w:pPr>
        <w:ind w:left="322" w:hanging="322"/>
        <w:spacing w:after="0"/>
        <w:tabs>
          <w:tab w:leader="none" w:pos="32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collected represent the portion of gross premiums collected from policyholders that is used to fund expected benefit payments.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71</w:t>
      </w:r>
    </w:p>
    <w:p>
      <w:pPr>
        <w:sectPr>
          <w:pgSz w:w="12240" w:h="15840" w:orient="portrait"/>
          <w:cols w:equalWidth="0" w:num="1">
            <w:col w:w="11222"/>
          </w:cols>
          <w:pgMar w:left="498" w:top="687" w:right="520" w:bottom="0" w:gutter="0" w:footer="0" w:header="0"/>
        </w:sectPr>
      </w:pPr>
    </w:p>
    <w:bookmarkStart w:id="99" w:name="page100"/>
    <w:bookmarkEnd w:id="99"/>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Policy Benefits and Unpaid Claims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right="20"/>
        <w:spacing w:after="0" w:line="283" w:lineRule="auto"/>
        <w:rPr>
          <w:sz w:val="20"/>
          <w:szCs w:val="20"/>
          <w:color w:val="auto"/>
        </w:rPr>
      </w:pPr>
      <w:r>
        <w:rPr>
          <w:rFonts w:ascii="Times New Roman" w:cs="Times New Roman" w:eastAsia="Times New Roman" w:hAnsi="Times New Roman"/>
          <w:sz w:val="18"/>
          <w:szCs w:val="18"/>
          <w:color w:val="auto"/>
        </w:rPr>
        <w:t>The following table summarizes the amount of undiscounted and discounted expected gross premiums and expected future benefit payments for traditional and limited-payment life:</w:t>
      </w:r>
    </w:p>
    <w:p>
      <w:pPr>
        <w:spacing w:after="0" w:line="173"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136"/>
              <w:spacing w:after="0"/>
              <w:rPr>
                <w:sz w:val="20"/>
                <w:szCs w:val="20"/>
                <w:color w:val="auto"/>
              </w:rPr>
            </w:pPr>
            <w:r>
              <w:rPr>
                <w:rFonts w:ascii="Times New Roman" w:cs="Times New Roman" w:eastAsia="Times New Roman" w:hAnsi="Times New Roman"/>
                <w:sz w:val="18"/>
                <w:szCs w:val="18"/>
                <w:color w:val="auto"/>
              </w:rPr>
              <w:t>December 31,</w:t>
            </w:r>
          </w:p>
        </w:tc>
        <w:tc>
          <w:tcPr>
            <w:tcW w:w="13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Borders>
              <w:bottom w:val="single" w:sz="8" w:color="DEDEDE"/>
            </w:tcBorders>
          </w:tcPr>
          <w:p>
            <w:pPr>
              <w:spacing w:after="0"/>
              <w:rPr>
                <w:sz w:val="19"/>
                <w:szCs w:val="19"/>
                <w:color w:val="auto"/>
              </w:rPr>
            </w:pPr>
          </w:p>
        </w:tc>
        <w:tc>
          <w:tcPr>
            <w:tcW w:w="920" w:type="dxa"/>
            <w:vAlign w:val="bottom"/>
            <w:tcBorders>
              <w:bottom w:val="single" w:sz="8" w:color="DEDED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DEDEDE"/>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Undiscounted expected future benefit payments</w:t>
            </w:r>
          </w:p>
        </w:tc>
        <w:tc>
          <w:tcPr>
            <w:tcW w:w="920" w:type="dxa"/>
            <w:vAlign w:val="bottom"/>
            <w:shd w:val="clear" w:color="auto" w:fill="DEDEDE"/>
          </w:tcPr>
          <w:p>
            <w:pPr>
              <w:spacing w:after="0"/>
              <w:rPr>
                <w:sz w:val="18"/>
                <w:szCs w:val="18"/>
                <w:color w:val="auto"/>
              </w:rPr>
            </w:pPr>
          </w:p>
        </w:tc>
        <w:tc>
          <w:tcPr>
            <w:tcW w:w="440" w:type="dxa"/>
            <w:vAlign w:val="bottom"/>
            <w:shd w:val="clear" w:color="auto" w:fill="DEDED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1,929,788,387</w:t>
            </w:r>
          </w:p>
        </w:tc>
        <w:tc>
          <w:tcPr>
            <w:tcW w:w="320" w:type="dxa"/>
            <w:vAlign w:val="bottom"/>
            <w:shd w:val="clear" w:color="auto" w:fill="DEDEDE"/>
          </w:tcPr>
          <w:p>
            <w:pPr>
              <w:spacing w:after="0"/>
              <w:rPr>
                <w:sz w:val="18"/>
                <w:szCs w:val="18"/>
                <w:color w:val="auto"/>
              </w:rPr>
            </w:pPr>
          </w:p>
        </w:tc>
        <w:tc>
          <w:tcPr>
            <w:tcW w:w="560" w:type="dxa"/>
            <w:vAlign w:val="bottom"/>
            <w:shd w:val="clear" w:color="auto" w:fill="DEDEDE"/>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1,924,273,198</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Discounted expected future benefit payments (at original discount rate)</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867,097,293</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858,515,841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Discounted expected future benefit payments (at current discount rate)</w:t>
            </w:r>
          </w:p>
        </w:tc>
        <w:tc>
          <w:tcPr>
            <w:tcW w:w="9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831,839,700</w:t>
            </w:r>
          </w:p>
        </w:tc>
        <w:tc>
          <w:tcPr>
            <w:tcW w:w="320" w:type="dxa"/>
            <w:vAlign w:val="bottom"/>
            <w:shd w:val="clear" w:color="auto" w:fill="DEDEDE"/>
          </w:tcPr>
          <w:p>
            <w:pPr>
              <w:spacing w:after="0"/>
              <w:rPr>
                <w:sz w:val="18"/>
                <w:szCs w:val="18"/>
                <w:color w:val="auto"/>
              </w:rPr>
            </w:pPr>
          </w:p>
        </w:tc>
        <w:tc>
          <w:tcPr>
            <w:tcW w:w="560" w:type="dxa"/>
            <w:vAlign w:val="bottom"/>
            <w:shd w:val="clear" w:color="auto" w:fill="DEDEDE"/>
          </w:tcPr>
          <w:p>
            <w:pPr>
              <w:spacing w:after="0"/>
              <w:rPr>
                <w:sz w:val="18"/>
                <w:szCs w:val="18"/>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800,812,826</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Undiscounted expected future gross premiums</w:t>
            </w:r>
          </w:p>
        </w:tc>
        <w:tc>
          <w:tcPr>
            <w:tcW w:w="1360" w:type="dxa"/>
            <w:vAlign w:val="bottom"/>
            <w:gridSpan w:val="2"/>
            <w:shd w:val="clear" w:color="auto" w:fill="DEDED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813,914,337</w:t>
            </w:r>
          </w:p>
        </w:tc>
        <w:tc>
          <w:tcPr>
            <w:tcW w:w="880" w:type="dxa"/>
            <w:vAlign w:val="bottom"/>
            <w:gridSpan w:val="2"/>
            <w:shd w:val="clear" w:color="auto" w:fill="DEDEDE"/>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832,580,093</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Discounted expected future gross premiums (at original discount rate)</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544,923,472</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556,009,689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Discounted expected future gross premiums (at current discount rate)</w:t>
            </w:r>
          </w:p>
        </w:tc>
        <w:tc>
          <w:tcPr>
            <w:tcW w:w="9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545,181,493</w:t>
            </w:r>
          </w:p>
        </w:tc>
        <w:tc>
          <w:tcPr>
            <w:tcW w:w="320" w:type="dxa"/>
            <w:vAlign w:val="bottom"/>
            <w:shd w:val="clear" w:color="auto" w:fill="DEDEDE"/>
          </w:tcPr>
          <w:p>
            <w:pPr>
              <w:spacing w:after="0"/>
              <w:rPr>
                <w:sz w:val="18"/>
                <w:szCs w:val="18"/>
                <w:color w:val="auto"/>
              </w:rPr>
            </w:pPr>
          </w:p>
        </w:tc>
        <w:tc>
          <w:tcPr>
            <w:tcW w:w="560" w:type="dxa"/>
            <w:vAlign w:val="bottom"/>
            <w:shd w:val="clear" w:color="auto" w:fill="DEDEDE"/>
          </w:tcPr>
          <w:p>
            <w:pPr>
              <w:spacing w:after="0"/>
              <w:rPr>
                <w:sz w:val="18"/>
                <w:szCs w:val="18"/>
                <w:color w:val="auto"/>
              </w:rPr>
            </w:pPr>
          </w:p>
        </w:tc>
        <w:tc>
          <w:tcPr>
            <w:tcW w:w="13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543,200,631</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following table summarizes the amount of gross premiums and interest accretion recognized in insurance premiums and other considerations and increase in future policy benefits, respectively, in the consolidated statements of earnings for traditional and limited-payment life:</w:t>
      </w:r>
    </w:p>
    <w:p>
      <w:pPr>
        <w:spacing w:after="0" w:line="173"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3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060" w:type="dxa"/>
            <w:vAlign w:val="bottom"/>
            <w:tcBorders>
              <w:bottom w:val="single" w:sz="8" w:color="DEDEDE"/>
            </w:tcBorders>
          </w:tcPr>
          <w:p>
            <w:pPr>
              <w:spacing w:after="0"/>
              <w:rPr>
                <w:sz w:val="19"/>
                <w:szCs w:val="19"/>
                <w:color w:val="auto"/>
              </w:rPr>
            </w:pPr>
          </w:p>
        </w:tc>
        <w:tc>
          <w:tcPr>
            <w:tcW w:w="1820" w:type="dxa"/>
            <w:vAlign w:val="bottom"/>
            <w:tcBorders>
              <w:bottom w:val="single" w:sz="8" w:color="DEDED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Borders>
              <w:bottom w:val="single" w:sz="8" w:color="DEDED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10"/>
        </w:trPr>
        <w:tc>
          <w:tcPr>
            <w:tcW w:w="30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Gross premiums</w:t>
            </w:r>
          </w:p>
        </w:tc>
        <w:tc>
          <w:tcPr>
            <w:tcW w:w="1820" w:type="dxa"/>
            <w:vAlign w:val="bottom"/>
            <w:shd w:val="clear" w:color="auto" w:fill="DEDEDE"/>
          </w:tcPr>
          <w:p>
            <w:pPr>
              <w:spacing w:after="0"/>
              <w:rPr>
                <w:sz w:val="18"/>
                <w:szCs w:val="18"/>
                <w:color w:val="auto"/>
              </w:rPr>
            </w:pPr>
          </w:p>
        </w:tc>
        <w:tc>
          <w:tcPr>
            <w:tcW w:w="260" w:type="dxa"/>
            <w:vAlign w:val="bottom"/>
            <w:shd w:val="clear" w:color="auto" w:fill="DEDED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118,920,945</w:t>
            </w:r>
          </w:p>
        </w:tc>
        <w:tc>
          <w:tcPr>
            <w:tcW w:w="220" w:type="dxa"/>
            <w:vAlign w:val="bottom"/>
            <w:shd w:val="clear" w:color="auto" w:fill="DEDEDE"/>
          </w:tcPr>
          <w:p>
            <w:pPr>
              <w:spacing w:after="0"/>
              <w:rPr>
                <w:sz w:val="18"/>
                <w:szCs w:val="18"/>
                <w:color w:val="auto"/>
              </w:rPr>
            </w:pPr>
          </w:p>
        </w:tc>
        <w:tc>
          <w:tcPr>
            <w:tcW w:w="420" w:type="dxa"/>
            <w:vAlign w:val="bottom"/>
            <w:shd w:val="clear" w:color="auto" w:fill="DEDED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9"/>
              </w:rPr>
              <w:t>118,722,900</w:t>
            </w:r>
          </w:p>
        </w:tc>
        <w:tc>
          <w:tcPr>
            <w:tcW w:w="80" w:type="dxa"/>
            <w:vAlign w:val="bottom"/>
            <w:shd w:val="clear" w:color="auto" w:fill="DEDEDE"/>
          </w:tcPr>
          <w:p>
            <w:pPr>
              <w:spacing w:after="0"/>
              <w:rPr>
                <w:sz w:val="18"/>
                <w:szCs w:val="18"/>
                <w:color w:val="auto"/>
              </w:rPr>
            </w:pPr>
          </w:p>
        </w:tc>
      </w:tr>
      <w:tr>
        <w:trPr>
          <w:trHeight w:val="23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Interest accretion</w:t>
            </w:r>
          </w:p>
        </w:tc>
        <w:tc>
          <w:tcPr>
            <w:tcW w:w="20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29,157,684</w:t>
            </w:r>
          </w:p>
        </w:tc>
        <w:tc>
          <w:tcPr>
            <w:tcW w:w="6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28,189,517</w:t>
            </w:r>
          </w:p>
        </w:tc>
        <w:tc>
          <w:tcPr>
            <w:tcW w:w="80" w:type="dxa"/>
            <w:vAlign w:val="bottom"/>
          </w:tcPr>
          <w:p>
            <w:pPr>
              <w:spacing w:after="0"/>
              <w:rPr>
                <w:sz w:val="20"/>
                <w:szCs w:val="20"/>
                <w:color w:val="auto"/>
              </w:rPr>
            </w:pPr>
          </w:p>
        </w:tc>
      </w:tr>
    </w:tbl>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summarizes the weighted-average interest rates for traditional and limited-payment life:</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47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December 31,</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4"/>
        </w:trPr>
        <w:tc>
          <w:tcPr>
            <w:tcW w:w="4760" w:type="dxa"/>
            <w:vAlign w:val="bottom"/>
            <w:tcBorders>
              <w:bottom w:val="single" w:sz="8" w:color="DEDEDE"/>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bottom w:val="single" w:sz="8" w:color="auto"/>
            </w:tcBorders>
          </w:tcPr>
          <w:p>
            <w:pPr>
              <w:spacing w:after="0"/>
              <w:rPr>
                <w:sz w:val="19"/>
                <w:szCs w:val="19"/>
                <w:color w:val="auto"/>
              </w:rPr>
            </w:pPr>
          </w:p>
        </w:tc>
        <w:tc>
          <w:tcPr>
            <w:tcW w:w="300" w:type="dxa"/>
            <w:vAlign w:val="bottom"/>
            <w:tcBorders>
              <w:bottom w:val="single" w:sz="8" w:color="DEDEDE"/>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DEDEDE"/>
            </w:tcBorders>
          </w:tcPr>
          <w:p>
            <w:pPr>
              <w:spacing w:after="0"/>
              <w:rPr>
                <w:sz w:val="19"/>
                <w:szCs w:val="19"/>
                <w:color w:val="auto"/>
              </w:rPr>
            </w:pPr>
          </w:p>
        </w:tc>
      </w:tr>
      <w:tr>
        <w:trPr>
          <w:trHeight w:val="209"/>
        </w:trPr>
        <w:tc>
          <w:tcPr>
            <w:tcW w:w="47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Interest accretion rate</w:t>
            </w:r>
          </w:p>
        </w:tc>
        <w:tc>
          <w:tcPr>
            <w:tcW w:w="900" w:type="dxa"/>
            <w:vAlign w:val="bottom"/>
            <w:shd w:val="clear" w:color="auto" w:fill="DEDEDE"/>
          </w:tcPr>
          <w:p>
            <w:pPr>
              <w:spacing w:after="0"/>
              <w:rPr>
                <w:sz w:val="18"/>
                <w:szCs w:val="18"/>
                <w:color w:val="auto"/>
              </w:rPr>
            </w:pPr>
          </w:p>
        </w:tc>
        <w:tc>
          <w:tcPr>
            <w:tcW w:w="72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8"/>
                <w:szCs w:val="18"/>
                <w:color w:val="auto"/>
              </w:rPr>
              <w:t>4.90%</w:t>
            </w:r>
          </w:p>
        </w:tc>
        <w:tc>
          <w:tcPr>
            <w:tcW w:w="420" w:type="dxa"/>
            <w:vAlign w:val="bottom"/>
            <w:shd w:val="clear" w:color="auto" w:fill="DEDEDE"/>
          </w:tcPr>
          <w:p>
            <w:pPr>
              <w:spacing w:after="0"/>
              <w:rPr>
                <w:sz w:val="18"/>
                <w:szCs w:val="18"/>
                <w:color w:val="auto"/>
              </w:rPr>
            </w:pPr>
          </w:p>
        </w:tc>
        <w:tc>
          <w:tcPr>
            <w:tcW w:w="10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4.90%</w:t>
            </w:r>
          </w:p>
        </w:tc>
      </w:tr>
      <w:tr>
        <w:trPr>
          <w:trHeight w:val="235"/>
        </w:trPr>
        <w:tc>
          <w:tcPr>
            <w:tcW w:w="5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discount rate</w:t>
            </w: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6.00%</w:t>
            </w:r>
          </w:p>
        </w:tc>
        <w:tc>
          <w:tcPr>
            <w:tcW w:w="4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w:t>
            </w:r>
          </w:p>
        </w:tc>
      </w:tr>
    </w:tbl>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summarizes the weighted-average duration of the liability for traditional and limited-payment life:</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48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December 31,</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4"/>
        </w:trPr>
        <w:tc>
          <w:tcPr>
            <w:tcW w:w="4880" w:type="dxa"/>
            <w:vAlign w:val="bottom"/>
            <w:tcBorders>
              <w:bottom w:val="single" w:sz="8" w:color="DEDEDE"/>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DEDEDE"/>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10"/>
        </w:trPr>
        <w:tc>
          <w:tcPr>
            <w:tcW w:w="48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Duration of the liability in years (at original discount rate)</w:t>
            </w:r>
          </w:p>
        </w:tc>
        <w:tc>
          <w:tcPr>
            <w:tcW w:w="900" w:type="dxa"/>
            <w:vAlign w:val="bottom"/>
            <w:shd w:val="clear" w:color="auto" w:fill="DEDEDE"/>
          </w:tcPr>
          <w:p>
            <w:pPr>
              <w:spacing w:after="0"/>
              <w:rPr>
                <w:sz w:val="18"/>
                <w:szCs w:val="18"/>
                <w:color w:val="auto"/>
              </w:rPr>
            </w:pPr>
          </w:p>
        </w:tc>
        <w:tc>
          <w:tcPr>
            <w:tcW w:w="4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DEDEDE"/>
          </w:tcPr>
          <w:p>
            <w:pPr>
              <w:spacing w:after="0"/>
              <w:rPr>
                <w:sz w:val="18"/>
                <w:szCs w:val="18"/>
                <w:color w:val="auto"/>
              </w:rPr>
            </w:pPr>
          </w:p>
        </w:tc>
      </w:tr>
      <w:tr>
        <w:trPr>
          <w:trHeight w:val="235"/>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Duration of the liability in years (at current discount rate)</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20"/>
                <w:szCs w:val="20"/>
                <w:color w:val="auto"/>
              </w:rPr>
            </w:pPr>
          </w:p>
        </w:tc>
      </w:tr>
    </w:tbl>
    <w:p>
      <w:pPr>
        <w:spacing w:after="0" w:line="17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Adverse Development</w:t>
      </w:r>
    </w:p>
    <w:p>
      <w:pPr>
        <w:spacing w:after="0" w:line="225" w:lineRule="exact"/>
        <w:rPr>
          <w:sz w:val="20"/>
          <w:szCs w:val="20"/>
          <w:color w:val="auto"/>
        </w:rPr>
      </w:pPr>
    </w:p>
    <w:p>
      <w:pPr>
        <w:ind w:left="2" w:right="20"/>
        <w:spacing w:after="0" w:line="283" w:lineRule="auto"/>
        <w:rPr>
          <w:sz w:val="20"/>
          <w:szCs w:val="20"/>
          <w:color w:val="auto"/>
        </w:rPr>
      </w:pPr>
      <w:r>
        <w:rPr>
          <w:rFonts w:ascii="Times New Roman" w:cs="Times New Roman" w:eastAsia="Times New Roman" w:hAnsi="Times New Roman"/>
          <w:sz w:val="18"/>
          <w:szCs w:val="18"/>
          <w:color w:val="auto"/>
        </w:rPr>
        <w:t>In 2025 and 2024, there were immaterial impacts to net earnings for traditional and limited-payment life, where net premiums exceeded gross premiums for certain issue-year cohorts.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72</w:t>
      </w:r>
    </w:p>
    <w:p>
      <w:pPr>
        <w:sectPr>
          <w:pgSz w:w="12240" w:h="15840" w:orient="portrait"/>
          <w:cols w:equalWidth="0" w:num="1">
            <w:col w:w="11242"/>
          </w:cols>
          <w:pgMar w:left="498" w:top="687" w:right="500" w:bottom="0" w:gutter="0" w:footer="0" w:header="0"/>
        </w:sectPr>
      </w:pPr>
    </w:p>
    <w:bookmarkStart w:id="100" w:name="page101"/>
    <w:bookmarkEnd w:id="100"/>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Policy Benefits and Unpaid Claims</w:t>
      </w:r>
      <w:r>
        <w:rPr>
          <w:rFonts w:ascii="Times New Roman" w:cs="Times New Roman" w:eastAsia="Times New Roman" w:hAnsi="Times New Roman"/>
          <w:sz w:val="18"/>
          <w:szCs w:val="18"/>
          <w:color w:val="auto"/>
        </w:rPr>
        <w:t xml:space="preserve"> (Continued)</w:t>
      </w:r>
    </w:p>
    <w:p>
      <w:pPr>
        <w:spacing w:after="0" w:line="2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Deferred Profit Liability</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summarizes the balances of and changes in Deferred Profit Liability for traditional and limited- payment life:</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4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880" w:type="dxa"/>
            <w:vAlign w:val="bottom"/>
            <w:tcBorders>
              <w:bottom w:val="single" w:sz="8" w:color="DEDEDE"/>
            </w:tcBorders>
          </w:tcPr>
          <w:p>
            <w:pPr>
              <w:spacing w:after="0"/>
              <w:rPr>
                <w:sz w:val="19"/>
                <w:szCs w:val="19"/>
                <w:color w:val="auto"/>
              </w:rPr>
            </w:pPr>
          </w:p>
        </w:tc>
        <w:tc>
          <w:tcPr>
            <w:tcW w:w="70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10"/>
        </w:trPr>
        <w:tc>
          <w:tcPr>
            <w:tcW w:w="48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700" w:type="dxa"/>
            <w:vAlign w:val="bottom"/>
            <w:shd w:val="clear" w:color="auto" w:fill="DEDEDE"/>
          </w:tcPr>
          <w:p>
            <w:pPr>
              <w:spacing w:after="0"/>
              <w:rPr>
                <w:sz w:val="18"/>
                <w:szCs w:val="18"/>
                <w:color w:val="auto"/>
              </w:rPr>
            </w:pP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192,278,993</w:t>
            </w:r>
          </w:p>
        </w:tc>
        <w:tc>
          <w:tcPr>
            <w:tcW w:w="2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460" w:type="dxa"/>
            <w:vAlign w:val="bottom"/>
            <w:shd w:val="clear" w:color="auto" w:fill="DEDEDE"/>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177,843,975</w:t>
            </w:r>
          </w:p>
        </w:tc>
        <w:tc>
          <w:tcPr>
            <w:tcW w:w="80" w:type="dxa"/>
            <w:vAlign w:val="bottom"/>
            <w:shd w:val="clear" w:color="auto" w:fill="DEDEDE"/>
          </w:tcPr>
          <w:p>
            <w:pPr>
              <w:spacing w:after="0"/>
              <w:rPr>
                <w:sz w:val="18"/>
                <w:szCs w:val="18"/>
                <w:color w:val="auto"/>
              </w:rPr>
            </w:pPr>
          </w:p>
        </w:tc>
      </w:tr>
      <w:tr>
        <w:trPr>
          <w:trHeight w:val="229"/>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actual variances from expected experience (1)</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(4,188,728)</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(3,219,369)</w:t>
            </w:r>
          </w:p>
        </w:tc>
      </w:tr>
      <w:tr>
        <w:trPr>
          <w:trHeight w:val="210"/>
        </w:trPr>
        <w:tc>
          <w:tcPr>
            <w:tcW w:w="488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Adjusted balance, beginning of period</w:t>
            </w:r>
          </w:p>
        </w:tc>
        <w:tc>
          <w:tcPr>
            <w:tcW w:w="700" w:type="dxa"/>
            <w:vAlign w:val="bottom"/>
            <w:tcBorders>
              <w:top w:val="single" w:sz="8" w:color="DEDEDE"/>
            </w:tcBorders>
            <w:shd w:val="clear" w:color="auto" w:fill="DEDEDE"/>
          </w:tcPr>
          <w:p>
            <w:pPr>
              <w:spacing w:after="0"/>
              <w:rPr>
                <w:sz w:val="18"/>
                <w:szCs w:val="18"/>
                <w:color w:val="auto"/>
              </w:rPr>
            </w:pPr>
          </w:p>
        </w:tc>
        <w:tc>
          <w:tcPr>
            <w:tcW w:w="340" w:type="dxa"/>
            <w:vAlign w:val="bottom"/>
            <w:tcBorders>
              <w:top w:val="single" w:sz="8" w:color="auto"/>
            </w:tcBorders>
            <w:shd w:val="clear" w:color="auto" w:fill="DEDEDE"/>
          </w:tcPr>
          <w:p>
            <w:pPr>
              <w:spacing w:after="0"/>
              <w:rPr>
                <w:sz w:val="18"/>
                <w:szCs w:val="18"/>
                <w:color w:val="auto"/>
              </w:rPr>
            </w:pPr>
          </w:p>
        </w:tc>
        <w:tc>
          <w:tcPr>
            <w:tcW w:w="12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188,090,265</w:t>
            </w:r>
          </w:p>
        </w:tc>
        <w:tc>
          <w:tcPr>
            <w:tcW w:w="24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460" w:type="dxa"/>
            <w:vAlign w:val="bottom"/>
            <w:tcBorders>
              <w:top w:val="single" w:sz="8" w:color="auto"/>
            </w:tcBorders>
            <w:shd w:val="clear" w:color="auto" w:fill="DEDEDE"/>
          </w:tcPr>
          <w:p>
            <w:pPr>
              <w:spacing w:after="0"/>
              <w:rPr>
                <w:sz w:val="18"/>
                <w:szCs w:val="18"/>
                <w:color w:val="auto"/>
              </w:rPr>
            </w:pPr>
          </w:p>
        </w:tc>
        <w:tc>
          <w:tcPr>
            <w:tcW w:w="10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174,624,606</w:t>
            </w:r>
          </w:p>
        </w:tc>
        <w:tc>
          <w:tcPr>
            <w:tcW w:w="80" w:type="dxa"/>
            <w:vAlign w:val="bottom"/>
            <w:tcBorders>
              <w:top w:val="single" w:sz="8" w:color="DEDEDE"/>
            </w:tcBorders>
            <w:shd w:val="clear" w:color="auto" w:fill="DEDEDE"/>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Profits deferred</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67,048,417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65,502,313</w:t>
            </w:r>
          </w:p>
        </w:tc>
        <w:tc>
          <w:tcPr>
            <w:tcW w:w="80" w:type="dxa"/>
            <w:vAlign w:val="bottom"/>
          </w:tcPr>
          <w:p>
            <w:pPr>
              <w:spacing w:after="0"/>
              <w:rPr>
                <w:sz w:val="18"/>
                <w:szCs w:val="18"/>
                <w:color w:val="auto"/>
              </w:rPr>
            </w:pPr>
          </w:p>
        </w:tc>
      </w:tr>
      <w:tr>
        <w:trPr>
          <w:trHeight w:val="216"/>
        </w:trPr>
        <w:tc>
          <w:tcPr>
            <w:tcW w:w="48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Interest accrual</w:t>
            </w:r>
          </w:p>
        </w:tc>
        <w:tc>
          <w:tcPr>
            <w:tcW w:w="7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9,823,588</w:t>
            </w:r>
          </w:p>
        </w:tc>
        <w:tc>
          <w:tcPr>
            <w:tcW w:w="2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46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9,157,208</w:t>
            </w:r>
          </w:p>
        </w:tc>
        <w:tc>
          <w:tcPr>
            <w:tcW w:w="80" w:type="dxa"/>
            <w:vAlign w:val="bottom"/>
            <w:shd w:val="clear" w:color="auto" w:fill="DEDEDE"/>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(59,159,496)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(57,005,134)</w:t>
            </w:r>
          </w:p>
        </w:tc>
      </w:tr>
      <w:tr>
        <w:trPr>
          <w:trHeight w:val="230"/>
        </w:trPr>
        <w:tc>
          <w:tcPr>
            <w:tcW w:w="48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700" w:type="dxa"/>
            <w:vAlign w:val="bottom"/>
            <w:shd w:val="clear" w:color="auto" w:fill="DEDEDE"/>
          </w:tcPr>
          <w:p>
            <w:pPr>
              <w:spacing w:after="0"/>
              <w:rPr>
                <w:sz w:val="19"/>
                <w:szCs w:val="19"/>
                <w:color w:val="auto"/>
              </w:rPr>
            </w:pPr>
          </w:p>
        </w:tc>
        <w:tc>
          <w:tcPr>
            <w:tcW w:w="340" w:type="dxa"/>
            <w:vAlign w:val="bottom"/>
            <w:shd w:val="clear" w:color="auto" w:fill="DEDEDE"/>
          </w:tcPr>
          <w:p>
            <w:pPr>
              <w:spacing w:after="0"/>
              <w:rPr>
                <w:sz w:val="19"/>
                <w:szCs w:val="19"/>
                <w:color w:val="auto"/>
              </w:rPr>
            </w:pPr>
          </w:p>
        </w:tc>
        <w:tc>
          <w:tcPr>
            <w:tcW w:w="144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EDEDE"/>
          </w:tcPr>
          <w:p>
            <w:pPr>
              <w:spacing w:after="0"/>
              <w:rPr>
                <w:sz w:val="19"/>
                <w:szCs w:val="19"/>
                <w:color w:val="auto"/>
              </w:rPr>
            </w:pPr>
          </w:p>
        </w:tc>
        <w:tc>
          <w:tcPr>
            <w:tcW w:w="460" w:type="dxa"/>
            <w:vAlign w:val="bottom"/>
            <w:shd w:val="clear" w:color="auto" w:fill="DEDEDE"/>
          </w:tcPr>
          <w:p>
            <w:pPr>
              <w:spacing w:after="0"/>
              <w:rPr>
                <w:sz w:val="19"/>
                <w:szCs w:val="19"/>
                <w:color w:val="auto"/>
              </w:rPr>
            </w:pPr>
          </w:p>
        </w:tc>
        <w:tc>
          <w:tcPr>
            <w:tcW w:w="11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7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205,802,774</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192,278,993</w:t>
            </w:r>
          </w:p>
        </w:tc>
        <w:tc>
          <w:tcPr>
            <w:tcW w:w="80" w:type="dxa"/>
            <w:vAlign w:val="bottom"/>
          </w:tcPr>
          <w:p>
            <w:pPr>
              <w:spacing w:after="0"/>
              <w:rPr>
                <w:sz w:val="18"/>
                <w:szCs w:val="18"/>
                <w:color w:val="auto"/>
              </w:rPr>
            </w:pPr>
          </w:p>
        </w:tc>
      </w:tr>
      <w:tr>
        <w:trPr>
          <w:trHeight w:val="229"/>
        </w:trPr>
        <w:tc>
          <w:tcPr>
            <w:tcW w:w="488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Less: Receivable from reinsurers</w:t>
            </w:r>
          </w:p>
        </w:tc>
        <w:tc>
          <w:tcPr>
            <w:tcW w:w="700" w:type="dxa"/>
            <w:vAlign w:val="bottom"/>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985,258</w:t>
            </w:r>
          </w:p>
        </w:tc>
        <w:tc>
          <w:tcPr>
            <w:tcW w:w="2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460" w:type="dxa"/>
            <w:vAlign w:val="bottom"/>
            <w:tcBorders>
              <w:bottom w:val="single" w:sz="8" w:color="auto"/>
            </w:tcBorders>
            <w:shd w:val="clear" w:color="auto" w:fill="DEDEDE"/>
          </w:tcPr>
          <w:p>
            <w:pPr>
              <w:spacing w:after="0"/>
              <w:rPr>
                <w:sz w:val="19"/>
                <w:szCs w:val="19"/>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1,017,678</w:t>
            </w:r>
          </w:p>
        </w:tc>
        <w:tc>
          <w:tcPr>
            <w:tcW w:w="80" w:type="dxa"/>
            <w:vAlign w:val="bottom"/>
            <w:shd w:val="clear" w:color="auto" w:fill="DEDEDE"/>
          </w:tcPr>
          <w:p>
            <w:pPr>
              <w:spacing w:after="0"/>
              <w:rPr>
                <w:sz w:val="19"/>
                <w:szCs w:val="19"/>
                <w:color w:val="auto"/>
              </w:rPr>
            </w:pPr>
          </w:p>
        </w:tc>
      </w:tr>
      <w:tr>
        <w:trPr>
          <w:trHeight w:val="223"/>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Deferred profit liability, net of reinsurance</w:t>
            </w:r>
          </w:p>
        </w:tc>
        <w:tc>
          <w:tcPr>
            <w:tcW w:w="7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204,817,516</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191,261,315</w:t>
            </w:r>
          </w:p>
        </w:tc>
        <w:tc>
          <w:tcPr>
            <w:tcW w:w="80" w:type="dxa"/>
            <w:vAlign w:val="bottom"/>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322" w:right="20" w:hanging="322"/>
        <w:spacing w:after="0" w:line="283" w:lineRule="auto"/>
        <w:tabs>
          <w:tab w:leader="none" w:pos="32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2025, and 2024, the net effect of actual variances from expected experience was primarily due to lapses. Actual mortality and surrenders were close to expected.</w:t>
      </w:r>
    </w:p>
    <w:p>
      <w:pPr>
        <w:spacing w:after="0" w:line="15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Unpaid Claims</w:t>
      </w:r>
    </w:p>
    <w:p>
      <w:pPr>
        <w:spacing w:after="0" w:line="228" w:lineRule="exact"/>
        <w:rPr>
          <w:sz w:val="20"/>
          <w:szCs w:val="20"/>
          <w:color w:val="auto"/>
        </w:rPr>
      </w:pPr>
    </w:p>
    <w:p>
      <w:pPr>
        <w:ind w:left="2"/>
        <w:spacing w:after="0" w:line="283" w:lineRule="auto"/>
        <w:rPr>
          <w:sz w:val="20"/>
          <w:szCs w:val="20"/>
          <w:color w:val="auto"/>
        </w:rPr>
      </w:pPr>
      <w:r>
        <w:rPr>
          <w:rFonts w:ascii="Times New Roman" w:cs="Times New Roman" w:eastAsia="Times New Roman" w:hAnsi="Times New Roman"/>
          <w:sz w:val="18"/>
          <w:szCs w:val="18"/>
          <w:color w:val="auto"/>
        </w:rPr>
        <w:t>The following table provides a roll forward of the Company’s liability for reported but unpaid claims and incurred but not reported claims, net of the related receivable from reinsurers.</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Accident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5"/>
        </w:trPr>
        <w:tc>
          <w:tcPr>
            <w:tcW w:w="28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Life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Annuities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and Health</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286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at 12/31/2023</w:t>
            </w:r>
          </w:p>
        </w:tc>
        <w:tc>
          <w:tcPr>
            <w:tcW w:w="1240" w:type="dxa"/>
            <w:vAlign w:val="bottom"/>
            <w:tcBorders>
              <w:top w:val="single" w:sz="8" w:color="DEDEDE"/>
            </w:tcBorders>
            <w:shd w:val="clear" w:color="auto" w:fill="DEDEDE"/>
          </w:tcPr>
          <w:p>
            <w:pPr>
              <w:spacing w:after="0"/>
              <w:rPr>
                <w:sz w:val="18"/>
                <w:szCs w:val="18"/>
                <w:color w:val="auto"/>
              </w:rPr>
            </w:pPr>
          </w:p>
        </w:tc>
        <w:tc>
          <w:tcPr>
            <w:tcW w:w="320" w:type="dxa"/>
            <w:vAlign w:val="bottom"/>
            <w:tcBorders>
              <w:top w:val="single" w:sz="8" w:color="auto"/>
            </w:tcBorders>
            <w:shd w:val="clear" w:color="auto" w:fill="DEDEDE"/>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8,129,161</w:t>
            </w:r>
          </w:p>
        </w:tc>
        <w:tc>
          <w:tcPr>
            <w:tcW w:w="32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240" w:type="dxa"/>
            <w:vAlign w:val="bottom"/>
            <w:tcBorders>
              <w:top w:val="single" w:sz="8" w:color="auto"/>
            </w:tcBorders>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379,278</w:t>
            </w:r>
          </w:p>
        </w:tc>
        <w:tc>
          <w:tcPr>
            <w:tcW w:w="32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220" w:type="dxa"/>
            <w:vAlign w:val="bottom"/>
            <w:tcBorders>
              <w:top w:val="single" w:sz="8" w:color="auto"/>
            </w:tcBorders>
            <w:shd w:val="clear" w:color="auto" w:fill="DEDED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32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300" w:type="dxa"/>
            <w:vAlign w:val="bottom"/>
            <w:tcBorders>
              <w:top w:val="single" w:sz="8" w:color="auto"/>
            </w:tcBorders>
            <w:shd w:val="clear" w:color="auto" w:fill="DEDED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8,526,439</w:t>
            </w:r>
          </w:p>
        </w:tc>
        <w:tc>
          <w:tcPr>
            <w:tcW w:w="120" w:type="dxa"/>
            <w:vAlign w:val="bottom"/>
            <w:tcBorders>
              <w:top w:val="single" w:sz="8" w:color="DEDEDE"/>
            </w:tcBorders>
            <w:shd w:val="clear" w:color="auto" w:fill="DEDEDE"/>
          </w:tcPr>
          <w:p>
            <w:pPr>
              <w:spacing w:after="0"/>
              <w:rPr>
                <w:sz w:val="18"/>
                <w:szCs w:val="18"/>
                <w:color w:val="auto"/>
              </w:rPr>
            </w:pPr>
          </w:p>
        </w:tc>
      </w:tr>
      <w:tr>
        <w:trPr>
          <w:trHeight w:val="216"/>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Incurred</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58,116,837(1)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12,416,335(2)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2,767(3)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70,535,939</w:t>
            </w:r>
          </w:p>
        </w:tc>
        <w:tc>
          <w:tcPr>
            <w:tcW w:w="120" w:type="dxa"/>
            <w:vAlign w:val="bottom"/>
          </w:tcPr>
          <w:p>
            <w:pPr>
              <w:spacing w:after="0"/>
              <w:rPr>
                <w:sz w:val="18"/>
                <w:szCs w:val="18"/>
                <w:color w:val="auto"/>
              </w:rPr>
            </w:pPr>
          </w:p>
        </w:tc>
      </w:tr>
      <w:tr>
        <w:trPr>
          <w:trHeight w:val="229"/>
        </w:trPr>
        <w:tc>
          <w:tcPr>
            <w:tcW w:w="2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Settled</w:t>
            </w:r>
          </w:p>
        </w:tc>
        <w:tc>
          <w:tcPr>
            <w:tcW w:w="1240" w:type="dxa"/>
            <w:vAlign w:val="bottom"/>
            <w:shd w:val="clear" w:color="auto" w:fill="DEDEDE"/>
          </w:tcPr>
          <w:p>
            <w:pPr>
              <w:spacing w:after="0"/>
              <w:rPr>
                <w:sz w:val="19"/>
                <w:szCs w:val="19"/>
                <w:color w:val="auto"/>
              </w:rPr>
            </w:pPr>
          </w:p>
        </w:tc>
        <w:tc>
          <w:tcPr>
            <w:tcW w:w="320" w:type="dxa"/>
            <w:vAlign w:val="bottom"/>
            <w:shd w:val="clear" w:color="auto" w:fill="DEDEDE"/>
          </w:tcPr>
          <w:p>
            <w:pPr>
              <w:spacing w:after="0"/>
              <w:rPr>
                <w:sz w:val="19"/>
                <w:szCs w:val="19"/>
                <w:color w:val="auto"/>
              </w:rPr>
            </w:pPr>
          </w:p>
        </w:tc>
        <w:tc>
          <w:tcPr>
            <w:tcW w:w="1440" w:type="dxa"/>
            <w:vAlign w:val="bottom"/>
            <w:gridSpan w:val="2"/>
            <w:shd w:val="clear" w:color="auto" w:fill="DEDEDE"/>
          </w:tcPr>
          <w:p>
            <w:pPr>
              <w:jc w:val="right"/>
              <w:ind w:right="260"/>
              <w:spacing w:after="0"/>
              <w:rPr>
                <w:sz w:val="20"/>
                <w:szCs w:val="20"/>
                <w:color w:val="auto"/>
              </w:rPr>
            </w:pPr>
            <w:r>
              <w:rPr>
                <w:rFonts w:ascii="Times New Roman" w:cs="Times New Roman" w:eastAsia="Times New Roman" w:hAnsi="Times New Roman"/>
                <w:sz w:val="18"/>
                <w:szCs w:val="18"/>
                <w:color w:val="auto"/>
              </w:rPr>
              <w:t>(59,882,755)</w:t>
            </w:r>
          </w:p>
        </w:tc>
        <w:tc>
          <w:tcPr>
            <w:tcW w:w="100" w:type="dxa"/>
            <w:vAlign w:val="bottom"/>
            <w:shd w:val="clear" w:color="auto" w:fill="DEDEDE"/>
          </w:tcPr>
          <w:p>
            <w:pPr>
              <w:spacing w:after="0"/>
              <w:rPr>
                <w:sz w:val="19"/>
                <w:szCs w:val="19"/>
                <w:color w:val="auto"/>
              </w:rPr>
            </w:pPr>
          </w:p>
        </w:tc>
        <w:tc>
          <w:tcPr>
            <w:tcW w:w="240" w:type="dxa"/>
            <w:vAlign w:val="bottom"/>
            <w:shd w:val="clear" w:color="auto" w:fill="DEDEDE"/>
          </w:tcPr>
          <w:p>
            <w:pPr>
              <w:spacing w:after="0"/>
              <w:rPr>
                <w:sz w:val="19"/>
                <w:szCs w:val="19"/>
                <w:color w:val="auto"/>
              </w:rPr>
            </w:pPr>
          </w:p>
        </w:tc>
        <w:tc>
          <w:tcPr>
            <w:tcW w:w="1520" w:type="dxa"/>
            <w:vAlign w:val="bottom"/>
            <w:gridSpan w:val="2"/>
            <w:shd w:val="clear" w:color="auto" w:fill="DEDEDE"/>
          </w:tcPr>
          <w:p>
            <w:pPr>
              <w:jc w:val="right"/>
              <w:ind w:right="260"/>
              <w:spacing w:after="0"/>
              <w:rPr>
                <w:sz w:val="20"/>
                <w:szCs w:val="20"/>
                <w:color w:val="auto"/>
              </w:rPr>
            </w:pPr>
            <w:r>
              <w:rPr>
                <w:rFonts w:ascii="Times New Roman" w:cs="Times New Roman" w:eastAsia="Times New Roman" w:hAnsi="Times New Roman"/>
                <w:sz w:val="18"/>
                <w:szCs w:val="18"/>
                <w:color w:val="auto"/>
              </w:rPr>
              <w:t>(12,540,133)</w:t>
            </w:r>
          </w:p>
        </w:tc>
        <w:tc>
          <w:tcPr>
            <w:tcW w:w="100" w:type="dxa"/>
            <w:vAlign w:val="bottom"/>
            <w:shd w:val="clear" w:color="auto" w:fill="DEDEDE"/>
          </w:tcPr>
          <w:p>
            <w:pPr>
              <w:spacing w:after="0"/>
              <w:rPr>
                <w:sz w:val="19"/>
                <w:szCs w:val="19"/>
                <w:color w:val="auto"/>
              </w:rPr>
            </w:pPr>
          </w:p>
        </w:tc>
        <w:tc>
          <w:tcPr>
            <w:tcW w:w="220" w:type="dxa"/>
            <w:vAlign w:val="bottom"/>
            <w:shd w:val="clear" w:color="auto" w:fill="DEDEDE"/>
          </w:tcPr>
          <w:p>
            <w:pPr>
              <w:spacing w:after="0"/>
              <w:rPr>
                <w:sz w:val="19"/>
                <w:szCs w:val="19"/>
                <w:color w:val="auto"/>
              </w:rPr>
            </w:pPr>
          </w:p>
        </w:tc>
        <w:tc>
          <w:tcPr>
            <w:tcW w:w="1540" w:type="dxa"/>
            <w:vAlign w:val="bottom"/>
            <w:gridSpan w:val="2"/>
            <w:shd w:val="clear" w:color="auto" w:fill="DEDEDE"/>
          </w:tcPr>
          <w:p>
            <w:pPr>
              <w:jc w:val="right"/>
              <w:ind w:right="260"/>
              <w:spacing w:after="0"/>
              <w:rPr>
                <w:sz w:val="20"/>
                <w:szCs w:val="20"/>
                <w:color w:val="auto"/>
              </w:rPr>
            </w:pPr>
            <w:r>
              <w:rPr>
                <w:rFonts w:ascii="Times New Roman" w:cs="Times New Roman" w:eastAsia="Times New Roman" w:hAnsi="Times New Roman"/>
                <w:sz w:val="18"/>
                <w:szCs w:val="18"/>
                <w:color w:val="auto"/>
              </w:rPr>
              <w:t>(3,767)</w:t>
            </w:r>
          </w:p>
        </w:tc>
        <w:tc>
          <w:tcPr>
            <w:tcW w:w="120" w:type="dxa"/>
            <w:vAlign w:val="bottom"/>
            <w:shd w:val="clear" w:color="auto" w:fill="DEDEDE"/>
          </w:tcPr>
          <w:p>
            <w:pPr>
              <w:spacing w:after="0"/>
              <w:rPr>
                <w:sz w:val="19"/>
                <w:szCs w:val="19"/>
                <w:color w:val="auto"/>
              </w:rPr>
            </w:pPr>
          </w:p>
        </w:tc>
        <w:tc>
          <w:tcPr>
            <w:tcW w:w="300" w:type="dxa"/>
            <w:vAlign w:val="bottom"/>
            <w:shd w:val="clear" w:color="auto" w:fill="DEDEDE"/>
          </w:tcPr>
          <w:p>
            <w:pPr>
              <w:spacing w:after="0"/>
              <w:rPr>
                <w:sz w:val="19"/>
                <w:szCs w:val="19"/>
                <w:color w:val="auto"/>
              </w:rPr>
            </w:pPr>
          </w:p>
        </w:tc>
        <w:tc>
          <w:tcPr>
            <w:tcW w:w="124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(72,426,655)</w:t>
            </w:r>
          </w:p>
        </w:tc>
      </w:tr>
      <w:tr>
        <w:trPr>
          <w:trHeight w:val="210"/>
        </w:trPr>
        <w:tc>
          <w:tcPr>
            <w:tcW w:w="286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Balance at 12/31/2024</w:t>
            </w:r>
          </w:p>
        </w:tc>
        <w:tc>
          <w:tcPr>
            <w:tcW w:w="1240" w:type="dxa"/>
            <w:vAlign w:val="bottom"/>
            <w:tcBorders>
              <w:bottom w:val="single" w:sz="8" w:color="DEDEDE"/>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6,363,243</w:t>
            </w:r>
          </w:p>
        </w:tc>
        <w:tc>
          <w:tcPr>
            <w:tcW w:w="320" w:type="dxa"/>
            <w:vAlign w:val="bottom"/>
            <w:tcBorders>
              <w:bottom w:val="single" w:sz="8" w:color="DEDEDE"/>
            </w:tcBorders>
          </w:tcPr>
          <w:p>
            <w:pPr>
              <w:spacing w:after="0"/>
              <w:rPr>
                <w:sz w:val="18"/>
                <w:szCs w:val="18"/>
                <w:color w:val="auto"/>
              </w:rPr>
            </w:pPr>
          </w:p>
        </w:tc>
        <w:tc>
          <w:tcPr>
            <w:tcW w:w="100" w:type="dxa"/>
            <w:vAlign w:val="bottom"/>
            <w:tcBorders>
              <w:bottom w:val="single" w:sz="8" w:color="DEDED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255,480</w:t>
            </w:r>
          </w:p>
        </w:tc>
        <w:tc>
          <w:tcPr>
            <w:tcW w:w="320" w:type="dxa"/>
            <w:vAlign w:val="bottom"/>
            <w:tcBorders>
              <w:bottom w:val="single" w:sz="8" w:color="DEDEDE"/>
            </w:tcBorders>
          </w:tcPr>
          <w:p>
            <w:pPr>
              <w:spacing w:after="0"/>
              <w:rPr>
                <w:sz w:val="18"/>
                <w:szCs w:val="18"/>
                <w:color w:val="auto"/>
              </w:rPr>
            </w:pPr>
          </w:p>
        </w:tc>
        <w:tc>
          <w:tcPr>
            <w:tcW w:w="100" w:type="dxa"/>
            <w:vAlign w:val="bottom"/>
            <w:tcBorders>
              <w:bottom w:val="single" w:sz="8" w:color="DEDED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320" w:type="dxa"/>
            <w:vAlign w:val="bottom"/>
            <w:tcBorders>
              <w:bottom w:val="single" w:sz="8" w:color="DEDEDE"/>
            </w:tcBorders>
          </w:tcPr>
          <w:p>
            <w:pPr>
              <w:spacing w:after="0"/>
              <w:rPr>
                <w:sz w:val="18"/>
                <w:szCs w:val="18"/>
                <w:color w:val="auto"/>
              </w:rPr>
            </w:pPr>
          </w:p>
        </w:tc>
        <w:tc>
          <w:tcPr>
            <w:tcW w:w="120" w:type="dxa"/>
            <w:vAlign w:val="bottom"/>
            <w:tcBorders>
              <w:bottom w:val="single" w:sz="8" w:color="DEDED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6,635,723</w:t>
            </w:r>
          </w:p>
        </w:tc>
        <w:tc>
          <w:tcPr>
            <w:tcW w:w="120" w:type="dxa"/>
            <w:vAlign w:val="bottom"/>
            <w:tcBorders>
              <w:bottom w:val="single" w:sz="8" w:color="DEDEDE"/>
            </w:tcBorders>
          </w:tcPr>
          <w:p>
            <w:pPr>
              <w:spacing w:after="0"/>
              <w:rPr>
                <w:sz w:val="18"/>
                <w:szCs w:val="18"/>
                <w:color w:val="auto"/>
              </w:rPr>
            </w:pPr>
          </w:p>
        </w:tc>
      </w:tr>
      <w:tr>
        <w:trPr>
          <w:trHeight w:val="210"/>
        </w:trPr>
        <w:tc>
          <w:tcPr>
            <w:tcW w:w="2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Incurred</w:t>
            </w:r>
          </w:p>
        </w:tc>
        <w:tc>
          <w:tcPr>
            <w:tcW w:w="124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60,422,703(1)</w:t>
            </w:r>
          </w:p>
        </w:tc>
        <w:tc>
          <w:tcPr>
            <w:tcW w:w="3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12,874,267(2)</w:t>
            </w:r>
          </w:p>
        </w:tc>
        <w:tc>
          <w:tcPr>
            <w:tcW w:w="3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54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83,309(3)</w:t>
            </w:r>
          </w:p>
        </w:tc>
        <w:tc>
          <w:tcPr>
            <w:tcW w:w="120" w:type="dxa"/>
            <w:vAlign w:val="bottom"/>
            <w:shd w:val="clear" w:color="auto" w:fill="DEDEDE"/>
          </w:tcPr>
          <w:p>
            <w:pPr>
              <w:spacing w:after="0"/>
              <w:rPr>
                <w:sz w:val="18"/>
                <w:szCs w:val="18"/>
                <w:color w:val="auto"/>
              </w:rPr>
            </w:pPr>
          </w:p>
        </w:tc>
        <w:tc>
          <w:tcPr>
            <w:tcW w:w="300" w:type="dxa"/>
            <w:vAlign w:val="bottom"/>
            <w:shd w:val="clear" w:color="auto" w:fill="DEDEDE"/>
          </w:tcPr>
          <w:p>
            <w:pPr>
              <w:spacing w:after="0"/>
              <w:rPr>
                <w:sz w:val="18"/>
                <w:szCs w:val="18"/>
                <w:color w:val="auto"/>
              </w:rPr>
            </w:pP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73,380,279</w:t>
            </w:r>
          </w:p>
        </w:tc>
        <w:tc>
          <w:tcPr>
            <w:tcW w:w="120" w:type="dxa"/>
            <w:vAlign w:val="bottom"/>
            <w:shd w:val="clear" w:color="auto" w:fill="DEDEDE"/>
          </w:tcPr>
          <w:p>
            <w:pPr>
              <w:spacing w:after="0"/>
              <w:rPr>
                <w:sz w:val="18"/>
                <w:szCs w:val="18"/>
                <w:color w:val="auto"/>
              </w:rPr>
            </w:pPr>
          </w:p>
        </w:tc>
      </w:tr>
      <w:tr>
        <w:trPr>
          <w:trHeight w:val="230"/>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Settled</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(59,844,155)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(12,826,904)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(83,309)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(72,754,368)</w:t>
            </w:r>
          </w:p>
        </w:tc>
      </w:tr>
      <w:tr>
        <w:trPr>
          <w:trHeight w:val="223"/>
        </w:trPr>
        <w:tc>
          <w:tcPr>
            <w:tcW w:w="286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at 12/31/2025</w:t>
            </w:r>
          </w:p>
        </w:tc>
        <w:tc>
          <w:tcPr>
            <w:tcW w:w="1240" w:type="dxa"/>
            <w:vAlign w:val="bottom"/>
            <w:tcBorders>
              <w:top w:val="single" w:sz="8" w:color="DEDEDE"/>
              <w:bottom w:val="single" w:sz="8" w:color="DEDEDE"/>
            </w:tcBorders>
            <w:shd w:val="clear" w:color="auto" w:fill="DEDEDE"/>
          </w:tcPr>
          <w:p>
            <w:pPr>
              <w:spacing w:after="0"/>
              <w:rPr>
                <w:sz w:val="19"/>
                <w:szCs w:val="19"/>
                <w:color w:val="auto"/>
              </w:rPr>
            </w:pPr>
          </w:p>
        </w:tc>
        <w:tc>
          <w:tcPr>
            <w:tcW w:w="320" w:type="dxa"/>
            <w:vAlign w:val="bottom"/>
            <w:tcBorders>
              <w:top w:val="single" w:sz="8" w:color="auto"/>
              <w:bottom w:val="single" w:sz="8" w:color="auto"/>
            </w:tcBorders>
            <w:shd w:val="clear" w:color="auto" w:fill="DEDEDE"/>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6,941,791</w:t>
            </w: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c>
          <w:tcPr>
            <w:tcW w:w="240" w:type="dxa"/>
            <w:vAlign w:val="bottom"/>
            <w:tcBorders>
              <w:top w:val="single" w:sz="8" w:color="auto"/>
              <w:bottom w:val="single" w:sz="8" w:color="auto"/>
            </w:tcBorders>
            <w:shd w:val="clear" w:color="auto" w:fill="DEDED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302,843</w:t>
            </w: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c>
          <w:tcPr>
            <w:tcW w:w="220" w:type="dxa"/>
            <w:vAlign w:val="bottom"/>
            <w:tcBorders>
              <w:top w:val="single" w:sz="8" w:color="auto"/>
              <w:bottom w:val="single" w:sz="8" w:color="auto"/>
            </w:tcBorders>
            <w:shd w:val="clear" w:color="auto" w:fill="DEDEDE"/>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300" w:type="dxa"/>
            <w:vAlign w:val="bottom"/>
            <w:tcBorders>
              <w:top w:val="single" w:sz="8" w:color="auto"/>
              <w:bottom w:val="single" w:sz="8" w:color="auto"/>
            </w:tcBorders>
            <w:shd w:val="clear" w:color="auto" w:fill="DEDED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7,261,634</w:t>
            </w: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17" w:lineRule="exact"/>
        <w:rPr>
          <w:sz w:val="20"/>
          <w:szCs w:val="20"/>
          <w:color w:val="auto"/>
        </w:rPr>
      </w:pPr>
    </w:p>
    <w:p>
      <w:pPr>
        <w:ind w:left="322" w:hanging="322"/>
        <w:spacing w:after="0"/>
        <w:tabs>
          <w:tab w:leader="none" w:pos="32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policyholder benefits and claims on the consolidated statements of earnings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Released from policyholder account balances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policyholder benefits and claims on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73</w:t>
      </w:r>
    </w:p>
    <w:p>
      <w:pPr>
        <w:sectPr>
          <w:pgSz w:w="12240" w:h="15840" w:orient="portrait"/>
          <w:cols w:equalWidth="0" w:num="1">
            <w:col w:w="11242"/>
          </w:cols>
          <w:pgMar w:left="498" w:top="687" w:right="500" w:bottom="0" w:gutter="0" w:footer="0" w:header="0"/>
        </w:sectPr>
      </w:pPr>
    </w:p>
    <w:bookmarkStart w:id="101" w:name="page102"/>
    <w:bookmarkEnd w:id="101"/>
    <w:p>
      <w:pPr>
        <w:jc w:val="center"/>
        <w:ind w:right="-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Policyholder Account Balances</w:t>
      </w:r>
    </w:p>
    <w:p>
      <w:pPr>
        <w:spacing w:after="0" w:line="225" w:lineRule="exact"/>
        <w:rPr>
          <w:sz w:val="20"/>
          <w:szCs w:val="20"/>
          <w:color w:val="auto"/>
        </w:rPr>
      </w:pPr>
    </w:p>
    <w:p>
      <w:pPr>
        <w:ind w:left="2"/>
        <w:spacing w:after="0" w:line="283" w:lineRule="auto"/>
        <w:rPr>
          <w:sz w:val="20"/>
          <w:szCs w:val="20"/>
          <w:color w:val="auto"/>
        </w:rPr>
      </w:pPr>
      <w:r>
        <w:rPr>
          <w:rFonts w:ascii="Times New Roman" w:cs="Times New Roman" w:eastAsia="Times New Roman" w:hAnsi="Times New Roman"/>
          <w:sz w:val="18"/>
          <w:szCs w:val="18"/>
          <w:color w:val="auto"/>
        </w:rPr>
        <w:t>The Company reports policyholder account balances pursuant to the accounting policy discussed in Note 1. The Company establishes liabilities for policyholder account balances, which are generally equal to the account value, and which include interest credited.</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The following table provides a reconciliation of policyholder account balances and the related receivable from reinsurers to the consolidated balance sheets.</w:t>
      </w:r>
    </w:p>
    <w:p>
      <w:pPr>
        <w:spacing w:after="0" w:line="250"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Borders>
              <w:bottom w:val="single" w:sz="8" w:color="DEDEDE"/>
            </w:tcBorders>
          </w:tcPr>
          <w:p>
            <w:pPr>
              <w:spacing w:after="0"/>
              <w:rPr>
                <w:sz w:val="19"/>
                <w:szCs w:val="19"/>
                <w:color w:val="auto"/>
              </w:rPr>
            </w:pPr>
          </w:p>
        </w:tc>
        <w:tc>
          <w:tcPr>
            <w:tcW w:w="2560" w:type="dxa"/>
            <w:vAlign w:val="bottom"/>
            <w:tcBorders>
              <w:bottom w:val="single" w:sz="8" w:color="DEDEDE"/>
            </w:tcBorders>
          </w:tcPr>
          <w:p>
            <w:pPr>
              <w:spacing w:after="0"/>
              <w:rPr>
                <w:sz w:val="19"/>
                <w:szCs w:val="19"/>
                <w:color w:val="auto"/>
              </w:rPr>
            </w:pPr>
          </w:p>
        </w:tc>
        <w:tc>
          <w:tcPr>
            <w:tcW w:w="108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Policyholder account balances - fixed annuities</w:t>
            </w:r>
          </w:p>
        </w:tc>
        <w:tc>
          <w:tcPr>
            <w:tcW w:w="1080" w:type="dxa"/>
            <w:vAlign w:val="bottom"/>
            <w:shd w:val="clear" w:color="auto" w:fill="DEDEDE"/>
          </w:tcPr>
          <w:p>
            <w:pPr>
              <w:spacing w:after="0"/>
              <w:rPr>
                <w:sz w:val="18"/>
                <w:szCs w:val="18"/>
                <w:color w:val="auto"/>
              </w:rPr>
            </w:pP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104,233,454</w:t>
            </w: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105,088,621</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profit liability - fixed annuities</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546,802</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627,465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Policyholder account balances - universal life</w:t>
            </w:r>
          </w:p>
        </w:tc>
        <w:tc>
          <w:tcPr>
            <w:tcW w:w="1080" w:type="dxa"/>
            <w:vAlign w:val="bottom"/>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35,825,494</w:t>
            </w:r>
          </w:p>
        </w:tc>
        <w:tc>
          <w:tcPr>
            <w:tcW w:w="240" w:type="dxa"/>
            <w:vAlign w:val="bottom"/>
            <w:shd w:val="clear" w:color="auto" w:fill="DEDEDE"/>
          </w:tcPr>
          <w:p>
            <w:pPr>
              <w:spacing w:after="0"/>
              <w:rPr>
                <w:sz w:val="19"/>
                <w:szCs w:val="19"/>
                <w:color w:val="auto"/>
              </w:rPr>
            </w:pPr>
          </w:p>
        </w:tc>
        <w:tc>
          <w:tcPr>
            <w:tcW w:w="480" w:type="dxa"/>
            <w:vAlign w:val="bottom"/>
            <w:tcBorders>
              <w:bottom w:val="single" w:sz="8" w:color="auto"/>
            </w:tcBorders>
            <w:shd w:val="clear" w:color="auto" w:fill="DEDEDE"/>
          </w:tcPr>
          <w:p>
            <w:pPr>
              <w:spacing w:after="0"/>
              <w:rPr>
                <w:sz w:val="19"/>
                <w:szCs w:val="19"/>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37,091,230</w:t>
            </w:r>
          </w:p>
        </w:tc>
        <w:tc>
          <w:tcPr>
            <w:tcW w:w="8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Gross policyholder account balances</w:t>
            </w:r>
          </w:p>
        </w:tc>
        <w:tc>
          <w:tcPr>
            <w:tcW w:w="1420" w:type="dxa"/>
            <w:vAlign w:val="bottom"/>
            <w:gridSpan w:val="2"/>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140,605,750</w:t>
            </w:r>
          </w:p>
        </w:tc>
        <w:tc>
          <w:tcPr>
            <w:tcW w:w="720" w:type="dxa"/>
            <w:vAlign w:val="bottom"/>
            <w:gridSpan w:val="2"/>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142,807,316</w:t>
            </w:r>
          </w:p>
        </w:tc>
        <w:tc>
          <w:tcPr>
            <w:tcW w:w="8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DEDEDE"/>
            </w:tcBorders>
          </w:tcPr>
          <w:p>
            <w:pPr>
              <w:spacing w:after="0" w:line="20" w:lineRule="exact"/>
              <w:rPr>
                <w:sz w:val="1"/>
                <w:szCs w:val="1"/>
                <w:color w:val="auto"/>
              </w:rPr>
            </w:pPr>
          </w:p>
        </w:tc>
        <w:tc>
          <w:tcPr>
            <w:tcW w:w="2560" w:type="dxa"/>
            <w:vAlign w:val="bottom"/>
            <w:tcBorders>
              <w:top w:val="single" w:sz="8" w:color="DEDEDE"/>
            </w:tcBorders>
          </w:tcPr>
          <w:p>
            <w:pPr>
              <w:spacing w:after="0" w:line="20" w:lineRule="exact"/>
              <w:rPr>
                <w:sz w:val="1"/>
                <w:szCs w:val="1"/>
                <w:color w:val="auto"/>
              </w:rPr>
            </w:pPr>
          </w:p>
        </w:tc>
        <w:tc>
          <w:tcPr>
            <w:tcW w:w="10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gridSpan w:val="2"/>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rPr>
              <w:t>Receivable from reinsurers</w:t>
            </w:r>
          </w:p>
        </w:tc>
        <w:tc>
          <w:tcPr>
            <w:tcW w:w="1080" w:type="dxa"/>
            <w:vAlign w:val="bottom"/>
            <w:shd w:val="clear" w:color="auto" w:fill="DEDEDE"/>
          </w:tcPr>
          <w:p>
            <w:pPr>
              <w:spacing w:after="0"/>
              <w:rPr>
                <w:sz w:val="17"/>
                <w:szCs w:val="17"/>
                <w:color w:val="auto"/>
              </w:rPr>
            </w:pPr>
          </w:p>
        </w:tc>
        <w:tc>
          <w:tcPr>
            <w:tcW w:w="34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480" w:type="dxa"/>
            <w:vAlign w:val="bottom"/>
            <w:shd w:val="clear" w:color="auto" w:fill="DEDEDE"/>
          </w:tcPr>
          <w:p>
            <w:pPr>
              <w:spacing w:after="0"/>
              <w:rPr>
                <w:sz w:val="17"/>
                <w:szCs w:val="17"/>
                <w:color w:val="auto"/>
              </w:rPr>
            </w:pPr>
          </w:p>
        </w:tc>
        <w:tc>
          <w:tcPr>
            <w:tcW w:w="106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2560" w:type="dxa"/>
            <w:vAlign w:val="bottom"/>
            <w:tcBorders>
              <w:top w:val="single" w:sz="8" w:color="DEDEDE"/>
            </w:tcBorders>
          </w:tcPr>
          <w:p>
            <w:pPr>
              <w:spacing w:after="0"/>
              <w:rPr>
                <w:sz w:val="18"/>
                <w:szCs w:val="18"/>
                <w:color w:val="auto"/>
              </w:rPr>
            </w:pPr>
          </w:p>
        </w:tc>
        <w:tc>
          <w:tcPr>
            <w:tcW w:w="1080" w:type="dxa"/>
            <w:vAlign w:val="bottom"/>
            <w:tcBorders>
              <w:top w:val="single" w:sz="8" w:color="DEDEDE"/>
            </w:tcBorders>
          </w:tcPr>
          <w:p>
            <w:pPr>
              <w:spacing w:after="0"/>
              <w:rPr>
                <w:sz w:val="18"/>
                <w:szCs w:val="18"/>
                <w:color w:val="auto"/>
              </w:rPr>
            </w:pPr>
          </w:p>
        </w:tc>
        <w:tc>
          <w:tcPr>
            <w:tcW w:w="340" w:type="dxa"/>
            <w:vAlign w:val="bottom"/>
            <w:tcBorders>
              <w:top w:val="single" w:sz="8" w:color="DEDEDE"/>
            </w:tcBorders>
          </w:tcPr>
          <w:p>
            <w:pPr>
              <w:spacing w:after="0"/>
              <w:rPr>
                <w:sz w:val="18"/>
                <w:szCs w:val="18"/>
                <w:color w:val="auto"/>
              </w:rPr>
            </w:pPr>
          </w:p>
        </w:tc>
        <w:tc>
          <w:tcPr>
            <w:tcW w:w="1200" w:type="dxa"/>
            <w:vAlign w:val="bottom"/>
            <w:tcBorders>
              <w:top w:val="single" w:sz="8" w:color="DEDEDE"/>
            </w:tcBorders>
          </w:tcPr>
          <w:p>
            <w:pPr>
              <w:spacing w:after="0"/>
              <w:rPr>
                <w:sz w:val="18"/>
                <w:szCs w:val="18"/>
                <w:color w:val="auto"/>
              </w:rPr>
            </w:pPr>
          </w:p>
        </w:tc>
        <w:tc>
          <w:tcPr>
            <w:tcW w:w="240" w:type="dxa"/>
            <w:vAlign w:val="bottom"/>
            <w:tcBorders>
              <w:top w:val="single" w:sz="8" w:color="DEDEDE"/>
            </w:tcBorders>
          </w:tcPr>
          <w:p>
            <w:pPr>
              <w:spacing w:after="0"/>
              <w:rPr>
                <w:sz w:val="18"/>
                <w:szCs w:val="18"/>
                <w:color w:val="auto"/>
              </w:rPr>
            </w:pPr>
          </w:p>
        </w:tc>
        <w:tc>
          <w:tcPr>
            <w:tcW w:w="480" w:type="dxa"/>
            <w:vAlign w:val="bottom"/>
            <w:tcBorders>
              <w:top w:val="single" w:sz="8" w:color="DEDEDE"/>
            </w:tcBorders>
          </w:tcPr>
          <w:p>
            <w:pPr>
              <w:spacing w:after="0"/>
              <w:rPr>
                <w:sz w:val="18"/>
                <w:szCs w:val="18"/>
                <w:color w:val="auto"/>
              </w:rPr>
            </w:pPr>
          </w:p>
        </w:tc>
        <w:tc>
          <w:tcPr>
            <w:tcW w:w="1060" w:type="dxa"/>
            <w:vAlign w:val="bottom"/>
            <w:tcBorders>
              <w:top w:val="single" w:sz="8" w:color="DEDEDE"/>
            </w:tcBorders>
          </w:tcPr>
          <w:p>
            <w:pPr>
              <w:spacing w:after="0"/>
              <w:rPr>
                <w:sz w:val="18"/>
                <w:szCs w:val="18"/>
                <w:color w:val="auto"/>
              </w:rPr>
            </w:pPr>
          </w:p>
        </w:tc>
        <w:tc>
          <w:tcPr>
            <w:tcW w:w="80" w:type="dxa"/>
            <w:vAlign w:val="bottom"/>
            <w:tcBorders>
              <w:top w:val="single" w:sz="8" w:color="DEDEDE"/>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4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Policyholder account balances - fixed annuities</w:t>
            </w:r>
          </w:p>
        </w:tc>
        <w:tc>
          <w:tcPr>
            <w:tcW w:w="1080" w:type="dxa"/>
            <w:vAlign w:val="bottom"/>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3,275,247</w:t>
            </w:r>
          </w:p>
        </w:tc>
        <w:tc>
          <w:tcPr>
            <w:tcW w:w="240" w:type="dxa"/>
            <w:vAlign w:val="bottom"/>
            <w:shd w:val="clear" w:color="auto" w:fill="DEDEDE"/>
          </w:tcPr>
          <w:p>
            <w:pPr>
              <w:spacing w:after="0"/>
              <w:rPr>
                <w:sz w:val="19"/>
                <w:szCs w:val="19"/>
                <w:color w:val="auto"/>
              </w:rPr>
            </w:pPr>
          </w:p>
        </w:tc>
        <w:tc>
          <w:tcPr>
            <w:tcW w:w="480" w:type="dxa"/>
            <w:vAlign w:val="bottom"/>
            <w:tcBorders>
              <w:bottom w:val="single" w:sz="8" w:color="auto"/>
            </w:tcBorders>
            <w:shd w:val="clear" w:color="auto" w:fill="DEDEDE"/>
          </w:tcPr>
          <w:p>
            <w:pPr>
              <w:spacing w:after="0"/>
              <w:rPr>
                <w:sz w:val="19"/>
                <w:szCs w:val="19"/>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3,415,644</w:t>
            </w:r>
          </w:p>
        </w:tc>
        <w:tc>
          <w:tcPr>
            <w:tcW w:w="8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4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receivable from reinsurers</w:t>
            </w:r>
          </w:p>
        </w:tc>
        <w:tc>
          <w:tcPr>
            <w:tcW w:w="1080" w:type="dxa"/>
            <w:vAlign w:val="bottom"/>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3,275,247</w:t>
            </w:r>
          </w:p>
        </w:tc>
        <w:tc>
          <w:tcPr>
            <w:tcW w:w="240" w:type="dxa"/>
            <w:vAlign w:val="bottom"/>
            <w:shd w:val="clear" w:color="auto" w:fill="DEDEDE"/>
          </w:tcPr>
          <w:p>
            <w:pPr>
              <w:spacing w:after="0"/>
              <w:rPr>
                <w:sz w:val="19"/>
                <w:szCs w:val="19"/>
                <w:color w:val="auto"/>
              </w:rPr>
            </w:pPr>
          </w:p>
        </w:tc>
        <w:tc>
          <w:tcPr>
            <w:tcW w:w="480" w:type="dxa"/>
            <w:vAlign w:val="bottom"/>
            <w:tcBorders>
              <w:bottom w:val="single" w:sz="8" w:color="auto"/>
            </w:tcBorders>
            <w:shd w:val="clear" w:color="auto" w:fill="DEDEDE"/>
          </w:tcPr>
          <w:p>
            <w:pPr>
              <w:spacing w:after="0"/>
              <w:rPr>
                <w:sz w:val="19"/>
                <w:szCs w:val="19"/>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3,415,644</w:t>
            </w:r>
          </w:p>
        </w:tc>
        <w:tc>
          <w:tcPr>
            <w:tcW w:w="8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1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48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policyholder account balances</w:t>
            </w:r>
          </w:p>
        </w:tc>
        <w:tc>
          <w:tcPr>
            <w:tcW w:w="1420" w:type="dxa"/>
            <w:vAlign w:val="bottom"/>
            <w:gridSpan w:val="2"/>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137,330,503</w:t>
            </w:r>
          </w:p>
        </w:tc>
        <w:tc>
          <w:tcPr>
            <w:tcW w:w="720" w:type="dxa"/>
            <w:vAlign w:val="bottom"/>
            <w:gridSpan w:val="2"/>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139,391,672</w:t>
            </w:r>
          </w:p>
        </w:tc>
        <w:tc>
          <w:tcPr>
            <w:tcW w:w="8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Borders>
              <w:top w:val="single" w:sz="8" w:color="DEDEDE"/>
            </w:tcBorders>
          </w:tcPr>
          <w:p>
            <w:pPr>
              <w:spacing w:after="0" w:line="20" w:lineRule="exact"/>
              <w:rPr>
                <w:sz w:val="1"/>
                <w:szCs w:val="1"/>
                <w:color w:val="auto"/>
              </w:rPr>
            </w:pPr>
          </w:p>
        </w:tc>
        <w:tc>
          <w:tcPr>
            <w:tcW w:w="2560" w:type="dxa"/>
            <w:vAlign w:val="bottom"/>
            <w:tcBorders>
              <w:top w:val="single" w:sz="8" w:color="DEDEDE"/>
            </w:tcBorders>
          </w:tcPr>
          <w:p>
            <w:pPr>
              <w:spacing w:after="0" w:line="20" w:lineRule="exact"/>
              <w:rPr>
                <w:sz w:val="1"/>
                <w:szCs w:val="1"/>
                <w:color w:val="auto"/>
              </w:rPr>
            </w:pPr>
          </w:p>
        </w:tc>
        <w:tc>
          <w:tcPr>
            <w:tcW w:w="1080" w:type="dxa"/>
            <w:vAlign w:val="bottom"/>
            <w:tcBorders>
              <w:top w:val="single" w:sz="8" w:color="DEDEDE"/>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EDEDE"/>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summarizes the balances and changes in policyholder account balances for the lines of business indicated:</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color w:val="auto"/>
              </w:rPr>
              <w:t>December 31, 2025</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190"/>
        </w:trPr>
        <w:tc>
          <w:tcPr>
            <w:tcW w:w="3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460"/>
              <w:spacing w:after="0" w:line="190" w:lineRule="exact"/>
              <w:rPr>
                <w:sz w:val="20"/>
                <w:szCs w:val="20"/>
                <w:color w:val="auto"/>
              </w:rPr>
            </w:pPr>
            <w:r>
              <w:rPr>
                <w:rFonts w:ascii="Times New Roman" w:cs="Times New Roman" w:eastAsia="Times New Roman" w:hAnsi="Times New Roman"/>
                <w:sz w:val="18"/>
                <w:szCs w:val="18"/>
                <w:color w:val="auto"/>
              </w:rPr>
              <w:t>Universal</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90"/>
              <w:spacing w:after="0" w:line="190" w:lineRule="exact"/>
              <w:rPr>
                <w:sz w:val="20"/>
                <w:szCs w:val="20"/>
                <w:color w:val="auto"/>
              </w:rPr>
            </w:pPr>
            <w:r>
              <w:rPr>
                <w:rFonts w:ascii="Times New Roman" w:cs="Times New Roman" w:eastAsia="Times New Roman" w:hAnsi="Times New Roman"/>
                <w:sz w:val="18"/>
                <w:szCs w:val="18"/>
                <w:color w:val="auto"/>
              </w:rPr>
              <w:t>Fixed</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440"/>
              <w:spacing w:after="0" w:line="190" w:lineRule="exact"/>
              <w:rPr>
                <w:sz w:val="20"/>
                <w:szCs w:val="20"/>
                <w:color w:val="auto"/>
              </w:rPr>
            </w:pPr>
            <w:r>
              <w:rPr>
                <w:rFonts w:ascii="Times New Roman" w:cs="Times New Roman" w:eastAsia="Times New Roman" w:hAnsi="Times New Roman"/>
                <w:sz w:val="18"/>
                <w:szCs w:val="18"/>
                <w:color w:val="auto"/>
              </w:rPr>
              <w:t>Universal</w:t>
            </w:r>
          </w:p>
        </w:tc>
        <w:tc>
          <w:tcPr>
            <w:tcW w:w="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210"/>
              <w:spacing w:after="0" w:line="190" w:lineRule="exact"/>
              <w:rPr>
                <w:sz w:val="20"/>
                <w:szCs w:val="20"/>
                <w:color w:val="auto"/>
              </w:rPr>
            </w:pPr>
            <w:r>
              <w:rPr>
                <w:rFonts w:ascii="Times New Roman" w:cs="Times New Roman" w:eastAsia="Times New Roman" w:hAnsi="Times New Roman"/>
                <w:sz w:val="18"/>
                <w:szCs w:val="18"/>
                <w:color w:val="auto"/>
              </w:rPr>
              <w:t>Fixed</w:t>
            </w:r>
          </w:p>
        </w:tc>
        <w:tc>
          <w:tcPr>
            <w:tcW w:w="160" w:type="dxa"/>
            <w:vAlign w:val="bottom"/>
          </w:tcPr>
          <w:p>
            <w:pPr>
              <w:spacing w:after="0"/>
              <w:rPr>
                <w:sz w:val="16"/>
                <w:szCs w:val="16"/>
                <w:color w:val="auto"/>
              </w:rPr>
            </w:pPr>
          </w:p>
        </w:tc>
      </w:tr>
      <w:tr>
        <w:trPr>
          <w:trHeight w:val="235"/>
        </w:trPr>
        <w:tc>
          <w:tcPr>
            <w:tcW w:w="3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Life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Annuities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Life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Annuities</w:t>
            </w:r>
          </w:p>
        </w:tc>
      </w:tr>
      <w:tr>
        <w:trPr>
          <w:trHeight w:val="210"/>
        </w:trPr>
        <w:tc>
          <w:tcPr>
            <w:tcW w:w="386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32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37,091,230</w:t>
            </w:r>
          </w:p>
        </w:tc>
        <w:tc>
          <w:tcPr>
            <w:tcW w:w="30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105,088,621</w:t>
            </w:r>
          </w:p>
        </w:tc>
        <w:tc>
          <w:tcPr>
            <w:tcW w:w="30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37,992,650</w:t>
            </w:r>
          </w:p>
        </w:tc>
        <w:tc>
          <w:tcPr>
            <w:tcW w:w="30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105,442,891</w:t>
            </w:r>
          </w:p>
        </w:tc>
        <w:tc>
          <w:tcPr>
            <w:tcW w:w="160" w:type="dxa"/>
            <w:vAlign w:val="bottom"/>
            <w:tcBorders>
              <w:top w:val="single" w:sz="8" w:color="DEDEDE"/>
            </w:tcBorders>
            <w:shd w:val="clear" w:color="auto" w:fill="DEDEDE"/>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1,416,081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10,564,011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1,563,684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11,739,265</w:t>
            </w:r>
          </w:p>
        </w:tc>
        <w:tc>
          <w:tcPr>
            <w:tcW w:w="160" w:type="dxa"/>
            <w:vAlign w:val="bottom"/>
          </w:tcPr>
          <w:p>
            <w:pPr>
              <w:spacing w:after="0"/>
              <w:rPr>
                <w:sz w:val="18"/>
                <w:szCs w:val="18"/>
                <w:color w:val="auto"/>
              </w:rPr>
            </w:pPr>
          </w:p>
        </w:tc>
      </w:tr>
      <w:tr>
        <w:trPr>
          <w:trHeight w:val="216"/>
        </w:trPr>
        <w:tc>
          <w:tcPr>
            <w:tcW w:w="386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Interest credited</w:t>
            </w:r>
          </w:p>
        </w:tc>
        <w:tc>
          <w:tcPr>
            <w:tcW w:w="3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1,739,242</w:t>
            </w:r>
          </w:p>
        </w:tc>
        <w:tc>
          <w:tcPr>
            <w:tcW w:w="3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2,823,373</w:t>
            </w:r>
          </w:p>
        </w:tc>
        <w:tc>
          <w:tcPr>
            <w:tcW w:w="3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1,076,848</w:t>
            </w:r>
          </w:p>
        </w:tc>
        <w:tc>
          <w:tcPr>
            <w:tcW w:w="3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2,302,766</w:t>
            </w:r>
          </w:p>
        </w:tc>
        <w:tc>
          <w:tcPr>
            <w:tcW w:w="160" w:type="dxa"/>
            <w:vAlign w:val="bottom"/>
            <w:shd w:val="clear" w:color="auto" w:fill="DEDEDE"/>
          </w:tcPr>
          <w:p>
            <w:pPr>
              <w:spacing w:after="0"/>
              <w:rPr>
                <w:sz w:val="18"/>
                <w:szCs w:val="18"/>
                <w:color w:val="auto"/>
              </w:rPr>
            </w:pPr>
          </w:p>
        </w:tc>
      </w:tr>
      <w:tr>
        <w:trPr>
          <w:trHeight w:val="216"/>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Policy charges (1)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(2,314,244)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(2,296,283)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(10,710)</w:t>
            </w:r>
          </w:p>
        </w:tc>
      </w:tr>
      <w:tr>
        <w:trPr>
          <w:trHeight w:val="229"/>
        </w:trPr>
        <w:tc>
          <w:tcPr>
            <w:tcW w:w="386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Surrenders, withdrawals and benefit payments</w:t>
            </w:r>
          </w:p>
        </w:tc>
        <w:tc>
          <w:tcPr>
            <w:tcW w:w="3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26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18"/>
                <w:szCs w:val="18"/>
                <w:color w:val="auto"/>
              </w:rPr>
              <w:t>(2,106,815)</w:t>
            </w:r>
          </w:p>
        </w:tc>
        <w:tc>
          <w:tcPr>
            <w:tcW w:w="16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24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18"/>
                <w:szCs w:val="18"/>
                <w:color w:val="auto"/>
              </w:rPr>
              <w:t>(14,230,007)</w:t>
            </w:r>
          </w:p>
        </w:tc>
        <w:tc>
          <w:tcPr>
            <w:tcW w:w="16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26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18"/>
                <w:szCs w:val="18"/>
                <w:color w:val="auto"/>
              </w:rPr>
              <w:t>(1,245,669)</w:t>
            </w:r>
          </w:p>
        </w:tc>
        <w:tc>
          <w:tcPr>
            <w:tcW w:w="16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1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(14,385,591)</w:t>
            </w:r>
          </w:p>
        </w:tc>
      </w:tr>
      <w:tr>
        <w:trPr>
          <w:trHeight w:val="21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35,825,494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104,233,454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37,091,230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105,088,621</w:t>
            </w:r>
          </w:p>
        </w:tc>
        <w:tc>
          <w:tcPr>
            <w:tcW w:w="160" w:type="dxa"/>
            <w:vAlign w:val="bottom"/>
          </w:tcPr>
          <w:p>
            <w:pPr>
              <w:spacing w:after="0"/>
              <w:rPr>
                <w:sz w:val="18"/>
                <w:szCs w:val="18"/>
                <w:color w:val="auto"/>
              </w:rPr>
            </w:pPr>
          </w:p>
        </w:tc>
      </w:tr>
      <w:tr>
        <w:trPr>
          <w:trHeight w:val="230"/>
        </w:trPr>
        <w:tc>
          <w:tcPr>
            <w:tcW w:w="386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Less: Receivable from reinsurers</w:t>
            </w:r>
          </w:p>
        </w:tc>
        <w:tc>
          <w:tcPr>
            <w:tcW w:w="3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260" w:type="dxa"/>
            <w:vAlign w:val="bottom"/>
            <w:gridSpan w:val="2"/>
            <w:shd w:val="clear" w:color="auto" w:fill="DEDED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3,275,247</w:t>
            </w:r>
          </w:p>
        </w:tc>
        <w:tc>
          <w:tcPr>
            <w:tcW w:w="30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260" w:type="dxa"/>
            <w:vAlign w:val="bottom"/>
            <w:gridSpan w:val="2"/>
            <w:shd w:val="clear" w:color="auto" w:fill="DEDED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3,415,644</w:t>
            </w:r>
          </w:p>
        </w:tc>
        <w:tc>
          <w:tcPr>
            <w:tcW w:w="160" w:type="dxa"/>
            <w:vAlign w:val="bottom"/>
            <w:shd w:val="clear" w:color="auto" w:fill="DEDEDE"/>
          </w:tcPr>
          <w:p>
            <w:pPr>
              <w:spacing w:after="0"/>
              <w:rPr>
                <w:sz w:val="19"/>
                <w:szCs w:val="19"/>
                <w:color w:val="auto"/>
              </w:rPr>
            </w:pPr>
          </w:p>
        </w:tc>
      </w:tr>
      <w:tr>
        <w:trPr>
          <w:trHeight w:val="263"/>
        </w:trPr>
        <w:tc>
          <w:tcPr>
            <w:tcW w:w="386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Policyholder account balances, net of reinsurance</w:t>
            </w:r>
          </w:p>
        </w:tc>
        <w:tc>
          <w:tcPr>
            <w:tcW w:w="320" w:type="dxa"/>
            <w:vAlign w:val="bottom"/>
            <w:tcBorders>
              <w:bottom w:val="single" w:sz="8" w:color="DEDED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35,825,494</w:t>
            </w:r>
          </w:p>
        </w:tc>
        <w:tc>
          <w:tcPr>
            <w:tcW w:w="300" w:type="dxa"/>
            <w:vAlign w:val="bottom"/>
            <w:tcBorders>
              <w:bottom w:val="single" w:sz="8" w:color="DEDEDE"/>
            </w:tcBorders>
          </w:tcPr>
          <w:p>
            <w:pPr>
              <w:spacing w:after="0"/>
              <w:rPr>
                <w:sz w:val="22"/>
                <w:szCs w:val="22"/>
                <w:color w:val="auto"/>
              </w:rPr>
            </w:pPr>
          </w:p>
        </w:tc>
        <w:tc>
          <w:tcPr>
            <w:tcW w:w="160" w:type="dxa"/>
            <w:vAlign w:val="bottom"/>
            <w:tcBorders>
              <w:bottom w:val="single" w:sz="8" w:color="DEDED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100,958,207</w:t>
            </w:r>
          </w:p>
        </w:tc>
        <w:tc>
          <w:tcPr>
            <w:tcW w:w="300" w:type="dxa"/>
            <w:vAlign w:val="bottom"/>
            <w:tcBorders>
              <w:bottom w:val="single" w:sz="8" w:color="DEDEDE"/>
            </w:tcBorders>
          </w:tcPr>
          <w:p>
            <w:pPr>
              <w:spacing w:after="0"/>
              <w:rPr>
                <w:sz w:val="22"/>
                <w:szCs w:val="22"/>
                <w:color w:val="auto"/>
              </w:rPr>
            </w:pPr>
          </w:p>
        </w:tc>
        <w:tc>
          <w:tcPr>
            <w:tcW w:w="160" w:type="dxa"/>
            <w:vAlign w:val="bottom"/>
            <w:tcBorders>
              <w:bottom w:val="single" w:sz="8" w:color="DEDED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37,091,230</w:t>
            </w:r>
          </w:p>
        </w:tc>
        <w:tc>
          <w:tcPr>
            <w:tcW w:w="300" w:type="dxa"/>
            <w:vAlign w:val="bottom"/>
            <w:tcBorders>
              <w:bottom w:val="single" w:sz="8" w:color="DEDEDE"/>
            </w:tcBorders>
          </w:tcPr>
          <w:p>
            <w:pPr>
              <w:spacing w:after="0"/>
              <w:rPr>
                <w:sz w:val="22"/>
                <w:szCs w:val="22"/>
                <w:color w:val="auto"/>
              </w:rPr>
            </w:pPr>
          </w:p>
        </w:tc>
        <w:tc>
          <w:tcPr>
            <w:tcW w:w="160" w:type="dxa"/>
            <w:vAlign w:val="bottom"/>
            <w:tcBorders>
              <w:bottom w:val="single" w:sz="8" w:color="DEDED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101,672,977</w:t>
            </w:r>
          </w:p>
        </w:tc>
        <w:tc>
          <w:tcPr>
            <w:tcW w:w="160" w:type="dxa"/>
            <w:vAlign w:val="bottom"/>
            <w:tcBorders>
              <w:bottom w:val="single" w:sz="8" w:color="DEDEDE"/>
            </w:tcBorders>
          </w:tcPr>
          <w:p>
            <w:pPr>
              <w:spacing w:after="0"/>
              <w:rPr>
                <w:sz w:val="22"/>
                <w:szCs w:val="22"/>
                <w:color w:val="auto"/>
              </w:rPr>
            </w:pPr>
          </w:p>
        </w:tc>
      </w:tr>
      <w:tr>
        <w:trPr>
          <w:trHeight w:val="196"/>
        </w:trPr>
        <w:tc>
          <w:tcPr>
            <w:tcW w:w="386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960" w:type="dxa"/>
            <w:vAlign w:val="bottom"/>
            <w:shd w:val="clear" w:color="auto" w:fill="DEDEDE"/>
          </w:tcPr>
          <w:p>
            <w:pPr>
              <w:spacing w:after="0"/>
              <w:rPr>
                <w:sz w:val="17"/>
                <w:szCs w:val="17"/>
                <w:color w:val="auto"/>
              </w:rPr>
            </w:pPr>
          </w:p>
        </w:tc>
        <w:tc>
          <w:tcPr>
            <w:tcW w:w="3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940" w:type="dxa"/>
            <w:vAlign w:val="bottom"/>
            <w:shd w:val="clear" w:color="auto" w:fill="DEDEDE"/>
          </w:tcPr>
          <w:p>
            <w:pPr>
              <w:spacing w:after="0"/>
              <w:rPr>
                <w:sz w:val="17"/>
                <w:szCs w:val="17"/>
                <w:color w:val="auto"/>
              </w:rPr>
            </w:pPr>
          </w:p>
        </w:tc>
        <w:tc>
          <w:tcPr>
            <w:tcW w:w="3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960" w:type="dxa"/>
            <w:vAlign w:val="bottom"/>
            <w:shd w:val="clear" w:color="auto" w:fill="DEDEDE"/>
          </w:tcPr>
          <w:p>
            <w:pPr>
              <w:spacing w:after="0"/>
              <w:rPr>
                <w:sz w:val="17"/>
                <w:szCs w:val="17"/>
                <w:color w:val="auto"/>
              </w:rPr>
            </w:pPr>
          </w:p>
        </w:tc>
        <w:tc>
          <w:tcPr>
            <w:tcW w:w="3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96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crediting rate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3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amount at risk (2)</w:t>
            </w:r>
          </w:p>
        </w:tc>
        <w:tc>
          <w:tcPr>
            <w:tcW w:w="3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132,136,625</w:t>
            </w:r>
          </w:p>
        </w:tc>
        <w:tc>
          <w:tcPr>
            <w:tcW w:w="3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240" w:type="dxa"/>
            <w:vAlign w:val="bottom"/>
            <w:gridSpan w:val="2"/>
            <w:shd w:val="clear" w:color="auto" w:fill="DEDEDE"/>
          </w:tcPr>
          <w:p>
            <w:pPr>
              <w:jc w:val="right"/>
              <w:ind w:right="30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138,917,721</w:t>
            </w:r>
          </w:p>
        </w:tc>
        <w:tc>
          <w:tcPr>
            <w:tcW w:w="3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12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35"/>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Cash surrender value</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35,825,494</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103,752,177</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37,091,230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104,734,535</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128905</wp:posOffset>
                </wp:positionV>
                <wp:extent cx="1783080"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5pt" to="140.4pt,10.15pt" o:allowincell="f" strokecolor="#000000" strokeweight="0.675pt"/>
            </w:pict>
          </mc:Fallback>
        </mc:AlternateContent>
      </w:r>
    </w:p>
    <w:p>
      <w:pPr>
        <w:spacing w:after="0" w:line="185" w:lineRule="exact"/>
        <w:rPr>
          <w:sz w:val="20"/>
          <w:szCs w:val="20"/>
          <w:color w:val="auto"/>
        </w:rPr>
      </w:pPr>
    </w:p>
    <w:p>
      <w:pPr>
        <w:ind w:left="322" w:hanging="322"/>
        <w:spacing w:after="0" w:line="250" w:lineRule="auto"/>
        <w:tabs>
          <w:tab w:leader="none" w:pos="32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included in the policyholder account balances are generally charged a premium and/or monthly assessments on the basis of the account balance. Included in premiums and other considerations on the consolidated statements of earnings.</w:t>
      </w:r>
    </w:p>
    <w:p>
      <w:pPr>
        <w:ind w:left="322" w:hanging="322"/>
        <w:spacing w:after="0" w:line="283" w:lineRule="auto"/>
        <w:tabs>
          <w:tab w:leader="none" w:pos="32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those guarantees of benefits that are payable in the event of death, the net amount at risk is generally defined as the current guaranteed minimum death benefit in excess of the current account balance at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74</w:t>
      </w:r>
    </w:p>
    <w:p>
      <w:pPr>
        <w:sectPr>
          <w:pgSz w:w="12240" w:h="15840" w:orient="portrait"/>
          <w:cols w:equalWidth="0" w:num="1">
            <w:col w:w="11222"/>
          </w:cols>
          <w:pgMar w:left="498" w:top="687" w:right="520" w:bottom="0" w:gutter="0" w:footer="0" w:header="0"/>
        </w:sectPr>
      </w:pPr>
    </w:p>
    <w:bookmarkStart w:id="102" w:name="page103"/>
    <w:bookmarkEnd w:id="102"/>
    <w:p>
      <w:pPr>
        <w:jc w:val="center"/>
        <w:ind w:right="-92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92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92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92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Policyholder Account Balances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summarizes the balances of and changes in Deferred Profit Liability for fixed annuities: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4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740" w:type="dxa"/>
            <w:vAlign w:val="bottom"/>
            <w:tcBorders>
              <w:bottom w:val="single" w:sz="8" w:color="DEDEDE"/>
            </w:tcBorders>
          </w:tcPr>
          <w:p>
            <w:pPr>
              <w:spacing w:after="0"/>
              <w:rPr>
                <w:sz w:val="19"/>
                <w:szCs w:val="19"/>
                <w:color w:val="auto"/>
              </w:rPr>
            </w:pPr>
          </w:p>
        </w:tc>
        <w:tc>
          <w:tcPr>
            <w:tcW w:w="84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DEDEDE"/>
            </w:tcBorders>
          </w:tcPr>
          <w:p>
            <w:pPr>
              <w:spacing w:after="0"/>
              <w:rPr>
                <w:sz w:val="19"/>
                <w:szCs w:val="19"/>
                <w:color w:val="auto"/>
              </w:rPr>
            </w:pPr>
          </w:p>
        </w:tc>
        <w:tc>
          <w:tcPr>
            <w:tcW w:w="8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09"/>
        </w:trPr>
        <w:tc>
          <w:tcPr>
            <w:tcW w:w="47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40" w:type="dxa"/>
            <w:vAlign w:val="bottom"/>
            <w:shd w:val="clear" w:color="auto" w:fill="DEDEDE"/>
          </w:tcPr>
          <w:p>
            <w:pPr>
              <w:spacing w:after="0"/>
              <w:rPr>
                <w:sz w:val="18"/>
                <w:szCs w:val="18"/>
                <w:color w:val="auto"/>
              </w:rPr>
            </w:pP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627,465</w:t>
            </w:r>
          </w:p>
        </w:tc>
        <w:tc>
          <w:tcPr>
            <w:tcW w:w="1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480" w:type="dxa"/>
            <w:vAlign w:val="bottom"/>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738,351</w:t>
            </w:r>
          </w:p>
        </w:tc>
        <w:tc>
          <w:tcPr>
            <w:tcW w:w="80" w:type="dxa"/>
            <w:vAlign w:val="bottom"/>
            <w:shd w:val="clear" w:color="auto" w:fill="DEDEDE"/>
          </w:tcPr>
          <w:p>
            <w:pPr>
              <w:spacing w:after="0"/>
              <w:rPr>
                <w:sz w:val="18"/>
                <w:szCs w:val="18"/>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actual variances from expected experience</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4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Adjusted balance, beginning of period</w:t>
            </w:r>
          </w:p>
        </w:tc>
        <w:tc>
          <w:tcPr>
            <w:tcW w:w="840" w:type="dxa"/>
            <w:vAlign w:val="bottom"/>
            <w:tcBorders>
              <w:top w:val="single" w:sz="8" w:color="DEDEDE"/>
            </w:tcBorders>
            <w:shd w:val="clear" w:color="auto" w:fill="DEDEDE"/>
          </w:tcPr>
          <w:p>
            <w:pPr>
              <w:spacing w:after="0"/>
              <w:rPr>
                <w:sz w:val="18"/>
                <w:szCs w:val="18"/>
                <w:color w:val="auto"/>
              </w:rPr>
            </w:pPr>
          </w:p>
        </w:tc>
        <w:tc>
          <w:tcPr>
            <w:tcW w:w="340" w:type="dxa"/>
            <w:vAlign w:val="bottom"/>
            <w:tcBorders>
              <w:top w:val="single" w:sz="8" w:color="auto"/>
            </w:tcBorders>
            <w:shd w:val="clear" w:color="auto" w:fill="DEDEDE"/>
          </w:tcPr>
          <w:p>
            <w:pPr>
              <w:spacing w:after="0"/>
              <w:rPr>
                <w:sz w:val="18"/>
                <w:szCs w:val="18"/>
                <w:color w:val="auto"/>
              </w:rPr>
            </w:pPr>
          </w:p>
        </w:tc>
        <w:tc>
          <w:tcPr>
            <w:tcW w:w="12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627,465</w:t>
            </w:r>
          </w:p>
        </w:tc>
        <w:tc>
          <w:tcPr>
            <w:tcW w:w="160" w:type="dxa"/>
            <w:vAlign w:val="bottom"/>
            <w:tcBorders>
              <w:top w:val="single" w:sz="8" w:color="DEDEDE"/>
            </w:tcBorders>
            <w:shd w:val="clear" w:color="auto" w:fill="DEDEDE"/>
          </w:tcPr>
          <w:p>
            <w:pPr>
              <w:spacing w:after="0"/>
              <w:rPr>
                <w:sz w:val="18"/>
                <w:szCs w:val="18"/>
                <w:color w:val="auto"/>
              </w:rPr>
            </w:pPr>
          </w:p>
        </w:tc>
        <w:tc>
          <w:tcPr>
            <w:tcW w:w="80" w:type="dxa"/>
            <w:vAlign w:val="bottom"/>
            <w:tcBorders>
              <w:top w:val="single" w:sz="8" w:color="DEDEDE"/>
            </w:tcBorders>
            <w:shd w:val="clear" w:color="auto" w:fill="DEDEDE"/>
          </w:tcPr>
          <w:p>
            <w:pPr>
              <w:spacing w:after="0"/>
              <w:rPr>
                <w:sz w:val="18"/>
                <w:szCs w:val="18"/>
                <w:color w:val="auto"/>
              </w:rPr>
            </w:pPr>
          </w:p>
        </w:tc>
        <w:tc>
          <w:tcPr>
            <w:tcW w:w="480" w:type="dxa"/>
            <w:vAlign w:val="bottom"/>
            <w:tcBorders>
              <w:top w:val="single" w:sz="8" w:color="auto"/>
            </w:tcBorders>
            <w:shd w:val="clear" w:color="auto" w:fill="DEDEDE"/>
          </w:tcPr>
          <w:p>
            <w:pPr>
              <w:spacing w:after="0"/>
              <w:rPr>
                <w:sz w:val="18"/>
                <w:szCs w:val="18"/>
                <w:color w:val="auto"/>
              </w:rPr>
            </w:pPr>
          </w:p>
        </w:tc>
        <w:tc>
          <w:tcPr>
            <w:tcW w:w="10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738,351</w:t>
            </w:r>
          </w:p>
        </w:tc>
        <w:tc>
          <w:tcPr>
            <w:tcW w:w="80" w:type="dxa"/>
            <w:vAlign w:val="bottom"/>
            <w:tcBorders>
              <w:top w:val="single" w:sz="8" w:color="DEDEDE"/>
            </w:tcBorders>
            <w:shd w:val="clear" w:color="auto" w:fill="DEDED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Profits deferred</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Interest accrual</w:t>
            </w:r>
          </w:p>
        </w:tc>
        <w:tc>
          <w:tcPr>
            <w:tcW w:w="8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36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1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(80,663)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(110,886)</w:t>
            </w:r>
          </w:p>
        </w:tc>
      </w:tr>
      <w:tr>
        <w:trPr>
          <w:trHeight w:val="229"/>
        </w:trPr>
        <w:tc>
          <w:tcPr>
            <w:tcW w:w="474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Other adjustments</w:t>
            </w:r>
          </w:p>
        </w:tc>
        <w:tc>
          <w:tcPr>
            <w:tcW w:w="840" w:type="dxa"/>
            <w:vAlign w:val="bottom"/>
            <w:shd w:val="clear" w:color="auto" w:fill="DEDEDE"/>
          </w:tcPr>
          <w:p>
            <w:pPr>
              <w:spacing w:after="0"/>
              <w:rPr>
                <w:sz w:val="19"/>
                <w:szCs w:val="19"/>
                <w:color w:val="auto"/>
              </w:rPr>
            </w:pPr>
          </w:p>
        </w:tc>
        <w:tc>
          <w:tcPr>
            <w:tcW w:w="340" w:type="dxa"/>
            <w:vAlign w:val="bottom"/>
            <w:shd w:val="clear" w:color="auto" w:fill="DEDEDE"/>
          </w:tcPr>
          <w:p>
            <w:pPr>
              <w:spacing w:after="0"/>
              <w:rPr>
                <w:sz w:val="19"/>
                <w:szCs w:val="19"/>
                <w:color w:val="auto"/>
              </w:rPr>
            </w:pPr>
          </w:p>
        </w:tc>
        <w:tc>
          <w:tcPr>
            <w:tcW w:w="136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EDEDE"/>
          </w:tcPr>
          <w:p>
            <w:pPr>
              <w:spacing w:after="0"/>
              <w:rPr>
                <w:sz w:val="19"/>
                <w:szCs w:val="19"/>
                <w:color w:val="auto"/>
              </w:rPr>
            </w:pPr>
          </w:p>
        </w:tc>
        <w:tc>
          <w:tcPr>
            <w:tcW w:w="480" w:type="dxa"/>
            <w:vAlign w:val="bottom"/>
            <w:shd w:val="clear" w:color="auto" w:fill="DEDEDE"/>
          </w:tcPr>
          <w:p>
            <w:pPr>
              <w:spacing w:after="0"/>
              <w:rPr>
                <w:sz w:val="19"/>
                <w:szCs w:val="19"/>
                <w:color w:val="auto"/>
              </w:rPr>
            </w:pPr>
          </w:p>
        </w:tc>
        <w:tc>
          <w:tcPr>
            <w:tcW w:w="11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8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627,465</w:t>
            </w:r>
          </w:p>
        </w:tc>
        <w:tc>
          <w:tcPr>
            <w:tcW w:w="80" w:type="dxa"/>
            <w:vAlign w:val="bottom"/>
          </w:tcPr>
          <w:p>
            <w:pPr>
              <w:spacing w:after="0"/>
              <w:rPr>
                <w:sz w:val="18"/>
                <w:szCs w:val="18"/>
                <w:color w:val="auto"/>
              </w:rPr>
            </w:pPr>
          </w:p>
        </w:tc>
      </w:tr>
      <w:tr>
        <w:trPr>
          <w:trHeight w:val="229"/>
        </w:trPr>
        <w:tc>
          <w:tcPr>
            <w:tcW w:w="474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Less: Receivable from reinsurers</w:t>
            </w:r>
          </w:p>
        </w:tc>
        <w:tc>
          <w:tcPr>
            <w:tcW w:w="840" w:type="dxa"/>
            <w:vAlign w:val="bottom"/>
            <w:shd w:val="clear" w:color="auto" w:fill="DEDEDE"/>
          </w:tcPr>
          <w:p>
            <w:pPr>
              <w:spacing w:after="0"/>
              <w:rPr>
                <w:sz w:val="19"/>
                <w:szCs w:val="19"/>
                <w:color w:val="auto"/>
              </w:rPr>
            </w:pPr>
          </w:p>
        </w:tc>
        <w:tc>
          <w:tcPr>
            <w:tcW w:w="340" w:type="dxa"/>
            <w:vAlign w:val="bottom"/>
            <w:shd w:val="clear" w:color="auto" w:fill="DEDEDE"/>
          </w:tcPr>
          <w:p>
            <w:pPr>
              <w:spacing w:after="0"/>
              <w:rPr>
                <w:sz w:val="19"/>
                <w:szCs w:val="19"/>
                <w:color w:val="auto"/>
              </w:rPr>
            </w:pPr>
          </w:p>
        </w:tc>
        <w:tc>
          <w:tcPr>
            <w:tcW w:w="136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EDEDE"/>
          </w:tcPr>
          <w:p>
            <w:pPr>
              <w:spacing w:after="0"/>
              <w:rPr>
                <w:sz w:val="19"/>
                <w:szCs w:val="19"/>
                <w:color w:val="auto"/>
              </w:rPr>
            </w:pPr>
          </w:p>
        </w:tc>
        <w:tc>
          <w:tcPr>
            <w:tcW w:w="480" w:type="dxa"/>
            <w:vAlign w:val="bottom"/>
            <w:shd w:val="clear" w:color="auto" w:fill="DEDEDE"/>
          </w:tcPr>
          <w:p>
            <w:pPr>
              <w:spacing w:after="0"/>
              <w:rPr>
                <w:sz w:val="19"/>
                <w:szCs w:val="19"/>
                <w:color w:val="auto"/>
              </w:rPr>
            </w:pPr>
          </w:p>
        </w:tc>
        <w:tc>
          <w:tcPr>
            <w:tcW w:w="11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Deferred profit liability, net of reinsurance</w:t>
            </w:r>
          </w:p>
        </w:tc>
        <w:tc>
          <w:tcPr>
            <w:tcW w:w="8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546,802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627,465</w:t>
            </w:r>
          </w:p>
        </w:tc>
        <w:tc>
          <w:tcPr>
            <w:tcW w:w="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542"/>
        <w:spacing w:after="0"/>
        <w:rPr>
          <w:sz w:val="20"/>
          <w:szCs w:val="20"/>
          <w:color w:val="auto"/>
        </w:rPr>
      </w:pPr>
      <w:r>
        <w:rPr>
          <w:rFonts w:ascii="Times New Roman" w:cs="Times New Roman" w:eastAsia="Times New Roman" w:hAnsi="Times New Roman"/>
          <w:sz w:val="18"/>
          <w:szCs w:val="18"/>
          <w:color w:val="auto"/>
        </w:rPr>
        <w:t>75</w:t>
      </w:r>
    </w:p>
    <w:p>
      <w:pPr>
        <w:sectPr>
          <w:pgSz w:w="12240" w:h="15840" w:orient="portrait"/>
          <w:cols w:equalWidth="0" w:num="1">
            <w:col w:w="10302"/>
          </w:cols>
          <w:pgMar w:left="498" w:top="687" w:right="1440" w:bottom="0" w:gutter="0" w:footer="0" w:header="0"/>
        </w:sectPr>
      </w:pPr>
    </w:p>
    <w:bookmarkStart w:id="103" w:name="page104"/>
    <w:bookmarkEnd w:id="103"/>
    <w:p>
      <w:pPr>
        <w:jc w:val="center"/>
        <w:ind w:right="-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Policyholder Account Balances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spacing w:after="0" w:line="258" w:lineRule="auto"/>
        <w:rPr>
          <w:sz w:val="20"/>
          <w:szCs w:val="20"/>
          <w:color w:val="auto"/>
        </w:rPr>
      </w:pPr>
      <w:r>
        <w:rPr>
          <w:rFonts w:ascii="Times New Roman" w:cs="Times New Roman" w:eastAsia="Times New Roman" w:hAnsi="Times New Roman"/>
          <w:sz w:val="18"/>
          <w:szCs w:val="18"/>
          <w:color w:val="auto"/>
        </w:rPr>
        <w:t>The balance of account values by range of guaranteed minimum crediting rates and the related range of difference, in basis points, between rates being credited to policyholders and the respective guaranteed minimums for the lines of business indicated are as follows:</w:t>
      </w:r>
    </w:p>
    <w:tbl>
      <w:tblPr>
        <w:tblLayout w:type="fixed"/>
        <w:tblInd w:w="2" w:type="dxa"/>
        <w:tblCellMar>
          <w:top w:w="0" w:type="dxa"/>
          <w:left w:w="0" w:type="dxa"/>
          <w:bottom w:w="0" w:type="dxa"/>
          <w:right w:w="0" w:type="dxa"/>
        </w:tblCellMar>
      </w:tblPr>
      <w:tr>
        <w:trPr>
          <w:trHeight w:val="235"/>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6"/>
              </w:rPr>
              <w:t>Greater</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1-50 bps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51-150 bps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than 150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above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above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bps above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guaranteed</w:t>
            </w:r>
          </w:p>
        </w:tc>
        <w:tc>
          <w:tcPr>
            <w:tcW w:w="1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guaranteed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guaranteed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guaranteed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Range of Guaranteed Minimum Crediting Rate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minimum</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minimum</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minimum</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minimum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169"/>
        </w:trPr>
        <w:tc>
          <w:tcPr>
            <w:tcW w:w="3540" w:type="dxa"/>
            <w:vAlign w:val="bottom"/>
            <w:tcBorders>
              <w:top w:val="single" w:sz="8" w:color="auto"/>
            </w:tcBorders>
            <w:gridSpan w:val="3"/>
            <w:shd w:val="clear" w:color="auto" w:fill="DEDEDE"/>
          </w:tcPr>
          <w:p>
            <w:pPr>
              <w:spacing w:after="0" w:line="170" w:lineRule="exact"/>
              <w:rPr>
                <w:sz w:val="20"/>
                <w:szCs w:val="20"/>
                <w:color w:val="auto"/>
              </w:rPr>
            </w:pPr>
            <w:r>
              <w:rPr>
                <w:rFonts w:ascii="Times New Roman" w:cs="Times New Roman" w:eastAsia="Times New Roman" w:hAnsi="Times New Roman"/>
                <w:sz w:val="18"/>
                <w:szCs w:val="18"/>
                <w:color w:val="auto"/>
              </w:rPr>
              <w:t>Universal Life</w:t>
            </w:r>
          </w:p>
        </w:tc>
        <w:tc>
          <w:tcPr>
            <w:tcW w:w="20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920" w:type="dxa"/>
            <w:vAlign w:val="bottom"/>
            <w:tcBorders>
              <w:top w:val="single" w:sz="8" w:color="auto"/>
            </w:tcBorders>
            <w:shd w:val="clear" w:color="auto" w:fill="DEDEDE"/>
          </w:tcPr>
          <w:p>
            <w:pPr>
              <w:spacing w:after="0"/>
              <w:rPr>
                <w:sz w:val="14"/>
                <w:szCs w:val="14"/>
                <w:color w:val="auto"/>
              </w:rPr>
            </w:pPr>
          </w:p>
        </w:tc>
        <w:tc>
          <w:tcPr>
            <w:tcW w:w="160" w:type="dxa"/>
            <w:vAlign w:val="bottom"/>
            <w:tcBorders>
              <w:top w:val="single" w:sz="8" w:color="DEDEDE"/>
            </w:tcBorders>
            <w:shd w:val="clear" w:color="auto" w:fill="DEDEDE"/>
          </w:tcPr>
          <w:p>
            <w:pPr>
              <w:spacing w:after="0"/>
              <w:rPr>
                <w:sz w:val="14"/>
                <w:szCs w:val="14"/>
                <w:color w:val="auto"/>
              </w:rPr>
            </w:pPr>
          </w:p>
        </w:tc>
        <w:tc>
          <w:tcPr>
            <w:tcW w:w="16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820" w:type="dxa"/>
            <w:vAlign w:val="bottom"/>
            <w:tcBorders>
              <w:top w:val="single" w:sz="8" w:color="auto"/>
            </w:tcBorders>
            <w:shd w:val="clear" w:color="auto" w:fill="DEDEDE"/>
          </w:tcPr>
          <w:p>
            <w:pPr>
              <w:spacing w:after="0"/>
              <w:rPr>
                <w:sz w:val="14"/>
                <w:szCs w:val="14"/>
                <w:color w:val="auto"/>
              </w:rPr>
            </w:pPr>
          </w:p>
        </w:tc>
        <w:tc>
          <w:tcPr>
            <w:tcW w:w="80" w:type="dxa"/>
            <w:vAlign w:val="bottom"/>
            <w:tcBorders>
              <w:top w:val="single" w:sz="8" w:color="DEDEDE"/>
            </w:tcBorders>
            <w:shd w:val="clear" w:color="auto" w:fill="DEDEDE"/>
          </w:tcPr>
          <w:p>
            <w:pPr>
              <w:spacing w:after="0"/>
              <w:rPr>
                <w:sz w:val="14"/>
                <w:szCs w:val="14"/>
                <w:color w:val="auto"/>
              </w:rPr>
            </w:pPr>
          </w:p>
        </w:tc>
        <w:tc>
          <w:tcPr>
            <w:tcW w:w="340" w:type="dxa"/>
            <w:vAlign w:val="bottom"/>
            <w:tcBorders>
              <w:top w:val="single" w:sz="8" w:color="DEDEDE"/>
            </w:tcBorders>
            <w:shd w:val="clear" w:color="auto" w:fill="DEDEDE"/>
          </w:tcPr>
          <w:p>
            <w:pPr>
              <w:spacing w:after="0"/>
              <w:rPr>
                <w:sz w:val="14"/>
                <w:szCs w:val="14"/>
                <w:color w:val="auto"/>
              </w:rPr>
            </w:pPr>
          </w:p>
        </w:tc>
        <w:tc>
          <w:tcPr>
            <w:tcW w:w="80" w:type="dxa"/>
            <w:vAlign w:val="bottom"/>
            <w:tcBorders>
              <w:top w:val="single" w:sz="8" w:color="auto"/>
            </w:tcBorders>
            <w:shd w:val="clear" w:color="auto" w:fill="DEDEDE"/>
          </w:tcPr>
          <w:p>
            <w:pPr>
              <w:spacing w:after="0"/>
              <w:rPr>
                <w:sz w:val="14"/>
                <w:szCs w:val="14"/>
                <w:color w:val="auto"/>
              </w:rPr>
            </w:pPr>
          </w:p>
        </w:tc>
        <w:tc>
          <w:tcPr>
            <w:tcW w:w="940" w:type="dxa"/>
            <w:vAlign w:val="bottom"/>
            <w:tcBorders>
              <w:top w:val="single" w:sz="8" w:color="auto"/>
            </w:tcBorders>
            <w:shd w:val="clear" w:color="auto" w:fill="DEDEDE"/>
          </w:tcPr>
          <w:p>
            <w:pPr>
              <w:spacing w:after="0"/>
              <w:rPr>
                <w:sz w:val="14"/>
                <w:szCs w:val="14"/>
                <w:color w:val="auto"/>
              </w:rPr>
            </w:pPr>
          </w:p>
        </w:tc>
        <w:tc>
          <w:tcPr>
            <w:tcW w:w="200" w:type="dxa"/>
            <w:vAlign w:val="bottom"/>
            <w:tcBorders>
              <w:top w:val="single" w:sz="8" w:color="DEDEDE"/>
            </w:tcBorders>
            <w:shd w:val="clear" w:color="auto" w:fill="DEDEDE"/>
          </w:tcPr>
          <w:p>
            <w:pPr>
              <w:spacing w:after="0"/>
              <w:rPr>
                <w:sz w:val="14"/>
                <w:szCs w:val="14"/>
                <w:color w:val="auto"/>
              </w:rPr>
            </w:pPr>
          </w:p>
        </w:tc>
        <w:tc>
          <w:tcPr>
            <w:tcW w:w="8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900" w:type="dxa"/>
            <w:vAlign w:val="bottom"/>
            <w:tcBorders>
              <w:top w:val="single" w:sz="8" w:color="auto"/>
            </w:tcBorders>
            <w:shd w:val="clear" w:color="auto" w:fill="DEDEDE"/>
          </w:tcPr>
          <w:p>
            <w:pPr>
              <w:spacing w:after="0"/>
              <w:rPr>
                <w:sz w:val="14"/>
                <w:szCs w:val="14"/>
                <w:color w:val="auto"/>
              </w:rPr>
            </w:pPr>
          </w:p>
        </w:tc>
        <w:tc>
          <w:tcPr>
            <w:tcW w:w="28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900" w:type="dxa"/>
            <w:vAlign w:val="bottom"/>
            <w:tcBorders>
              <w:top w:val="single" w:sz="8" w:color="auto"/>
            </w:tcBorders>
            <w:shd w:val="clear" w:color="auto" w:fill="DEDEDE"/>
          </w:tcPr>
          <w:p>
            <w:pPr>
              <w:spacing w:after="0"/>
              <w:rPr>
                <w:sz w:val="14"/>
                <w:szCs w:val="14"/>
                <w:color w:val="auto"/>
              </w:rPr>
            </w:pPr>
          </w:p>
        </w:tc>
        <w:tc>
          <w:tcPr>
            <w:tcW w:w="100" w:type="dxa"/>
            <w:vAlign w:val="bottom"/>
            <w:tcBorders>
              <w:top w:val="single" w:sz="8" w:color="DEDEDE"/>
            </w:tcBorders>
            <w:shd w:val="clear" w:color="auto" w:fill="DEDEDE"/>
          </w:tcPr>
          <w:p>
            <w:pPr>
              <w:spacing w:after="0"/>
              <w:rPr>
                <w:sz w:val="14"/>
                <w:szCs w:val="14"/>
                <w:color w:val="auto"/>
              </w:rPr>
            </w:pPr>
          </w:p>
        </w:tc>
      </w:tr>
      <w:tr>
        <w:trPr>
          <w:trHeight w:val="34"/>
        </w:trPr>
        <w:tc>
          <w:tcPr>
            <w:tcW w:w="1040" w:type="dxa"/>
            <w:vAlign w:val="bottom"/>
            <w:tcBorders>
              <w:top w:val="single" w:sz="8" w:color="auto"/>
            </w:tcBorders>
            <w:shd w:val="clear" w:color="auto" w:fill="DEDEDE"/>
          </w:tcPr>
          <w:p>
            <w:pPr>
              <w:spacing w:after="0"/>
              <w:rPr>
                <w:sz w:val="2"/>
                <w:szCs w:val="2"/>
                <w:color w:val="auto"/>
              </w:rPr>
            </w:pPr>
          </w:p>
        </w:tc>
        <w:tc>
          <w:tcPr>
            <w:tcW w:w="120" w:type="dxa"/>
            <w:vAlign w:val="bottom"/>
            <w:tcBorders>
              <w:top w:val="single" w:sz="8" w:color="DEDEDE"/>
            </w:tcBorders>
            <w:shd w:val="clear" w:color="auto" w:fill="DEDEDE"/>
          </w:tcPr>
          <w:p>
            <w:pPr>
              <w:spacing w:after="0"/>
              <w:rPr>
                <w:sz w:val="2"/>
                <w:szCs w:val="2"/>
                <w:color w:val="auto"/>
              </w:rPr>
            </w:pPr>
          </w:p>
        </w:tc>
        <w:tc>
          <w:tcPr>
            <w:tcW w:w="2380" w:type="dxa"/>
            <w:vAlign w:val="bottom"/>
            <w:tcBorders>
              <w:top w:val="single" w:sz="8" w:color="DEDEDE"/>
            </w:tcBorders>
            <w:shd w:val="clear" w:color="auto" w:fill="DEDEDE"/>
          </w:tcPr>
          <w:p>
            <w:pPr>
              <w:spacing w:after="0"/>
              <w:rPr>
                <w:sz w:val="2"/>
                <w:szCs w:val="2"/>
                <w:color w:val="auto"/>
              </w:rPr>
            </w:pPr>
          </w:p>
        </w:tc>
        <w:tc>
          <w:tcPr>
            <w:tcW w:w="200" w:type="dxa"/>
            <w:vAlign w:val="bottom"/>
            <w:tcBorders>
              <w:top w:val="single" w:sz="8" w:color="DEDEDE"/>
            </w:tcBorders>
            <w:shd w:val="clear" w:color="auto" w:fill="DEDEDE"/>
          </w:tcPr>
          <w:p>
            <w:pPr>
              <w:spacing w:after="0"/>
              <w:rPr>
                <w:sz w:val="2"/>
                <w:szCs w:val="2"/>
                <w:color w:val="auto"/>
              </w:rPr>
            </w:pPr>
          </w:p>
        </w:tc>
        <w:tc>
          <w:tcPr>
            <w:tcW w:w="100" w:type="dxa"/>
            <w:vAlign w:val="bottom"/>
            <w:tcBorders>
              <w:top w:val="single" w:sz="8" w:color="DEDEDE"/>
            </w:tcBorders>
            <w:shd w:val="clear" w:color="auto" w:fill="DEDEDE"/>
          </w:tcPr>
          <w:p>
            <w:pPr>
              <w:spacing w:after="0"/>
              <w:rPr>
                <w:sz w:val="2"/>
                <w:szCs w:val="2"/>
                <w:color w:val="auto"/>
              </w:rPr>
            </w:pPr>
          </w:p>
        </w:tc>
        <w:tc>
          <w:tcPr>
            <w:tcW w:w="920" w:type="dxa"/>
            <w:vAlign w:val="bottom"/>
            <w:tcBorders>
              <w:top w:val="single" w:sz="8" w:color="DEDEDE"/>
            </w:tcBorders>
            <w:shd w:val="clear" w:color="auto" w:fill="DEDEDE"/>
          </w:tcPr>
          <w:p>
            <w:pPr>
              <w:spacing w:after="0"/>
              <w:rPr>
                <w:sz w:val="2"/>
                <w:szCs w:val="2"/>
                <w:color w:val="auto"/>
              </w:rPr>
            </w:pPr>
          </w:p>
        </w:tc>
        <w:tc>
          <w:tcPr>
            <w:tcW w:w="160" w:type="dxa"/>
            <w:vAlign w:val="bottom"/>
            <w:tcBorders>
              <w:top w:val="single" w:sz="8" w:color="DEDEDE"/>
            </w:tcBorders>
            <w:shd w:val="clear" w:color="auto" w:fill="DEDEDE"/>
          </w:tcPr>
          <w:p>
            <w:pPr>
              <w:spacing w:after="0"/>
              <w:rPr>
                <w:sz w:val="2"/>
                <w:szCs w:val="2"/>
                <w:color w:val="auto"/>
              </w:rPr>
            </w:pPr>
          </w:p>
        </w:tc>
        <w:tc>
          <w:tcPr>
            <w:tcW w:w="160" w:type="dxa"/>
            <w:vAlign w:val="bottom"/>
            <w:tcBorders>
              <w:top w:val="single" w:sz="8" w:color="DEDEDE"/>
            </w:tcBorders>
            <w:shd w:val="clear" w:color="auto" w:fill="DEDEDE"/>
          </w:tcPr>
          <w:p>
            <w:pPr>
              <w:spacing w:after="0"/>
              <w:rPr>
                <w:sz w:val="2"/>
                <w:szCs w:val="2"/>
                <w:color w:val="auto"/>
              </w:rPr>
            </w:pPr>
          </w:p>
        </w:tc>
        <w:tc>
          <w:tcPr>
            <w:tcW w:w="100" w:type="dxa"/>
            <w:vAlign w:val="bottom"/>
            <w:tcBorders>
              <w:top w:val="single" w:sz="8" w:color="DEDEDE"/>
            </w:tcBorders>
            <w:shd w:val="clear" w:color="auto" w:fill="DEDEDE"/>
          </w:tcPr>
          <w:p>
            <w:pPr>
              <w:spacing w:after="0"/>
              <w:rPr>
                <w:sz w:val="2"/>
                <w:szCs w:val="2"/>
                <w:color w:val="auto"/>
              </w:rPr>
            </w:pPr>
          </w:p>
        </w:tc>
        <w:tc>
          <w:tcPr>
            <w:tcW w:w="820" w:type="dxa"/>
            <w:vAlign w:val="bottom"/>
            <w:tcBorders>
              <w:top w:val="single" w:sz="8" w:color="DEDEDE"/>
            </w:tcBorders>
            <w:shd w:val="clear" w:color="auto" w:fill="DEDEDE"/>
          </w:tcPr>
          <w:p>
            <w:pPr>
              <w:spacing w:after="0"/>
              <w:rPr>
                <w:sz w:val="2"/>
                <w:szCs w:val="2"/>
                <w:color w:val="auto"/>
              </w:rPr>
            </w:pPr>
          </w:p>
        </w:tc>
        <w:tc>
          <w:tcPr>
            <w:tcW w:w="80" w:type="dxa"/>
            <w:vAlign w:val="bottom"/>
            <w:tcBorders>
              <w:top w:val="single" w:sz="8" w:color="DEDEDE"/>
            </w:tcBorders>
            <w:shd w:val="clear" w:color="auto" w:fill="DEDEDE"/>
          </w:tcPr>
          <w:p>
            <w:pPr>
              <w:spacing w:after="0"/>
              <w:rPr>
                <w:sz w:val="2"/>
                <w:szCs w:val="2"/>
                <w:color w:val="auto"/>
              </w:rPr>
            </w:pPr>
          </w:p>
        </w:tc>
        <w:tc>
          <w:tcPr>
            <w:tcW w:w="340" w:type="dxa"/>
            <w:vAlign w:val="bottom"/>
            <w:tcBorders>
              <w:top w:val="single" w:sz="8" w:color="DEDEDE"/>
            </w:tcBorders>
            <w:shd w:val="clear" w:color="auto" w:fill="DEDEDE"/>
          </w:tcPr>
          <w:p>
            <w:pPr>
              <w:spacing w:after="0"/>
              <w:rPr>
                <w:sz w:val="2"/>
                <w:szCs w:val="2"/>
                <w:color w:val="auto"/>
              </w:rPr>
            </w:pPr>
          </w:p>
        </w:tc>
        <w:tc>
          <w:tcPr>
            <w:tcW w:w="80" w:type="dxa"/>
            <w:vAlign w:val="bottom"/>
            <w:tcBorders>
              <w:top w:val="single" w:sz="8" w:color="DEDEDE"/>
            </w:tcBorders>
            <w:shd w:val="clear" w:color="auto" w:fill="DEDEDE"/>
          </w:tcPr>
          <w:p>
            <w:pPr>
              <w:spacing w:after="0"/>
              <w:rPr>
                <w:sz w:val="2"/>
                <w:szCs w:val="2"/>
                <w:color w:val="auto"/>
              </w:rPr>
            </w:pPr>
          </w:p>
        </w:tc>
        <w:tc>
          <w:tcPr>
            <w:tcW w:w="940" w:type="dxa"/>
            <w:vAlign w:val="bottom"/>
            <w:tcBorders>
              <w:top w:val="single" w:sz="8" w:color="DEDEDE"/>
            </w:tcBorders>
            <w:shd w:val="clear" w:color="auto" w:fill="DEDEDE"/>
          </w:tcPr>
          <w:p>
            <w:pPr>
              <w:spacing w:after="0"/>
              <w:rPr>
                <w:sz w:val="2"/>
                <w:szCs w:val="2"/>
                <w:color w:val="auto"/>
              </w:rPr>
            </w:pPr>
          </w:p>
        </w:tc>
        <w:tc>
          <w:tcPr>
            <w:tcW w:w="200" w:type="dxa"/>
            <w:vAlign w:val="bottom"/>
            <w:tcBorders>
              <w:top w:val="single" w:sz="8" w:color="DEDEDE"/>
            </w:tcBorders>
            <w:shd w:val="clear" w:color="auto" w:fill="DEDEDE"/>
          </w:tcPr>
          <w:p>
            <w:pPr>
              <w:spacing w:after="0"/>
              <w:rPr>
                <w:sz w:val="2"/>
                <w:szCs w:val="2"/>
                <w:color w:val="auto"/>
              </w:rPr>
            </w:pPr>
          </w:p>
        </w:tc>
        <w:tc>
          <w:tcPr>
            <w:tcW w:w="80" w:type="dxa"/>
            <w:vAlign w:val="bottom"/>
            <w:tcBorders>
              <w:top w:val="single" w:sz="8" w:color="DEDEDE"/>
            </w:tcBorders>
            <w:shd w:val="clear" w:color="auto" w:fill="DEDEDE"/>
          </w:tcPr>
          <w:p>
            <w:pPr>
              <w:spacing w:after="0"/>
              <w:rPr>
                <w:sz w:val="2"/>
                <w:szCs w:val="2"/>
                <w:color w:val="auto"/>
              </w:rPr>
            </w:pPr>
          </w:p>
        </w:tc>
        <w:tc>
          <w:tcPr>
            <w:tcW w:w="100" w:type="dxa"/>
            <w:vAlign w:val="bottom"/>
            <w:tcBorders>
              <w:top w:val="single" w:sz="8" w:color="DEDEDE"/>
            </w:tcBorders>
            <w:shd w:val="clear" w:color="auto" w:fill="DEDEDE"/>
          </w:tcPr>
          <w:p>
            <w:pPr>
              <w:spacing w:after="0"/>
              <w:rPr>
                <w:sz w:val="2"/>
                <w:szCs w:val="2"/>
                <w:color w:val="auto"/>
              </w:rPr>
            </w:pPr>
          </w:p>
        </w:tc>
        <w:tc>
          <w:tcPr>
            <w:tcW w:w="900" w:type="dxa"/>
            <w:vAlign w:val="bottom"/>
            <w:tcBorders>
              <w:top w:val="single" w:sz="8" w:color="DEDEDE"/>
            </w:tcBorders>
            <w:shd w:val="clear" w:color="auto" w:fill="DEDEDE"/>
          </w:tcPr>
          <w:p>
            <w:pPr>
              <w:spacing w:after="0"/>
              <w:rPr>
                <w:sz w:val="2"/>
                <w:szCs w:val="2"/>
                <w:color w:val="auto"/>
              </w:rPr>
            </w:pPr>
          </w:p>
        </w:tc>
        <w:tc>
          <w:tcPr>
            <w:tcW w:w="280" w:type="dxa"/>
            <w:vAlign w:val="bottom"/>
            <w:tcBorders>
              <w:top w:val="single" w:sz="8" w:color="DEDEDE"/>
            </w:tcBorders>
            <w:shd w:val="clear" w:color="auto" w:fill="DEDEDE"/>
          </w:tcPr>
          <w:p>
            <w:pPr>
              <w:spacing w:after="0"/>
              <w:rPr>
                <w:sz w:val="2"/>
                <w:szCs w:val="2"/>
                <w:color w:val="auto"/>
              </w:rPr>
            </w:pPr>
          </w:p>
        </w:tc>
        <w:tc>
          <w:tcPr>
            <w:tcW w:w="100" w:type="dxa"/>
            <w:vAlign w:val="bottom"/>
            <w:tcBorders>
              <w:top w:val="single" w:sz="8" w:color="DEDEDE"/>
            </w:tcBorders>
            <w:shd w:val="clear" w:color="auto" w:fill="DEDEDE"/>
          </w:tcPr>
          <w:p>
            <w:pPr>
              <w:spacing w:after="0"/>
              <w:rPr>
                <w:sz w:val="2"/>
                <w:szCs w:val="2"/>
                <w:color w:val="auto"/>
              </w:rPr>
            </w:pPr>
          </w:p>
        </w:tc>
        <w:tc>
          <w:tcPr>
            <w:tcW w:w="900" w:type="dxa"/>
            <w:vAlign w:val="bottom"/>
            <w:tcBorders>
              <w:top w:val="single" w:sz="8" w:color="DEDEDE"/>
            </w:tcBorders>
            <w:shd w:val="clear" w:color="auto" w:fill="DEDEDE"/>
          </w:tcPr>
          <w:p>
            <w:pPr>
              <w:spacing w:after="0"/>
              <w:rPr>
                <w:sz w:val="2"/>
                <w:szCs w:val="2"/>
                <w:color w:val="auto"/>
              </w:rPr>
            </w:pPr>
          </w:p>
        </w:tc>
        <w:tc>
          <w:tcPr>
            <w:tcW w:w="100" w:type="dxa"/>
            <w:vAlign w:val="bottom"/>
            <w:tcBorders>
              <w:top w:val="single" w:sz="8" w:color="DEDEDE"/>
            </w:tcBorders>
            <w:shd w:val="clear" w:color="auto" w:fill="DEDEDE"/>
          </w:tcPr>
          <w:p>
            <w:pPr>
              <w:spacing w:after="0"/>
              <w:rPr>
                <w:sz w:val="2"/>
                <w:szCs w:val="2"/>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than 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gridSpan w:val="3"/>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1.00% - 1.99%</w:t>
            </w:r>
          </w:p>
        </w:tc>
        <w:tc>
          <w:tcPr>
            <w:tcW w:w="2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08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14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00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2.00% - 2.99%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gridSpan w:val="3"/>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3.00% - 4.00%</w:t>
            </w:r>
          </w:p>
        </w:tc>
        <w:tc>
          <w:tcPr>
            <w:tcW w:w="2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25,201,294</w:t>
            </w: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1,539,544</w:t>
            </w:r>
          </w:p>
        </w:tc>
        <w:tc>
          <w:tcPr>
            <w:tcW w:w="2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26,740,838</w:t>
            </w:r>
          </w:p>
        </w:tc>
        <w:tc>
          <w:tcPr>
            <w:tcW w:w="100" w:type="dxa"/>
            <w:vAlign w:val="bottom"/>
            <w:shd w:val="clear" w:color="auto" w:fill="DEDEDE"/>
          </w:tcPr>
          <w:p>
            <w:pPr>
              <w:spacing w:after="0"/>
              <w:rPr>
                <w:sz w:val="18"/>
                <w:szCs w:val="18"/>
                <w:color w:val="auto"/>
              </w:rPr>
            </w:pPr>
          </w:p>
        </w:tc>
      </w:tr>
      <w:tr>
        <w:trPr>
          <w:trHeight w:val="229"/>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Greater than 4.00%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4,413,796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4,670,860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9,084,656</w:t>
            </w:r>
          </w:p>
        </w:tc>
        <w:tc>
          <w:tcPr>
            <w:tcW w:w="100" w:type="dxa"/>
            <w:vAlign w:val="bottom"/>
          </w:tcPr>
          <w:p>
            <w:pPr>
              <w:spacing w:after="0"/>
              <w:rPr>
                <w:sz w:val="19"/>
                <w:szCs w:val="19"/>
                <w:color w:val="auto"/>
              </w:rPr>
            </w:pPr>
          </w:p>
        </w:tc>
      </w:tr>
      <w:tr>
        <w:trPr>
          <w:trHeight w:val="223"/>
        </w:trPr>
        <w:tc>
          <w:tcPr>
            <w:tcW w:w="3540" w:type="dxa"/>
            <w:vAlign w:val="bottom"/>
            <w:tcBorders>
              <w:top w:val="single" w:sz="8" w:color="DEDEDE"/>
              <w:bottom w:val="single" w:sz="8" w:color="DEDEDE"/>
            </w:tcBorders>
            <w:gridSpan w:val="3"/>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29,615,090</w:t>
            </w: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4,670,860</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340" w:type="dxa"/>
            <w:vAlign w:val="bottom"/>
            <w:tcBorders>
              <w:top w:val="single" w:sz="8" w:color="DEDEDE"/>
              <w:bottom w:val="single" w:sz="8" w:color="DEDEDE"/>
            </w:tcBorders>
            <w:shd w:val="clear" w:color="auto" w:fill="DEDEDE"/>
          </w:tcPr>
          <w:p>
            <w:pPr>
              <w:spacing w:after="0"/>
              <w:rPr>
                <w:sz w:val="19"/>
                <w:szCs w:val="19"/>
                <w:color w:val="auto"/>
              </w:rPr>
            </w:pPr>
          </w:p>
        </w:tc>
        <w:tc>
          <w:tcPr>
            <w:tcW w:w="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1,539,544</w:t>
            </w: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35,825,494</w:t>
            </w: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160" w:type="dxa"/>
            <w:vAlign w:val="bottom"/>
            <w:tcBorders>
              <w:bottom w:val="single" w:sz="8" w:color="auto"/>
            </w:tcBorders>
            <w:gridSpan w:val="2"/>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w w:val="98"/>
              </w:rPr>
              <w:t>Fixed Annuities</w:t>
            </w:r>
          </w:p>
        </w:tc>
        <w:tc>
          <w:tcPr>
            <w:tcW w:w="2380" w:type="dxa"/>
            <w:vAlign w:val="bottom"/>
            <w:tcBorders>
              <w:bottom w:val="single" w:sz="8" w:color="DEDEDE"/>
            </w:tcBorders>
            <w:shd w:val="clear" w:color="auto" w:fill="DEDEDE"/>
          </w:tcPr>
          <w:p>
            <w:pPr>
              <w:spacing w:after="0"/>
              <w:rPr>
                <w:sz w:val="17"/>
                <w:szCs w:val="17"/>
                <w:color w:val="auto"/>
              </w:rPr>
            </w:pPr>
          </w:p>
        </w:tc>
        <w:tc>
          <w:tcPr>
            <w:tcW w:w="200" w:type="dxa"/>
            <w:vAlign w:val="bottom"/>
            <w:tcBorders>
              <w:bottom w:val="single" w:sz="8" w:color="DEDEDE"/>
            </w:tcBorders>
            <w:shd w:val="clear" w:color="auto" w:fill="DEDEDE"/>
          </w:tcPr>
          <w:p>
            <w:pPr>
              <w:spacing w:after="0"/>
              <w:rPr>
                <w:sz w:val="17"/>
                <w:szCs w:val="17"/>
                <w:color w:val="auto"/>
              </w:rPr>
            </w:pPr>
          </w:p>
        </w:tc>
        <w:tc>
          <w:tcPr>
            <w:tcW w:w="100" w:type="dxa"/>
            <w:vAlign w:val="bottom"/>
            <w:tcBorders>
              <w:bottom w:val="single" w:sz="8" w:color="DEDEDE"/>
            </w:tcBorders>
            <w:shd w:val="clear" w:color="auto" w:fill="DEDEDE"/>
          </w:tcPr>
          <w:p>
            <w:pPr>
              <w:spacing w:after="0"/>
              <w:rPr>
                <w:sz w:val="17"/>
                <w:szCs w:val="17"/>
                <w:color w:val="auto"/>
              </w:rPr>
            </w:pPr>
          </w:p>
        </w:tc>
        <w:tc>
          <w:tcPr>
            <w:tcW w:w="920" w:type="dxa"/>
            <w:vAlign w:val="bottom"/>
            <w:tcBorders>
              <w:bottom w:val="single" w:sz="8" w:color="DEDEDE"/>
            </w:tcBorders>
            <w:shd w:val="clear" w:color="auto" w:fill="DEDEDE"/>
          </w:tcPr>
          <w:p>
            <w:pPr>
              <w:spacing w:after="0"/>
              <w:rPr>
                <w:sz w:val="17"/>
                <w:szCs w:val="17"/>
                <w:color w:val="auto"/>
              </w:rPr>
            </w:pPr>
          </w:p>
        </w:tc>
        <w:tc>
          <w:tcPr>
            <w:tcW w:w="160" w:type="dxa"/>
            <w:vAlign w:val="bottom"/>
            <w:tcBorders>
              <w:bottom w:val="single" w:sz="8" w:color="DEDEDE"/>
            </w:tcBorders>
            <w:shd w:val="clear" w:color="auto" w:fill="DEDEDE"/>
          </w:tcPr>
          <w:p>
            <w:pPr>
              <w:spacing w:after="0"/>
              <w:rPr>
                <w:sz w:val="17"/>
                <w:szCs w:val="17"/>
                <w:color w:val="auto"/>
              </w:rPr>
            </w:pPr>
          </w:p>
        </w:tc>
        <w:tc>
          <w:tcPr>
            <w:tcW w:w="160" w:type="dxa"/>
            <w:vAlign w:val="bottom"/>
            <w:tcBorders>
              <w:bottom w:val="single" w:sz="8" w:color="DEDEDE"/>
            </w:tcBorders>
            <w:shd w:val="clear" w:color="auto" w:fill="DEDEDE"/>
          </w:tcPr>
          <w:p>
            <w:pPr>
              <w:spacing w:after="0"/>
              <w:rPr>
                <w:sz w:val="17"/>
                <w:szCs w:val="17"/>
                <w:color w:val="auto"/>
              </w:rPr>
            </w:pPr>
          </w:p>
        </w:tc>
        <w:tc>
          <w:tcPr>
            <w:tcW w:w="100" w:type="dxa"/>
            <w:vAlign w:val="bottom"/>
            <w:tcBorders>
              <w:bottom w:val="single" w:sz="8" w:color="DEDEDE"/>
            </w:tcBorders>
            <w:shd w:val="clear" w:color="auto" w:fill="DEDEDE"/>
          </w:tcPr>
          <w:p>
            <w:pPr>
              <w:spacing w:after="0"/>
              <w:rPr>
                <w:sz w:val="17"/>
                <w:szCs w:val="17"/>
                <w:color w:val="auto"/>
              </w:rPr>
            </w:pPr>
          </w:p>
        </w:tc>
        <w:tc>
          <w:tcPr>
            <w:tcW w:w="820" w:type="dxa"/>
            <w:vAlign w:val="bottom"/>
            <w:tcBorders>
              <w:bottom w:val="single" w:sz="8" w:color="DEDEDE"/>
            </w:tcBorders>
            <w:shd w:val="clear" w:color="auto" w:fill="DEDEDE"/>
          </w:tcPr>
          <w:p>
            <w:pPr>
              <w:spacing w:after="0"/>
              <w:rPr>
                <w:sz w:val="17"/>
                <w:szCs w:val="17"/>
                <w:color w:val="auto"/>
              </w:rPr>
            </w:pPr>
          </w:p>
        </w:tc>
        <w:tc>
          <w:tcPr>
            <w:tcW w:w="80" w:type="dxa"/>
            <w:vAlign w:val="bottom"/>
            <w:tcBorders>
              <w:bottom w:val="single" w:sz="8" w:color="DEDEDE"/>
            </w:tcBorders>
            <w:shd w:val="clear" w:color="auto" w:fill="DEDEDE"/>
          </w:tcPr>
          <w:p>
            <w:pPr>
              <w:spacing w:after="0"/>
              <w:rPr>
                <w:sz w:val="17"/>
                <w:szCs w:val="17"/>
                <w:color w:val="auto"/>
              </w:rPr>
            </w:pPr>
          </w:p>
        </w:tc>
        <w:tc>
          <w:tcPr>
            <w:tcW w:w="340" w:type="dxa"/>
            <w:vAlign w:val="bottom"/>
            <w:tcBorders>
              <w:bottom w:val="single" w:sz="8" w:color="DEDEDE"/>
            </w:tcBorders>
            <w:shd w:val="clear" w:color="auto" w:fill="DEDEDE"/>
          </w:tcPr>
          <w:p>
            <w:pPr>
              <w:spacing w:after="0"/>
              <w:rPr>
                <w:sz w:val="17"/>
                <w:szCs w:val="17"/>
                <w:color w:val="auto"/>
              </w:rPr>
            </w:pPr>
          </w:p>
        </w:tc>
        <w:tc>
          <w:tcPr>
            <w:tcW w:w="80" w:type="dxa"/>
            <w:vAlign w:val="bottom"/>
            <w:tcBorders>
              <w:bottom w:val="single" w:sz="8" w:color="DEDEDE"/>
            </w:tcBorders>
            <w:shd w:val="clear" w:color="auto" w:fill="DEDEDE"/>
          </w:tcPr>
          <w:p>
            <w:pPr>
              <w:spacing w:after="0"/>
              <w:rPr>
                <w:sz w:val="17"/>
                <w:szCs w:val="17"/>
                <w:color w:val="auto"/>
              </w:rPr>
            </w:pPr>
          </w:p>
        </w:tc>
        <w:tc>
          <w:tcPr>
            <w:tcW w:w="940" w:type="dxa"/>
            <w:vAlign w:val="bottom"/>
            <w:tcBorders>
              <w:bottom w:val="single" w:sz="8" w:color="DEDEDE"/>
            </w:tcBorders>
            <w:shd w:val="clear" w:color="auto" w:fill="DEDEDE"/>
          </w:tcPr>
          <w:p>
            <w:pPr>
              <w:spacing w:after="0"/>
              <w:rPr>
                <w:sz w:val="17"/>
                <w:szCs w:val="17"/>
                <w:color w:val="auto"/>
              </w:rPr>
            </w:pPr>
          </w:p>
        </w:tc>
        <w:tc>
          <w:tcPr>
            <w:tcW w:w="200" w:type="dxa"/>
            <w:vAlign w:val="bottom"/>
            <w:tcBorders>
              <w:bottom w:val="single" w:sz="8" w:color="DEDEDE"/>
            </w:tcBorders>
            <w:shd w:val="clear" w:color="auto" w:fill="DEDEDE"/>
          </w:tcPr>
          <w:p>
            <w:pPr>
              <w:spacing w:after="0"/>
              <w:rPr>
                <w:sz w:val="17"/>
                <w:szCs w:val="17"/>
                <w:color w:val="auto"/>
              </w:rPr>
            </w:pPr>
          </w:p>
        </w:tc>
        <w:tc>
          <w:tcPr>
            <w:tcW w:w="80" w:type="dxa"/>
            <w:vAlign w:val="bottom"/>
            <w:tcBorders>
              <w:bottom w:val="single" w:sz="8" w:color="DEDEDE"/>
            </w:tcBorders>
            <w:shd w:val="clear" w:color="auto" w:fill="DEDEDE"/>
          </w:tcPr>
          <w:p>
            <w:pPr>
              <w:spacing w:after="0"/>
              <w:rPr>
                <w:sz w:val="17"/>
                <w:szCs w:val="17"/>
                <w:color w:val="auto"/>
              </w:rPr>
            </w:pPr>
          </w:p>
        </w:tc>
        <w:tc>
          <w:tcPr>
            <w:tcW w:w="100" w:type="dxa"/>
            <w:vAlign w:val="bottom"/>
            <w:tcBorders>
              <w:bottom w:val="single" w:sz="8" w:color="DEDEDE"/>
            </w:tcBorders>
            <w:shd w:val="clear" w:color="auto" w:fill="DEDEDE"/>
          </w:tcPr>
          <w:p>
            <w:pPr>
              <w:spacing w:after="0"/>
              <w:rPr>
                <w:sz w:val="17"/>
                <w:szCs w:val="17"/>
                <w:color w:val="auto"/>
              </w:rPr>
            </w:pPr>
          </w:p>
        </w:tc>
        <w:tc>
          <w:tcPr>
            <w:tcW w:w="900" w:type="dxa"/>
            <w:vAlign w:val="bottom"/>
            <w:tcBorders>
              <w:bottom w:val="single" w:sz="8" w:color="DEDEDE"/>
            </w:tcBorders>
            <w:shd w:val="clear" w:color="auto" w:fill="DEDEDE"/>
          </w:tcPr>
          <w:p>
            <w:pPr>
              <w:spacing w:after="0"/>
              <w:rPr>
                <w:sz w:val="17"/>
                <w:szCs w:val="17"/>
                <w:color w:val="auto"/>
              </w:rPr>
            </w:pPr>
          </w:p>
        </w:tc>
        <w:tc>
          <w:tcPr>
            <w:tcW w:w="280" w:type="dxa"/>
            <w:vAlign w:val="bottom"/>
            <w:tcBorders>
              <w:bottom w:val="single" w:sz="8" w:color="DEDEDE"/>
            </w:tcBorders>
            <w:shd w:val="clear" w:color="auto" w:fill="DEDEDE"/>
          </w:tcPr>
          <w:p>
            <w:pPr>
              <w:spacing w:after="0"/>
              <w:rPr>
                <w:sz w:val="17"/>
                <w:szCs w:val="17"/>
                <w:color w:val="auto"/>
              </w:rPr>
            </w:pPr>
          </w:p>
        </w:tc>
        <w:tc>
          <w:tcPr>
            <w:tcW w:w="100" w:type="dxa"/>
            <w:vAlign w:val="bottom"/>
            <w:tcBorders>
              <w:bottom w:val="single" w:sz="8" w:color="DEDEDE"/>
            </w:tcBorders>
            <w:shd w:val="clear" w:color="auto" w:fill="DEDEDE"/>
          </w:tcPr>
          <w:p>
            <w:pPr>
              <w:spacing w:after="0"/>
              <w:rPr>
                <w:sz w:val="17"/>
                <w:szCs w:val="17"/>
                <w:color w:val="auto"/>
              </w:rPr>
            </w:pPr>
          </w:p>
        </w:tc>
        <w:tc>
          <w:tcPr>
            <w:tcW w:w="900" w:type="dxa"/>
            <w:vAlign w:val="bottom"/>
            <w:tcBorders>
              <w:bottom w:val="single" w:sz="8" w:color="DEDEDE"/>
            </w:tcBorders>
            <w:shd w:val="clear" w:color="auto" w:fill="DEDEDE"/>
          </w:tcPr>
          <w:p>
            <w:pPr>
              <w:spacing w:after="0"/>
              <w:rPr>
                <w:sz w:val="17"/>
                <w:szCs w:val="17"/>
                <w:color w:val="auto"/>
              </w:rPr>
            </w:pPr>
          </w:p>
        </w:tc>
        <w:tc>
          <w:tcPr>
            <w:tcW w:w="100" w:type="dxa"/>
            <w:vAlign w:val="bottom"/>
            <w:tcBorders>
              <w:bottom w:val="single" w:sz="8" w:color="DEDEDE"/>
            </w:tcBorders>
            <w:shd w:val="clear" w:color="auto" w:fill="DEDEDE"/>
          </w:tcPr>
          <w:p>
            <w:pPr>
              <w:spacing w:after="0"/>
              <w:rPr>
                <w:sz w:val="17"/>
                <w:szCs w:val="17"/>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than 1.00%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gridSpan w:val="3"/>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1.00% - 1.99%</w:t>
            </w:r>
          </w:p>
        </w:tc>
        <w:tc>
          <w:tcPr>
            <w:tcW w:w="2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11,015,277</w:t>
            </w: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10,211,390</w:t>
            </w:r>
          </w:p>
        </w:tc>
        <w:tc>
          <w:tcPr>
            <w:tcW w:w="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14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21,226,667</w:t>
            </w:r>
          </w:p>
        </w:tc>
        <w:tc>
          <w:tcPr>
            <w:tcW w:w="100" w:type="dxa"/>
            <w:vAlign w:val="bottom"/>
            <w:shd w:val="clear" w:color="auto" w:fill="DEDEDE"/>
          </w:tcPr>
          <w:p>
            <w:pPr>
              <w:spacing w:after="0"/>
              <w:rPr>
                <w:sz w:val="18"/>
                <w:szCs w:val="18"/>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2.00% - 2.99%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4,658,151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331,769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4,892,688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9,882,608</w:t>
            </w:r>
          </w:p>
        </w:tc>
        <w:tc>
          <w:tcPr>
            <w:tcW w:w="100" w:type="dxa"/>
            <w:vAlign w:val="bottom"/>
          </w:tcPr>
          <w:p>
            <w:pPr>
              <w:spacing w:after="0"/>
              <w:rPr>
                <w:sz w:val="18"/>
                <w:szCs w:val="18"/>
                <w:color w:val="auto"/>
              </w:rPr>
            </w:pPr>
          </w:p>
        </w:tc>
      </w:tr>
      <w:tr>
        <w:trPr>
          <w:trHeight w:val="216"/>
        </w:trPr>
        <w:tc>
          <w:tcPr>
            <w:tcW w:w="3540" w:type="dxa"/>
            <w:vAlign w:val="bottom"/>
            <w:gridSpan w:val="3"/>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3.00% - 4.00%</w:t>
            </w:r>
          </w:p>
        </w:tc>
        <w:tc>
          <w:tcPr>
            <w:tcW w:w="2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34,527,466</w:t>
            </w: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10,424,384</w:t>
            </w:r>
          </w:p>
        </w:tc>
        <w:tc>
          <w:tcPr>
            <w:tcW w:w="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39,271</w:t>
            </w:r>
          </w:p>
        </w:tc>
        <w:tc>
          <w:tcPr>
            <w:tcW w:w="2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431,296</w:t>
            </w:r>
          </w:p>
        </w:tc>
        <w:tc>
          <w:tcPr>
            <w:tcW w:w="2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45,422,417</w:t>
            </w:r>
          </w:p>
        </w:tc>
        <w:tc>
          <w:tcPr>
            <w:tcW w:w="100" w:type="dxa"/>
            <w:vAlign w:val="bottom"/>
            <w:shd w:val="clear" w:color="auto" w:fill="DEDEDE"/>
          </w:tcPr>
          <w:p>
            <w:pPr>
              <w:spacing w:after="0"/>
              <w:rPr>
                <w:sz w:val="18"/>
                <w:szCs w:val="18"/>
                <w:color w:val="auto"/>
              </w:rPr>
            </w:pPr>
          </w:p>
        </w:tc>
      </w:tr>
      <w:tr>
        <w:trPr>
          <w:trHeight w:val="229"/>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Greater than 4.00%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27,356,830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344,932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27,701,762</w:t>
            </w:r>
          </w:p>
        </w:tc>
        <w:tc>
          <w:tcPr>
            <w:tcW w:w="100" w:type="dxa"/>
            <w:vAlign w:val="bottom"/>
          </w:tcPr>
          <w:p>
            <w:pPr>
              <w:spacing w:after="0"/>
              <w:rPr>
                <w:sz w:val="19"/>
                <w:szCs w:val="19"/>
                <w:color w:val="auto"/>
              </w:rPr>
            </w:pPr>
          </w:p>
        </w:tc>
      </w:tr>
      <w:tr>
        <w:trPr>
          <w:trHeight w:val="223"/>
        </w:trPr>
        <w:tc>
          <w:tcPr>
            <w:tcW w:w="3540" w:type="dxa"/>
            <w:vAlign w:val="bottom"/>
            <w:tcBorders>
              <w:top w:val="single" w:sz="8" w:color="DEDEDE"/>
              <w:bottom w:val="single" w:sz="8" w:color="DEDEDE"/>
            </w:tcBorders>
            <w:gridSpan w:val="3"/>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77,557,724</w:t>
            </w: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920" w:type="dxa"/>
            <w:vAlign w:val="bottom"/>
            <w:tcBorders>
              <w:top w:val="single" w:sz="8" w:color="auto"/>
              <w:bottom w:val="single" w:sz="8" w:color="auto"/>
            </w:tcBorders>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5"/>
              </w:rPr>
              <w:t>$ 20,635,774</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340" w:type="dxa"/>
            <w:vAlign w:val="bottom"/>
            <w:tcBorders>
              <w:top w:val="single" w:sz="8" w:color="DEDEDE"/>
              <w:bottom w:val="single" w:sz="8" w:color="DEDEDE"/>
            </w:tcBorders>
            <w:shd w:val="clear" w:color="auto" w:fill="DEDEDE"/>
          </w:tcPr>
          <w:p>
            <w:pPr>
              <w:spacing w:after="0"/>
              <w:rPr>
                <w:sz w:val="19"/>
                <w:szCs w:val="19"/>
                <w:color w:val="auto"/>
              </w:rPr>
            </w:pPr>
          </w:p>
        </w:tc>
        <w:tc>
          <w:tcPr>
            <w:tcW w:w="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715,972</w:t>
            </w: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5,323,984</w:t>
            </w:r>
          </w:p>
        </w:tc>
        <w:tc>
          <w:tcPr>
            <w:tcW w:w="28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7"/>
              </w:rPr>
              <w:t>104,233,454</w:t>
            </w: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color w:val="auto"/>
              </w:rPr>
              <w:t>December 31, 2024</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Greater</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1-50 bps</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51-150 bps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than 150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above</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above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bps above</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guaranteed</w:t>
            </w:r>
          </w:p>
        </w:tc>
        <w:tc>
          <w:tcPr>
            <w:tcW w:w="160" w:type="dxa"/>
            <w:vAlign w:val="bottom"/>
          </w:tcPr>
          <w:p>
            <w:pPr>
              <w:spacing w:after="0"/>
              <w:rPr>
                <w:sz w:val="18"/>
                <w:szCs w:val="18"/>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rPr>
              <w:t>guaranteed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guaranteed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guaranteed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Range of Guaranteed Minimum Crediting Rate</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minimum</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minimum</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minimum</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minimum</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169"/>
        </w:trPr>
        <w:tc>
          <w:tcPr>
            <w:tcW w:w="3540" w:type="dxa"/>
            <w:vAlign w:val="bottom"/>
            <w:tcBorders>
              <w:top w:val="single" w:sz="8" w:color="auto"/>
            </w:tcBorders>
            <w:gridSpan w:val="3"/>
            <w:shd w:val="clear" w:color="auto" w:fill="DEDEDE"/>
          </w:tcPr>
          <w:p>
            <w:pPr>
              <w:spacing w:after="0" w:line="170" w:lineRule="exact"/>
              <w:rPr>
                <w:sz w:val="20"/>
                <w:szCs w:val="20"/>
                <w:color w:val="auto"/>
              </w:rPr>
            </w:pPr>
            <w:r>
              <w:rPr>
                <w:rFonts w:ascii="Times New Roman" w:cs="Times New Roman" w:eastAsia="Times New Roman" w:hAnsi="Times New Roman"/>
                <w:sz w:val="18"/>
                <w:szCs w:val="18"/>
                <w:color w:val="auto"/>
              </w:rPr>
              <w:t>Universal Life</w:t>
            </w:r>
          </w:p>
        </w:tc>
        <w:tc>
          <w:tcPr>
            <w:tcW w:w="20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920" w:type="dxa"/>
            <w:vAlign w:val="bottom"/>
            <w:tcBorders>
              <w:top w:val="single" w:sz="8" w:color="auto"/>
            </w:tcBorders>
            <w:shd w:val="clear" w:color="auto" w:fill="DEDEDE"/>
          </w:tcPr>
          <w:p>
            <w:pPr>
              <w:spacing w:after="0"/>
              <w:rPr>
                <w:sz w:val="14"/>
                <w:szCs w:val="14"/>
                <w:color w:val="auto"/>
              </w:rPr>
            </w:pPr>
          </w:p>
        </w:tc>
        <w:tc>
          <w:tcPr>
            <w:tcW w:w="160" w:type="dxa"/>
            <w:vAlign w:val="bottom"/>
            <w:tcBorders>
              <w:top w:val="single" w:sz="8" w:color="DEDEDE"/>
            </w:tcBorders>
            <w:shd w:val="clear" w:color="auto" w:fill="DEDEDE"/>
          </w:tcPr>
          <w:p>
            <w:pPr>
              <w:spacing w:after="0"/>
              <w:rPr>
                <w:sz w:val="14"/>
                <w:szCs w:val="14"/>
                <w:color w:val="auto"/>
              </w:rPr>
            </w:pPr>
          </w:p>
        </w:tc>
        <w:tc>
          <w:tcPr>
            <w:tcW w:w="16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820" w:type="dxa"/>
            <w:vAlign w:val="bottom"/>
            <w:tcBorders>
              <w:top w:val="single" w:sz="8" w:color="auto"/>
            </w:tcBorders>
            <w:shd w:val="clear" w:color="auto" w:fill="DEDEDE"/>
          </w:tcPr>
          <w:p>
            <w:pPr>
              <w:spacing w:after="0"/>
              <w:rPr>
                <w:sz w:val="14"/>
                <w:szCs w:val="14"/>
                <w:color w:val="auto"/>
              </w:rPr>
            </w:pPr>
          </w:p>
        </w:tc>
        <w:tc>
          <w:tcPr>
            <w:tcW w:w="80" w:type="dxa"/>
            <w:vAlign w:val="bottom"/>
            <w:tcBorders>
              <w:top w:val="single" w:sz="8" w:color="DEDEDE"/>
            </w:tcBorders>
            <w:shd w:val="clear" w:color="auto" w:fill="DEDEDE"/>
          </w:tcPr>
          <w:p>
            <w:pPr>
              <w:spacing w:after="0"/>
              <w:rPr>
                <w:sz w:val="14"/>
                <w:szCs w:val="14"/>
                <w:color w:val="auto"/>
              </w:rPr>
            </w:pPr>
          </w:p>
        </w:tc>
        <w:tc>
          <w:tcPr>
            <w:tcW w:w="340" w:type="dxa"/>
            <w:vAlign w:val="bottom"/>
            <w:tcBorders>
              <w:top w:val="single" w:sz="8" w:color="DEDEDE"/>
            </w:tcBorders>
            <w:shd w:val="clear" w:color="auto" w:fill="DEDEDE"/>
          </w:tcPr>
          <w:p>
            <w:pPr>
              <w:spacing w:after="0"/>
              <w:rPr>
                <w:sz w:val="14"/>
                <w:szCs w:val="14"/>
                <w:color w:val="auto"/>
              </w:rPr>
            </w:pPr>
          </w:p>
        </w:tc>
        <w:tc>
          <w:tcPr>
            <w:tcW w:w="80" w:type="dxa"/>
            <w:vAlign w:val="bottom"/>
            <w:tcBorders>
              <w:top w:val="single" w:sz="8" w:color="auto"/>
            </w:tcBorders>
            <w:shd w:val="clear" w:color="auto" w:fill="DEDEDE"/>
          </w:tcPr>
          <w:p>
            <w:pPr>
              <w:spacing w:after="0"/>
              <w:rPr>
                <w:sz w:val="14"/>
                <w:szCs w:val="14"/>
                <w:color w:val="auto"/>
              </w:rPr>
            </w:pPr>
          </w:p>
        </w:tc>
        <w:tc>
          <w:tcPr>
            <w:tcW w:w="940" w:type="dxa"/>
            <w:vAlign w:val="bottom"/>
            <w:tcBorders>
              <w:top w:val="single" w:sz="8" w:color="auto"/>
            </w:tcBorders>
            <w:shd w:val="clear" w:color="auto" w:fill="DEDEDE"/>
          </w:tcPr>
          <w:p>
            <w:pPr>
              <w:spacing w:after="0"/>
              <w:rPr>
                <w:sz w:val="14"/>
                <w:szCs w:val="14"/>
                <w:color w:val="auto"/>
              </w:rPr>
            </w:pPr>
          </w:p>
        </w:tc>
        <w:tc>
          <w:tcPr>
            <w:tcW w:w="200" w:type="dxa"/>
            <w:vAlign w:val="bottom"/>
            <w:tcBorders>
              <w:top w:val="single" w:sz="8" w:color="DEDEDE"/>
            </w:tcBorders>
            <w:shd w:val="clear" w:color="auto" w:fill="DEDEDE"/>
          </w:tcPr>
          <w:p>
            <w:pPr>
              <w:spacing w:after="0"/>
              <w:rPr>
                <w:sz w:val="14"/>
                <w:szCs w:val="14"/>
                <w:color w:val="auto"/>
              </w:rPr>
            </w:pPr>
          </w:p>
        </w:tc>
        <w:tc>
          <w:tcPr>
            <w:tcW w:w="8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900" w:type="dxa"/>
            <w:vAlign w:val="bottom"/>
            <w:tcBorders>
              <w:top w:val="single" w:sz="8" w:color="auto"/>
            </w:tcBorders>
            <w:shd w:val="clear" w:color="auto" w:fill="DEDEDE"/>
          </w:tcPr>
          <w:p>
            <w:pPr>
              <w:spacing w:after="0"/>
              <w:rPr>
                <w:sz w:val="14"/>
                <w:szCs w:val="14"/>
                <w:color w:val="auto"/>
              </w:rPr>
            </w:pPr>
          </w:p>
        </w:tc>
        <w:tc>
          <w:tcPr>
            <w:tcW w:w="280" w:type="dxa"/>
            <w:vAlign w:val="bottom"/>
            <w:tcBorders>
              <w:top w:val="single" w:sz="8" w:color="DEDEDE"/>
            </w:tcBorders>
            <w:shd w:val="clear" w:color="auto" w:fill="DEDEDE"/>
          </w:tcPr>
          <w:p>
            <w:pPr>
              <w:spacing w:after="0"/>
              <w:rPr>
                <w:sz w:val="14"/>
                <w:szCs w:val="14"/>
                <w:color w:val="auto"/>
              </w:rPr>
            </w:pPr>
          </w:p>
        </w:tc>
        <w:tc>
          <w:tcPr>
            <w:tcW w:w="100" w:type="dxa"/>
            <w:vAlign w:val="bottom"/>
            <w:tcBorders>
              <w:top w:val="single" w:sz="8" w:color="auto"/>
            </w:tcBorders>
            <w:shd w:val="clear" w:color="auto" w:fill="DEDEDE"/>
          </w:tcPr>
          <w:p>
            <w:pPr>
              <w:spacing w:after="0"/>
              <w:rPr>
                <w:sz w:val="14"/>
                <w:szCs w:val="14"/>
                <w:color w:val="auto"/>
              </w:rPr>
            </w:pPr>
          </w:p>
        </w:tc>
        <w:tc>
          <w:tcPr>
            <w:tcW w:w="900" w:type="dxa"/>
            <w:vAlign w:val="bottom"/>
            <w:tcBorders>
              <w:top w:val="single" w:sz="8" w:color="auto"/>
            </w:tcBorders>
            <w:shd w:val="clear" w:color="auto" w:fill="DEDEDE"/>
          </w:tcPr>
          <w:p>
            <w:pPr>
              <w:spacing w:after="0"/>
              <w:rPr>
                <w:sz w:val="14"/>
                <w:szCs w:val="14"/>
                <w:color w:val="auto"/>
              </w:rPr>
            </w:pPr>
          </w:p>
        </w:tc>
        <w:tc>
          <w:tcPr>
            <w:tcW w:w="100" w:type="dxa"/>
            <w:vAlign w:val="bottom"/>
            <w:tcBorders>
              <w:top w:val="single" w:sz="8" w:color="DEDEDE"/>
            </w:tcBorders>
            <w:shd w:val="clear" w:color="auto" w:fill="DEDEDE"/>
          </w:tcPr>
          <w:p>
            <w:pPr>
              <w:spacing w:after="0"/>
              <w:rPr>
                <w:sz w:val="14"/>
                <w:szCs w:val="14"/>
                <w:color w:val="auto"/>
              </w:rPr>
            </w:pPr>
          </w:p>
        </w:tc>
      </w:tr>
      <w:tr>
        <w:trPr>
          <w:trHeight w:val="20"/>
        </w:trPr>
        <w:tc>
          <w:tcPr>
            <w:tcW w:w="1040" w:type="dxa"/>
            <w:vAlign w:val="bottom"/>
            <w:tcBorders>
              <w:top w:val="single" w:sz="8" w:color="auto"/>
            </w:tcBorders>
            <w:shd w:val="clear" w:color="auto" w:fill="DEDEDE"/>
          </w:tcPr>
          <w:p>
            <w:pPr>
              <w:spacing w:after="0" w:line="20" w:lineRule="exact"/>
              <w:rPr>
                <w:sz w:val="1"/>
                <w:szCs w:val="1"/>
                <w:color w:val="auto"/>
              </w:rPr>
            </w:pPr>
          </w:p>
        </w:tc>
        <w:tc>
          <w:tcPr>
            <w:tcW w:w="120" w:type="dxa"/>
            <w:vAlign w:val="bottom"/>
            <w:tcBorders>
              <w:top w:val="single" w:sz="8" w:color="DEDEDE"/>
            </w:tcBorders>
            <w:shd w:val="clear" w:color="auto" w:fill="DEDEDE"/>
          </w:tcPr>
          <w:p>
            <w:pPr>
              <w:spacing w:after="0" w:line="20" w:lineRule="exact"/>
              <w:rPr>
                <w:sz w:val="1"/>
                <w:szCs w:val="1"/>
                <w:color w:val="auto"/>
              </w:rPr>
            </w:pPr>
          </w:p>
        </w:tc>
        <w:tc>
          <w:tcPr>
            <w:tcW w:w="2380" w:type="dxa"/>
            <w:vAlign w:val="bottom"/>
            <w:tcBorders>
              <w:top w:val="single" w:sz="8" w:color="DEDEDE"/>
            </w:tcBorders>
            <w:shd w:val="clear" w:color="auto" w:fill="DEDEDE"/>
          </w:tcPr>
          <w:p>
            <w:pPr>
              <w:spacing w:after="0" w:line="20" w:lineRule="exact"/>
              <w:rPr>
                <w:sz w:val="1"/>
                <w:szCs w:val="1"/>
                <w:color w:val="auto"/>
              </w:rPr>
            </w:pPr>
          </w:p>
        </w:tc>
        <w:tc>
          <w:tcPr>
            <w:tcW w:w="20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920" w:type="dxa"/>
            <w:vAlign w:val="bottom"/>
            <w:tcBorders>
              <w:top w:val="single" w:sz="8" w:color="DEDEDE"/>
            </w:tcBorders>
            <w:shd w:val="clear" w:color="auto" w:fill="DEDEDE"/>
          </w:tcPr>
          <w:p>
            <w:pPr>
              <w:spacing w:after="0" w:line="20" w:lineRule="exact"/>
              <w:rPr>
                <w:sz w:val="1"/>
                <w:szCs w:val="1"/>
                <w:color w:val="auto"/>
              </w:rPr>
            </w:pPr>
          </w:p>
        </w:tc>
        <w:tc>
          <w:tcPr>
            <w:tcW w:w="160" w:type="dxa"/>
            <w:vAlign w:val="bottom"/>
            <w:tcBorders>
              <w:top w:val="single" w:sz="8" w:color="DEDEDE"/>
            </w:tcBorders>
            <w:shd w:val="clear" w:color="auto" w:fill="DEDEDE"/>
          </w:tcPr>
          <w:p>
            <w:pPr>
              <w:spacing w:after="0" w:line="20" w:lineRule="exact"/>
              <w:rPr>
                <w:sz w:val="1"/>
                <w:szCs w:val="1"/>
                <w:color w:val="auto"/>
              </w:rPr>
            </w:pPr>
          </w:p>
        </w:tc>
        <w:tc>
          <w:tcPr>
            <w:tcW w:w="16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820" w:type="dxa"/>
            <w:vAlign w:val="bottom"/>
            <w:tcBorders>
              <w:top w:val="single" w:sz="8" w:color="DEDEDE"/>
            </w:tcBorders>
            <w:shd w:val="clear" w:color="auto" w:fill="DEDEDE"/>
          </w:tcPr>
          <w:p>
            <w:pPr>
              <w:spacing w:after="0" w:line="20" w:lineRule="exact"/>
              <w:rPr>
                <w:sz w:val="1"/>
                <w:szCs w:val="1"/>
                <w:color w:val="auto"/>
              </w:rPr>
            </w:pPr>
          </w:p>
        </w:tc>
        <w:tc>
          <w:tcPr>
            <w:tcW w:w="80" w:type="dxa"/>
            <w:vAlign w:val="bottom"/>
            <w:tcBorders>
              <w:top w:val="single" w:sz="8" w:color="DEDEDE"/>
            </w:tcBorders>
            <w:shd w:val="clear" w:color="auto" w:fill="DEDEDE"/>
          </w:tcPr>
          <w:p>
            <w:pPr>
              <w:spacing w:after="0" w:line="20" w:lineRule="exact"/>
              <w:rPr>
                <w:sz w:val="1"/>
                <w:szCs w:val="1"/>
                <w:color w:val="auto"/>
              </w:rPr>
            </w:pPr>
          </w:p>
        </w:tc>
        <w:tc>
          <w:tcPr>
            <w:tcW w:w="340" w:type="dxa"/>
            <w:vAlign w:val="bottom"/>
            <w:tcBorders>
              <w:top w:val="single" w:sz="8" w:color="DEDEDE"/>
            </w:tcBorders>
            <w:shd w:val="clear" w:color="auto" w:fill="DEDEDE"/>
          </w:tcPr>
          <w:p>
            <w:pPr>
              <w:spacing w:after="0" w:line="20" w:lineRule="exact"/>
              <w:rPr>
                <w:sz w:val="1"/>
                <w:szCs w:val="1"/>
                <w:color w:val="auto"/>
              </w:rPr>
            </w:pPr>
          </w:p>
        </w:tc>
        <w:tc>
          <w:tcPr>
            <w:tcW w:w="80" w:type="dxa"/>
            <w:vAlign w:val="bottom"/>
            <w:tcBorders>
              <w:top w:val="single" w:sz="8" w:color="DEDEDE"/>
            </w:tcBorders>
            <w:shd w:val="clear" w:color="auto" w:fill="DEDEDE"/>
          </w:tcPr>
          <w:p>
            <w:pPr>
              <w:spacing w:after="0" w:line="20" w:lineRule="exact"/>
              <w:rPr>
                <w:sz w:val="1"/>
                <w:szCs w:val="1"/>
                <w:color w:val="auto"/>
              </w:rPr>
            </w:pPr>
          </w:p>
        </w:tc>
        <w:tc>
          <w:tcPr>
            <w:tcW w:w="940" w:type="dxa"/>
            <w:vAlign w:val="bottom"/>
            <w:tcBorders>
              <w:top w:val="single" w:sz="8" w:color="DEDEDE"/>
            </w:tcBorders>
            <w:shd w:val="clear" w:color="auto" w:fill="DEDEDE"/>
          </w:tcPr>
          <w:p>
            <w:pPr>
              <w:spacing w:after="0" w:line="20" w:lineRule="exact"/>
              <w:rPr>
                <w:sz w:val="1"/>
                <w:szCs w:val="1"/>
                <w:color w:val="auto"/>
              </w:rPr>
            </w:pPr>
          </w:p>
        </w:tc>
        <w:tc>
          <w:tcPr>
            <w:tcW w:w="200" w:type="dxa"/>
            <w:vAlign w:val="bottom"/>
            <w:tcBorders>
              <w:top w:val="single" w:sz="8" w:color="DEDEDE"/>
            </w:tcBorders>
            <w:shd w:val="clear" w:color="auto" w:fill="DEDEDE"/>
          </w:tcPr>
          <w:p>
            <w:pPr>
              <w:spacing w:after="0" w:line="20" w:lineRule="exact"/>
              <w:rPr>
                <w:sz w:val="1"/>
                <w:szCs w:val="1"/>
                <w:color w:val="auto"/>
              </w:rPr>
            </w:pPr>
          </w:p>
        </w:tc>
        <w:tc>
          <w:tcPr>
            <w:tcW w:w="8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900" w:type="dxa"/>
            <w:vAlign w:val="bottom"/>
            <w:tcBorders>
              <w:top w:val="single" w:sz="8" w:color="DEDEDE"/>
            </w:tcBorders>
            <w:shd w:val="clear" w:color="auto" w:fill="DEDEDE"/>
          </w:tcPr>
          <w:p>
            <w:pPr>
              <w:spacing w:after="0" w:line="20" w:lineRule="exact"/>
              <w:rPr>
                <w:sz w:val="1"/>
                <w:szCs w:val="1"/>
                <w:color w:val="auto"/>
              </w:rPr>
            </w:pPr>
          </w:p>
        </w:tc>
        <w:tc>
          <w:tcPr>
            <w:tcW w:w="28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c>
          <w:tcPr>
            <w:tcW w:w="900" w:type="dxa"/>
            <w:vAlign w:val="bottom"/>
            <w:tcBorders>
              <w:top w:val="single" w:sz="8" w:color="DEDEDE"/>
            </w:tcBorders>
            <w:shd w:val="clear" w:color="auto" w:fill="DEDEDE"/>
          </w:tcPr>
          <w:p>
            <w:pPr>
              <w:spacing w:after="0" w:line="20" w:lineRule="exact"/>
              <w:rPr>
                <w:sz w:val="1"/>
                <w:szCs w:val="1"/>
                <w:color w:val="auto"/>
              </w:rPr>
            </w:pPr>
          </w:p>
        </w:tc>
        <w:tc>
          <w:tcPr>
            <w:tcW w:w="100" w:type="dxa"/>
            <w:vAlign w:val="bottom"/>
            <w:tcBorders>
              <w:top w:val="single" w:sz="8" w:color="DEDEDE"/>
            </w:tcBorders>
            <w:shd w:val="clear" w:color="auto" w:fill="DEDEDE"/>
          </w:tcPr>
          <w:p>
            <w:pPr>
              <w:spacing w:after="0" w:line="20" w:lineRule="exact"/>
              <w:rPr>
                <w:sz w:val="1"/>
                <w:szCs w:val="1"/>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than 1.00%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gridSpan w:val="3"/>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1.00% - 1.99%</w:t>
            </w:r>
          </w:p>
        </w:tc>
        <w:tc>
          <w:tcPr>
            <w:tcW w:w="2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08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14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00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2.00% - 2.99%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gridSpan w:val="3"/>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3.00% - 4.00%</w:t>
            </w:r>
          </w:p>
        </w:tc>
        <w:tc>
          <w:tcPr>
            <w:tcW w:w="2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26,046,613</w:t>
            </w: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1,534,331</w:t>
            </w:r>
          </w:p>
        </w:tc>
        <w:tc>
          <w:tcPr>
            <w:tcW w:w="2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27,580,944</w:t>
            </w:r>
          </w:p>
        </w:tc>
        <w:tc>
          <w:tcPr>
            <w:tcW w:w="100" w:type="dxa"/>
            <w:vAlign w:val="bottom"/>
            <w:shd w:val="clear" w:color="auto" w:fill="DEDEDE"/>
          </w:tcPr>
          <w:p>
            <w:pPr>
              <w:spacing w:after="0"/>
              <w:rPr>
                <w:sz w:val="18"/>
                <w:szCs w:val="18"/>
                <w:color w:val="auto"/>
              </w:rPr>
            </w:pPr>
          </w:p>
        </w:tc>
      </w:tr>
      <w:tr>
        <w:trPr>
          <w:trHeight w:val="230"/>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Greater than 4.00%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4,734,233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4,776,053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9,510,286</w:t>
            </w:r>
          </w:p>
        </w:tc>
        <w:tc>
          <w:tcPr>
            <w:tcW w:w="100" w:type="dxa"/>
            <w:vAlign w:val="bottom"/>
          </w:tcPr>
          <w:p>
            <w:pPr>
              <w:spacing w:after="0"/>
              <w:rPr>
                <w:sz w:val="19"/>
                <w:szCs w:val="19"/>
                <w:color w:val="auto"/>
              </w:rPr>
            </w:pPr>
          </w:p>
        </w:tc>
      </w:tr>
      <w:tr>
        <w:trPr>
          <w:trHeight w:val="223"/>
        </w:trPr>
        <w:tc>
          <w:tcPr>
            <w:tcW w:w="3540" w:type="dxa"/>
            <w:vAlign w:val="bottom"/>
            <w:tcBorders>
              <w:top w:val="single" w:sz="8" w:color="DEDEDE"/>
              <w:bottom w:val="single" w:sz="8" w:color="DEDEDE"/>
            </w:tcBorders>
            <w:gridSpan w:val="3"/>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30,780,846</w:t>
            </w: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4,776,053</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340" w:type="dxa"/>
            <w:vAlign w:val="bottom"/>
            <w:tcBorders>
              <w:top w:val="single" w:sz="8" w:color="DEDEDE"/>
              <w:bottom w:val="single" w:sz="8" w:color="DEDEDE"/>
            </w:tcBorders>
            <w:shd w:val="clear" w:color="auto" w:fill="DEDEDE"/>
          </w:tcPr>
          <w:p>
            <w:pPr>
              <w:spacing w:after="0"/>
              <w:rPr>
                <w:sz w:val="19"/>
                <w:szCs w:val="19"/>
                <w:color w:val="auto"/>
              </w:rPr>
            </w:pPr>
          </w:p>
        </w:tc>
        <w:tc>
          <w:tcPr>
            <w:tcW w:w="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1,534,331</w:t>
            </w: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37,091,230</w:t>
            </w: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1160" w:type="dxa"/>
            <w:vAlign w:val="bottom"/>
            <w:tcBorders>
              <w:bottom w:val="single" w:sz="8" w:color="auto"/>
            </w:tcBorders>
            <w:gridSpan w:val="2"/>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w w:val="98"/>
              </w:rPr>
              <w:t>Fixed Annuities</w:t>
            </w:r>
          </w:p>
        </w:tc>
        <w:tc>
          <w:tcPr>
            <w:tcW w:w="2380" w:type="dxa"/>
            <w:vAlign w:val="bottom"/>
            <w:tcBorders>
              <w:bottom w:val="single" w:sz="8" w:color="DEDEDE"/>
            </w:tcBorders>
            <w:shd w:val="clear" w:color="auto" w:fill="DEDEDE"/>
          </w:tcPr>
          <w:p>
            <w:pPr>
              <w:spacing w:after="0"/>
              <w:rPr>
                <w:sz w:val="17"/>
                <w:szCs w:val="17"/>
                <w:color w:val="auto"/>
              </w:rPr>
            </w:pPr>
          </w:p>
        </w:tc>
        <w:tc>
          <w:tcPr>
            <w:tcW w:w="200" w:type="dxa"/>
            <w:vAlign w:val="bottom"/>
            <w:tcBorders>
              <w:bottom w:val="single" w:sz="8" w:color="DEDEDE"/>
            </w:tcBorders>
            <w:shd w:val="clear" w:color="auto" w:fill="DEDEDE"/>
          </w:tcPr>
          <w:p>
            <w:pPr>
              <w:spacing w:after="0"/>
              <w:rPr>
                <w:sz w:val="17"/>
                <w:szCs w:val="17"/>
                <w:color w:val="auto"/>
              </w:rPr>
            </w:pPr>
          </w:p>
        </w:tc>
        <w:tc>
          <w:tcPr>
            <w:tcW w:w="100" w:type="dxa"/>
            <w:vAlign w:val="bottom"/>
            <w:tcBorders>
              <w:bottom w:val="single" w:sz="8" w:color="DEDEDE"/>
            </w:tcBorders>
            <w:shd w:val="clear" w:color="auto" w:fill="DEDEDE"/>
          </w:tcPr>
          <w:p>
            <w:pPr>
              <w:spacing w:after="0"/>
              <w:rPr>
                <w:sz w:val="17"/>
                <w:szCs w:val="17"/>
                <w:color w:val="auto"/>
              </w:rPr>
            </w:pPr>
          </w:p>
        </w:tc>
        <w:tc>
          <w:tcPr>
            <w:tcW w:w="920" w:type="dxa"/>
            <w:vAlign w:val="bottom"/>
            <w:tcBorders>
              <w:bottom w:val="single" w:sz="8" w:color="DEDEDE"/>
            </w:tcBorders>
            <w:shd w:val="clear" w:color="auto" w:fill="DEDEDE"/>
          </w:tcPr>
          <w:p>
            <w:pPr>
              <w:spacing w:after="0"/>
              <w:rPr>
                <w:sz w:val="17"/>
                <w:szCs w:val="17"/>
                <w:color w:val="auto"/>
              </w:rPr>
            </w:pPr>
          </w:p>
        </w:tc>
        <w:tc>
          <w:tcPr>
            <w:tcW w:w="160" w:type="dxa"/>
            <w:vAlign w:val="bottom"/>
            <w:tcBorders>
              <w:bottom w:val="single" w:sz="8" w:color="DEDEDE"/>
            </w:tcBorders>
            <w:shd w:val="clear" w:color="auto" w:fill="DEDEDE"/>
          </w:tcPr>
          <w:p>
            <w:pPr>
              <w:spacing w:after="0"/>
              <w:rPr>
                <w:sz w:val="17"/>
                <w:szCs w:val="17"/>
                <w:color w:val="auto"/>
              </w:rPr>
            </w:pPr>
          </w:p>
        </w:tc>
        <w:tc>
          <w:tcPr>
            <w:tcW w:w="160" w:type="dxa"/>
            <w:vAlign w:val="bottom"/>
            <w:tcBorders>
              <w:bottom w:val="single" w:sz="8" w:color="DEDEDE"/>
            </w:tcBorders>
            <w:shd w:val="clear" w:color="auto" w:fill="DEDEDE"/>
          </w:tcPr>
          <w:p>
            <w:pPr>
              <w:spacing w:after="0"/>
              <w:rPr>
                <w:sz w:val="17"/>
                <w:szCs w:val="17"/>
                <w:color w:val="auto"/>
              </w:rPr>
            </w:pPr>
          </w:p>
        </w:tc>
        <w:tc>
          <w:tcPr>
            <w:tcW w:w="100" w:type="dxa"/>
            <w:vAlign w:val="bottom"/>
            <w:tcBorders>
              <w:bottom w:val="single" w:sz="8" w:color="DEDEDE"/>
            </w:tcBorders>
            <w:shd w:val="clear" w:color="auto" w:fill="DEDEDE"/>
          </w:tcPr>
          <w:p>
            <w:pPr>
              <w:spacing w:after="0"/>
              <w:rPr>
                <w:sz w:val="17"/>
                <w:szCs w:val="17"/>
                <w:color w:val="auto"/>
              </w:rPr>
            </w:pPr>
          </w:p>
        </w:tc>
        <w:tc>
          <w:tcPr>
            <w:tcW w:w="820" w:type="dxa"/>
            <w:vAlign w:val="bottom"/>
            <w:tcBorders>
              <w:bottom w:val="single" w:sz="8" w:color="DEDEDE"/>
            </w:tcBorders>
            <w:shd w:val="clear" w:color="auto" w:fill="DEDEDE"/>
          </w:tcPr>
          <w:p>
            <w:pPr>
              <w:spacing w:after="0"/>
              <w:rPr>
                <w:sz w:val="17"/>
                <w:szCs w:val="17"/>
                <w:color w:val="auto"/>
              </w:rPr>
            </w:pPr>
          </w:p>
        </w:tc>
        <w:tc>
          <w:tcPr>
            <w:tcW w:w="80" w:type="dxa"/>
            <w:vAlign w:val="bottom"/>
            <w:tcBorders>
              <w:bottom w:val="single" w:sz="8" w:color="DEDEDE"/>
            </w:tcBorders>
            <w:shd w:val="clear" w:color="auto" w:fill="DEDEDE"/>
          </w:tcPr>
          <w:p>
            <w:pPr>
              <w:spacing w:after="0"/>
              <w:rPr>
                <w:sz w:val="17"/>
                <w:szCs w:val="17"/>
                <w:color w:val="auto"/>
              </w:rPr>
            </w:pPr>
          </w:p>
        </w:tc>
        <w:tc>
          <w:tcPr>
            <w:tcW w:w="340" w:type="dxa"/>
            <w:vAlign w:val="bottom"/>
            <w:tcBorders>
              <w:bottom w:val="single" w:sz="8" w:color="DEDEDE"/>
            </w:tcBorders>
            <w:shd w:val="clear" w:color="auto" w:fill="DEDEDE"/>
          </w:tcPr>
          <w:p>
            <w:pPr>
              <w:spacing w:after="0"/>
              <w:rPr>
                <w:sz w:val="17"/>
                <w:szCs w:val="17"/>
                <w:color w:val="auto"/>
              </w:rPr>
            </w:pPr>
          </w:p>
        </w:tc>
        <w:tc>
          <w:tcPr>
            <w:tcW w:w="80" w:type="dxa"/>
            <w:vAlign w:val="bottom"/>
            <w:tcBorders>
              <w:bottom w:val="single" w:sz="8" w:color="DEDEDE"/>
            </w:tcBorders>
            <w:shd w:val="clear" w:color="auto" w:fill="DEDEDE"/>
          </w:tcPr>
          <w:p>
            <w:pPr>
              <w:spacing w:after="0"/>
              <w:rPr>
                <w:sz w:val="17"/>
                <w:szCs w:val="17"/>
                <w:color w:val="auto"/>
              </w:rPr>
            </w:pPr>
          </w:p>
        </w:tc>
        <w:tc>
          <w:tcPr>
            <w:tcW w:w="940" w:type="dxa"/>
            <w:vAlign w:val="bottom"/>
            <w:tcBorders>
              <w:bottom w:val="single" w:sz="8" w:color="DEDEDE"/>
            </w:tcBorders>
            <w:shd w:val="clear" w:color="auto" w:fill="DEDEDE"/>
          </w:tcPr>
          <w:p>
            <w:pPr>
              <w:spacing w:after="0"/>
              <w:rPr>
                <w:sz w:val="17"/>
                <w:szCs w:val="17"/>
                <w:color w:val="auto"/>
              </w:rPr>
            </w:pPr>
          </w:p>
        </w:tc>
        <w:tc>
          <w:tcPr>
            <w:tcW w:w="200" w:type="dxa"/>
            <w:vAlign w:val="bottom"/>
            <w:tcBorders>
              <w:bottom w:val="single" w:sz="8" w:color="DEDEDE"/>
            </w:tcBorders>
            <w:shd w:val="clear" w:color="auto" w:fill="DEDEDE"/>
          </w:tcPr>
          <w:p>
            <w:pPr>
              <w:spacing w:after="0"/>
              <w:rPr>
                <w:sz w:val="17"/>
                <w:szCs w:val="17"/>
                <w:color w:val="auto"/>
              </w:rPr>
            </w:pPr>
          </w:p>
        </w:tc>
        <w:tc>
          <w:tcPr>
            <w:tcW w:w="80" w:type="dxa"/>
            <w:vAlign w:val="bottom"/>
            <w:tcBorders>
              <w:bottom w:val="single" w:sz="8" w:color="DEDEDE"/>
            </w:tcBorders>
            <w:shd w:val="clear" w:color="auto" w:fill="DEDEDE"/>
          </w:tcPr>
          <w:p>
            <w:pPr>
              <w:spacing w:after="0"/>
              <w:rPr>
                <w:sz w:val="17"/>
                <w:szCs w:val="17"/>
                <w:color w:val="auto"/>
              </w:rPr>
            </w:pPr>
          </w:p>
        </w:tc>
        <w:tc>
          <w:tcPr>
            <w:tcW w:w="100" w:type="dxa"/>
            <w:vAlign w:val="bottom"/>
            <w:tcBorders>
              <w:bottom w:val="single" w:sz="8" w:color="DEDEDE"/>
            </w:tcBorders>
            <w:shd w:val="clear" w:color="auto" w:fill="DEDEDE"/>
          </w:tcPr>
          <w:p>
            <w:pPr>
              <w:spacing w:after="0"/>
              <w:rPr>
                <w:sz w:val="17"/>
                <w:szCs w:val="17"/>
                <w:color w:val="auto"/>
              </w:rPr>
            </w:pPr>
          </w:p>
        </w:tc>
        <w:tc>
          <w:tcPr>
            <w:tcW w:w="900" w:type="dxa"/>
            <w:vAlign w:val="bottom"/>
            <w:tcBorders>
              <w:bottom w:val="single" w:sz="8" w:color="DEDEDE"/>
            </w:tcBorders>
            <w:shd w:val="clear" w:color="auto" w:fill="DEDEDE"/>
          </w:tcPr>
          <w:p>
            <w:pPr>
              <w:spacing w:after="0"/>
              <w:rPr>
                <w:sz w:val="17"/>
                <w:szCs w:val="17"/>
                <w:color w:val="auto"/>
              </w:rPr>
            </w:pPr>
          </w:p>
        </w:tc>
        <w:tc>
          <w:tcPr>
            <w:tcW w:w="280" w:type="dxa"/>
            <w:vAlign w:val="bottom"/>
            <w:tcBorders>
              <w:bottom w:val="single" w:sz="8" w:color="DEDEDE"/>
            </w:tcBorders>
            <w:shd w:val="clear" w:color="auto" w:fill="DEDEDE"/>
          </w:tcPr>
          <w:p>
            <w:pPr>
              <w:spacing w:after="0"/>
              <w:rPr>
                <w:sz w:val="17"/>
                <w:szCs w:val="17"/>
                <w:color w:val="auto"/>
              </w:rPr>
            </w:pPr>
          </w:p>
        </w:tc>
        <w:tc>
          <w:tcPr>
            <w:tcW w:w="100" w:type="dxa"/>
            <w:vAlign w:val="bottom"/>
            <w:tcBorders>
              <w:bottom w:val="single" w:sz="8" w:color="DEDEDE"/>
            </w:tcBorders>
            <w:shd w:val="clear" w:color="auto" w:fill="DEDEDE"/>
          </w:tcPr>
          <w:p>
            <w:pPr>
              <w:spacing w:after="0"/>
              <w:rPr>
                <w:sz w:val="17"/>
                <w:szCs w:val="17"/>
                <w:color w:val="auto"/>
              </w:rPr>
            </w:pPr>
          </w:p>
        </w:tc>
        <w:tc>
          <w:tcPr>
            <w:tcW w:w="900" w:type="dxa"/>
            <w:vAlign w:val="bottom"/>
            <w:tcBorders>
              <w:bottom w:val="single" w:sz="8" w:color="DEDEDE"/>
            </w:tcBorders>
            <w:shd w:val="clear" w:color="auto" w:fill="DEDEDE"/>
          </w:tcPr>
          <w:p>
            <w:pPr>
              <w:spacing w:after="0"/>
              <w:rPr>
                <w:sz w:val="17"/>
                <w:szCs w:val="17"/>
                <w:color w:val="auto"/>
              </w:rPr>
            </w:pPr>
          </w:p>
        </w:tc>
        <w:tc>
          <w:tcPr>
            <w:tcW w:w="100" w:type="dxa"/>
            <w:vAlign w:val="bottom"/>
            <w:tcBorders>
              <w:bottom w:val="single" w:sz="8" w:color="DEDEDE"/>
            </w:tcBorders>
            <w:shd w:val="clear" w:color="auto" w:fill="DEDEDE"/>
          </w:tcPr>
          <w:p>
            <w:pPr>
              <w:spacing w:after="0"/>
              <w:rPr>
                <w:sz w:val="17"/>
                <w:szCs w:val="17"/>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Less than 1.00%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40" w:type="dxa"/>
            <w:vAlign w:val="bottom"/>
            <w:gridSpan w:val="3"/>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1.00% - 1.99%</w:t>
            </w:r>
          </w:p>
        </w:tc>
        <w:tc>
          <w:tcPr>
            <w:tcW w:w="2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12,054,288</w:t>
            </w: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11,769,363</w:t>
            </w:r>
          </w:p>
        </w:tc>
        <w:tc>
          <w:tcPr>
            <w:tcW w:w="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14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23,823,651</w:t>
            </w:r>
          </w:p>
        </w:tc>
        <w:tc>
          <w:tcPr>
            <w:tcW w:w="100" w:type="dxa"/>
            <w:vAlign w:val="bottom"/>
            <w:shd w:val="clear" w:color="auto" w:fill="DEDEDE"/>
          </w:tcPr>
          <w:p>
            <w:pPr>
              <w:spacing w:after="0"/>
              <w:rPr>
                <w:sz w:val="18"/>
                <w:szCs w:val="18"/>
                <w:color w:val="auto"/>
              </w:rPr>
            </w:pPr>
          </w:p>
        </w:tc>
      </w:tr>
      <w:tr>
        <w:trPr>
          <w:trHeight w:val="216"/>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2.00% - 2.99%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4,971,936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5,103,114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10,408,200</w:t>
            </w:r>
          </w:p>
        </w:tc>
        <w:tc>
          <w:tcPr>
            <w:tcW w:w="100" w:type="dxa"/>
            <w:vAlign w:val="bottom"/>
          </w:tcPr>
          <w:p>
            <w:pPr>
              <w:spacing w:after="0"/>
              <w:rPr>
                <w:sz w:val="18"/>
                <w:szCs w:val="18"/>
                <w:color w:val="auto"/>
              </w:rPr>
            </w:pPr>
          </w:p>
        </w:tc>
      </w:tr>
      <w:tr>
        <w:trPr>
          <w:trHeight w:val="216"/>
        </w:trPr>
        <w:tc>
          <w:tcPr>
            <w:tcW w:w="3540" w:type="dxa"/>
            <w:vAlign w:val="bottom"/>
            <w:gridSpan w:val="3"/>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3.00% - 4.00%</w:t>
            </w:r>
          </w:p>
        </w:tc>
        <w:tc>
          <w:tcPr>
            <w:tcW w:w="2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30,725,910</w:t>
            </w: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8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8"/>
              </w:rPr>
              <w:t>10,535,194</w:t>
            </w:r>
          </w:p>
        </w:tc>
        <w:tc>
          <w:tcPr>
            <w:tcW w:w="8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35,597</w:t>
            </w:r>
          </w:p>
        </w:tc>
        <w:tc>
          <w:tcPr>
            <w:tcW w:w="2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437,677</w:t>
            </w:r>
          </w:p>
        </w:tc>
        <w:tc>
          <w:tcPr>
            <w:tcW w:w="28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41,734,378</w:t>
            </w:r>
          </w:p>
        </w:tc>
        <w:tc>
          <w:tcPr>
            <w:tcW w:w="100" w:type="dxa"/>
            <w:vAlign w:val="bottom"/>
            <w:shd w:val="clear" w:color="auto" w:fill="DEDEDE"/>
          </w:tcPr>
          <w:p>
            <w:pPr>
              <w:spacing w:after="0"/>
              <w:rPr>
                <w:sz w:val="18"/>
                <w:szCs w:val="18"/>
                <w:color w:val="auto"/>
              </w:rPr>
            </w:pPr>
          </w:p>
        </w:tc>
      </w:tr>
      <w:tr>
        <w:trPr>
          <w:trHeight w:val="230"/>
        </w:trPr>
        <w:tc>
          <w:tcPr>
            <w:tcW w:w="3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Greater than 4.00%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28,768,112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354,280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29,122,392</w:t>
            </w:r>
          </w:p>
        </w:tc>
        <w:tc>
          <w:tcPr>
            <w:tcW w:w="100" w:type="dxa"/>
            <w:vAlign w:val="bottom"/>
          </w:tcPr>
          <w:p>
            <w:pPr>
              <w:spacing w:after="0"/>
              <w:rPr>
                <w:sz w:val="19"/>
                <w:szCs w:val="19"/>
                <w:color w:val="auto"/>
              </w:rPr>
            </w:pPr>
          </w:p>
        </w:tc>
      </w:tr>
      <w:tr>
        <w:trPr>
          <w:trHeight w:val="223"/>
        </w:trPr>
        <w:tc>
          <w:tcPr>
            <w:tcW w:w="3540" w:type="dxa"/>
            <w:vAlign w:val="bottom"/>
            <w:tcBorders>
              <w:top w:val="single" w:sz="8" w:color="DEDEDE"/>
              <w:bottom w:val="single" w:sz="8" w:color="DEDEDE"/>
            </w:tcBorders>
            <w:gridSpan w:val="3"/>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76,520,246</w:t>
            </w: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920" w:type="dxa"/>
            <w:vAlign w:val="bottom"/>
            <w:tcBorders>
              <w:top w:val="single" w:sz="8" w:color="auto"/>
              <w:bottom w:val="single" w:sz="8" w:color="auto"/>
            </w:tcBorders>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5"/>
              </w:rPr>
              <w:t>$ 22,304,557</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340" w:type="dxa"/>
            <w:vAlign w:val="bottom"/>
            <w:tcBorders>
              <w:top w:val="single" w:sz="8" w:color="DEDEDE"/>
              <w:bottom w:val="single" w:sz="8" w:color="DEDEDE"/>
            </w:tcBorders>
            <w:shd w:val="clear" w:color="auto" w:fill="DEDEDE"/>
          </w:tcPr>
          <w:p>
            <w:pPr>
              <w:spacing w:after="0"/>
              <w:rPr>
                <w:sz w:val="19"/>
                <w:szCs w:val="19"/>
                <w:color w:val="auto"/>
              </w:rPr>
            </w:pPr>
          </w:p>
        </w:tc>
        <w:tc>
          <w:tcPr>
            <w:tcW w:w="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723,027</w:t>
            </w: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5,540,791</w:t>
            </w:r>
          </w:p>
        </w:tc>
        <w:tc>
          <w:tcPr>
            <w:tcW w:w="28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9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7"/>
              </w:rPr>
              <w:t>105,088,621</w:t>
            </w: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76</w:t>
      </w:r>
    </w:p>
    <w:p>
      <w:pPr>
        <w:sectPr>
          <w:pgSz w:w="12240" w:h="15840" w:orient="portrait"/>
          <w:cols w:equalWidth="0" w:num="1">
            <w:col w:w="11222"/>
          </w:cols>
          <w:pgMar w:left="498" w:top="687" w:right="520" w:bottom="0" w:gutter="0" w:footer="0" w:header="0"/>
        </w:sectPr>
      </w:pPr>
    </w:p>
    <w:bookmarkStart w:id="104" w:name="page105"/>
    <w:bookmarkEnd w:id="104"/>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Reinsurance</w:t>
      </w:r>
    </w:p>
    <w:p>
      <w:pPr>
        <w:spacing w:after="0" w:line="225" w:lineRule="exact"/>
        <w:rPr>
          <w:sz w:val="20"/>
          <w:szCs w:val="20"/>
          <w:color w:val="auto"/>
        </w:rPr>
      </w:pPr>
    </w:p>
    <w:p>
      <w:pPr>
        <w:jc w:val="both"/>
        <w:ind w:left="2" w:right="20"/>
        <w:spacing w:after="0" w:line="255" w:lineRule="auto"/>
        <w:rPr>
          <w:sz w:val="20"/>
          <w:szCs w:val="20"/>
          <w:color w:val="auto"/>
        </w:rPr>
      </w:pPr>
      <w:r>
        <w:rPr>
          <w:rFonts w:ascii="Times New Roman" w:cs="Times New Roman" w:eastAsia="Times New Roman" w:hAnsi="Times New Roman"/>
          <w:sz w:val="18"/>
          <w:szCs w:val="18"/>
          <w:color w:val="auto"/>
        </w:rPr>
        <w:t>The Company followed the procedure of reinsuring risks of more than a specified limit, which ranged from $25,000 to $100,000 on newly issued policies. Currently, the Company does not reinsure risks on newly issued policies. The Company has also assumed various reinsurance agreements through acquisition of various life companies and has assets held in trust related to certain agreements. The Company is ultimately liable for these reinsured amounts in the event such reinsurers are unable to pay their portion of the claims. The Company evaluates the financial condition of reinsurers and monitors the concentration of credit risk. The Company had a significant concentration of credit risk with a single reinsurer of 94.6% and 94.4% of ceded life insurance in force as of December 31, 2025 and 2024, respectively. This represented approximately 7.6% and 7.8% of the Company’s total life insurance in force as of December 31, 2025 and 2024, respectively.</w:t>
      </w:r>
    </w:p>
    <w:p>
      <w:pPr>
        <w:spacing w:after="0" w:line="18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Company’s life insurance in force and premiums for reinsurance are summarized as follows:</w:t>
      </w:r>
    </w:p>
    <w:p>
      <w:pPr>
        <w:sectPr>
          <w:pgSz w:w="12240" w:h="15840" w:orient="portrait"/>
          <w:cols w:equalWidth="0" w:num="1">
            <w:col w:w="11242"/>
          </w:cols>
          <w:pgMar w:left="498" w:top="687" w:right="5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2025</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Life Insurance in force ($000)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Percentage</w:t>
            </w:r>
          </w:p>
        </w:tc>
      </w:tr>
      <w:tr>
        <w:trPr>
          <w:trHeight w:val="216"/>
        </w:trPr>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Ceded to</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Assumed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of Amount</w:t>
            </w:r>
          </w:p>
        </w:tc>
      </w:tr>
      <w:tr>
        <w:trPr>
          <w:trHeight w:val="229"/>
        </w:trPr>
        <w:tc>
          <w:tcPr>
            <w:tcW w:w="200" w:type="dxa"/>
            <w:vAlign w:val="bottom"/>
          </w:tcPr>
          <w:p>
            <w:pPr>
              <w:spacing w:after="0"/>
              <w:rPr>
                <w:sz w:val="19"/>
                <w:szCs w:val="19"/>
                <w:color w:val="auto"/>
              </w:rPr>
            </w:pPr>
          </w:p>
        </w:tc>
        <w:tc>
          <w:tcPr>
            <w:tcW w:w="9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7"/>
              </w:rPr>
              <w:t>Direct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Other</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from Other</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Net</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Assumed</w:t>
            </w:r>
          </w:p>
        </w:tc>
      </w:tr>
      <w:tr>
        <w:trPr>
          <w:trHeight w:val="236"/>
        </w:trPr>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Amount</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8"/>
              </w:rPr>
              <w:t>Companies</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Companies</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rPr>
              <w:t>Amount</w:t>
            </w:r>
          </w:p>
        </w:tc>
        <w:tc>
          <w:tcPr>
            <w:tcW w:w="3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to Net</w:t>
            </w:r>
          </w:p>
        </w:tc>
        <w:tc>
          <w:tcPr>
            <w:tcW w:w="160" w:type="dxa"/>
            <w:vAlign w:val="bottom"/>
          </w:tcPr>
          <w:p>
            <w:pPr>
              <w:spacing w:after="0"/>
              <w:rPr>
                <w:sz w:val="20"/>
                <w:szCs w:val="20"/>
                <w:color w:val="auto"/>
              </w:rPr>
            </w:pPr>
          </w:p>
        </w:tc>
      </w:tr>
      <w:tr>
        <w:trPr>
          <w:trHeight w:val="453"/>
        </w:trPr>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3,902,015</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316,251</w:t>
            </w: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31,240</w:t>
            </w: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3,617,004</w:t>
            </w:r>
          </w:p>
        </w:tc>
        <w:tc>
          <w:tcPr>
            <w:tcW w:w="3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-2642235</wp:posOffset>
                </wp:positionH>
                <wp:positionV relativeFrom="paragraph">
                  <wp:posOffset>-325120</wp:posOffset>
                </wp:positionV>
                <wp:extent cx="7131685" cy="145415"/>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45415"/>
                        </a:xfrm>
                        <a:prstGeom prst="rect">
                          <a:avLst/>
                        </a:prstGeom>
                        <a:solidFill>
                          <a:srgbClr val="DEDEDE"/>
                        </a:solidFill>
                      </wps:spPr>
                      <wps:bodyPr/>
                    </wps:wsp>
                  </a:graphicData>
                </a:graphic>
              </wp:anchor>
            </w:drawing>
          </mc:Choice>
          <mc:Fallback>
            <w:pict>
              <v:rect id="Shape 172" o:spid="_x0000_s1197" style="position:absolute;margin-left:-208.0499pt;margin-top:-25.5999pt;width:561.5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-2642235</wp:posOffset>
                </wp:positionH>
                <wp:positionV relativeFrom="paragraph">
                  <wp:posOffset>-179705</wp:posOffset>
                </wp:positionV>
                <wp:extent cx="7131685" cy="16256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1685" cy="162560"/>
                        </a:xfrm>
                        <a:prstGeom prst="rect">
                          <a:avLst/>
                        </a:prstGeom>
                        <a:solidFill>
                          <a:srgbClr val="FFFFFF"/>
                        </a:solidFill>
                      </wps:spPr>
                      <wps:bodyPr/>
                    </wps:wsp>
                  </a:graphicData>
                </a:graphic>
              </wp:anchor>
            </w:drawing>
          </mc:Choice>
          <mc:Fallback>
            <w:pict>
              <v:rect id="Shape 173" o:spid="_x0000_s1198" style="position:absolute;margin-left:-208.0499pt;margin-top:-14.1499pt;width:561.55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0" w:lineRule="exact"/>
        <w:rPr>
          <w:sz w:val="20"/>
          <w:szCs w:val="20"/>
          <w:color w:val="auto"/>
        </w:rPr>
      </w:pPr>
    </w:p>
    <w:p>
      <w:pPr>
        <w:sectPr>
          <w:pgSz w:w="12240" w:h="15840" w:orient="portrait"/>
          <w:cols w:equalWidth="0" w:num="2">
            <w:col w:w="3442" w:space="720"/>
            <w:col w:w="7080"/>
          </w:cols>
          <w:pgMar w:left="498" w:top="687" w:right="500" w:bottom="0" w:gutter="0" w:footer="0" w:header="0"/>
          <w:type w:val="continuous"/>
        </w:sectPr>
      </w:pPr>
    </w:p>
    <w:tbl>
      <w:tblPr>
        <w:tblLayout w:type="fixed"/>
        <w:tblInd w:w="2" w:type="dxa"/>
        <w:tblCellMar>
          <w:top w:w="0" w:type="dxa"/>
          <w:left w:w="0" w:type="dxa"/>
          <w:bottom w:w="0" w:type="dxa"/>
          <w:right w:w="0" w:type="dxa"/>
        </w:tblCellMar>
      </w:tblPr>
      <w:tr>
        <w:trPr>
          <w:trHeight w:val="196"/>
        </w:trPr>
        <w:tc>
          <w:tcPr>
            <w:tcW w:w="20" w:type="dxa"/>
            <w:vAlign w:val="bottom"/>
            <w:vMerge w:val="restart"/>
          </w:tcPr>
          <w:p>
            <w:pPr>
              <w:spacing w:after="0"/>
              <w:rPr>
                <w:sz w:val="17"/>
                <w:szCs w:val="17"/>
                <w:color w:val="auto"/>
              </w:rPr>
            </w:pPr>
          </w:p>
        </w:tc>
        <w:tc>
          <w:tcPr>
            <w:tcW w:w="340" w:type="dxa"/>
            <w:vAlign w:val="bottom"/>
            <w:shd w:val="clear" w:color="auto" w:fill="DEDEDE"/>
          </w:tcPr>
          <w:p>
            <w:pPr>
              <w:spacing w:after="0"/>
              <w:rPr>
                <w:sz w:val="17"/>
                <w:szCs w:val="17"/>
                <w:color w:val="auto"/>
              </w:rPr>
            </w:pPr>
          </w:p>
        </w:tc>
        <w:tc>
          <w:tcPr>
            <w:tcW w:w="2920" w:type="dxa"/>
            <w:vAlign w:val="bottom"/>
            <w:shd w:val="clear" w:color="auto" w:fill="DEDEDE"/>
          </w:tcPr>
          <w:p>
            <w:pPr>
              <w:spacing w:after="0"/>
              <w:rPr>
                <w:sz w:val="17"/>
                <w:szCs w:val="17"/>
                <w:color w:val="auto"/>
              </w:rPr>
            </w:pPr>
          </w:p>
        </w:tc>
        <w:tc>
          <w:tcPr>
            <w:tcW w:w="88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960" w:type="dxa"/>
            <w:vAlign w:val="bottom"/>
            <w:shd w:val="clear" w:color="auto" w:fill="DEDEDE"/>
          </w:tcPr>
          <w:p>
            <w:pPr>
              <w:spacing w:after="0"/>
              <w:rPr>
                <w:sz w:val="17"/>
                <w:szCs w:val="17"/>
                <w:color w:val="auto"/>
              </w:rPr>
            </w:pPr>
          </w:p>
        </w:tc>
        <w:tc>
          <w:tcPr>
            <w:tcW w:w="36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8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300" w:type="dxa"/>
            <w:vAlign w:val="bottom"/>
            <w:shd w:val="clear" w:color="auto" w:fill="DEDEDE"/>
          </w:tcPr>
          <w:p>
            <w:pPr>
              <w:spacing w:after="0"/>
              <w:rPr>
                <w:sz w:val="17"/>
                <w:szCs w:val="17"/>
                <w:color w:val="auto"/>
              </w:rPr>
            </w:pPr>
          </w:p>
        </w:tc>
        <w:tc>
          <w:tcPr>
            <w:tcW w:w="800" w:type="dxa"/>
            <w:vAlign w:val="bottom"/>
            <w:shd w:val="clear" w:color="auto" w:fill="DEDEDE"/>
          </w:tcPr>
          <w:p>
            <w:pPr>
              <w:spacing w:after="0"/>
              <w:rPr>
                <w:sz w:val="17"/>
                <w:szCs w:val="17"/>
                <w:color w:val="auto"/>
              </w:rPr>
            </w:pPr>
          </w:p>
        </w:tc>
        <w:tc>
          <w:tcPr>
            <w:tcW w:w="3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96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110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Life Insurance</w:t>
            </w:r>
          </w:p>
        </w:tc>
        <w:tc>
          <w:tcPr>
            <w:tcW w:w="10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121,324,575</w:t>
            </w:r>
          </w:p>
        </w:tc>
        <w:tc>
          <w:tcPr>
            <w:tcW w:w="600" w:type="dxa"/>
            <w:vAlign w:val="bottom"/>
            <w:gridSpan w:val="2"/>
            <w:shd w:val="clear" w:color="auto" w:fill="DEDEDE"/>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1,959,362</w:t>
            </w:r>
          </w:p>
        </w:tc>
        <w:tc>
          <w:tcPr>
            <w:tcW w:w="620" w:type="dxa"/>
            <w:vAlign w:val="bottom"/>
            <w:gridSpan w:val="2"/>
            <w:shd w:val="clear" w:color="auto" w:fill="DEDEDE"/>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220,502</w:t>
            </w:r>
          </w:p>
        </w:tc>
        <w:tc>
          <w:tcPr>
            <w:tcW w:w="4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119,585,715</w:t>
            </w:r>
          </w:p>
        </w:tc>
        <w:tc>
          <w:tcPr>
            <w:tcW w:w="320" w:type="dxa"/>
            <w:vAlign w:val="bottom"/>
            <w:shd w:val="clear" w:color="auto" w:fill="DEDEDE"/>
          </w:tcPr>
          <w:p>
            <w:pPr>
              <w:spacing w:after="0"/>
              <w:rPr>
                <w:sz w:val="18"/>
                <w:szCs w:val="18"/>
                <w:color w:val="auto"/>
              </w:rPr>
            </w:pPr>
          </w:p>
        </w:tc>
        <w:tc>
          <w:tcPr>
            <w:tcW w:w="12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171,380</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171,388</w:t>
            </w:r>
          </w:p>
        </w:tc>
        <w:tc>
          <w:tcPr>
            <w:tcW w:w="3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DEDEDE"/>
              <w:bottom w:val="single" w:sz="8" w:color="DEDEDE"/>
            </w:tcBorders>
            <w:gridSpan w:val="2"/>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Total premiums</w:t>
            </w:r>
          </w:p>
        </w:tc>
        <w:tc>
          <w:tcPr>
            <w:tcW w:w="880" w:type="dxa"/>
            <w:vAlign w:val="bottom"/>
            <w:tcBorders>
              <w:top w:val="single" w:sz="8" w:color="DEDEDE"/>
              <w:bottom w:val="single" w:sz="8" w:color="DEDEDE"/>
            </w:tcBorders>
            <w:shd w:val="clear" w:color="auto" w:fill="DEDEDE"/>
          </w:tcPr>
          <w:p>
            <w:pPr>
              <w:spacing w:after="0"/>
              <w:rPr>
                <w:sz w:val="19"/>
                <w:szCs w:val="19"/>
                <w:color w:val="auto"/>
              </w:rPr>
            </w:pPr>
          </w:p>
        </w:tc>
        <w:tc>
          <w:tcPr>
            <w:tcW w:w="1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121,495,955</w:t>
            </w:r>
          </w:p>
        </w:tc>
        <w:tc>
          <w:tcPr>
            <w:tcW w:w="360" w:type="dxa"/>
            <w:vAlign w:val="bottom"/>
            <w:tcBorders>
              <w:top w:val="single" w:sz="8" w:color="DEDEDE"/>
              <w:bottom w:val="single" w:sz="8" w:color="DEDEDE"/>
            </w:tcBorders>
            <w:shd w:val="clear" w:color="auto" w:fill="DEDEDE"/>
          </w:tcPr>
          <w:p>
            <w:pPr>
              <w:spacing w:after="0"/>
              <w:rPr>
                <w:sz w:val="19"/>
                <w:szCs w:val="19"/>
                <w:color w:val="auto"/>
              </w:rPr>
            </w:pPr>
          </w:p>
        </w:tc>
        <w:tc>
          <w:tcPr>
            <w:tcW w:w="240" w:type="dxa"/>
            <w:vAlign w:val="bottom"/>
            <w:tcBorders>
              <w:top w:val="single" w:sz="8" w:color="auto"/>
              <w:bottom w:val="single" w:sz="8" w:color="auto"/>
            </w:tcBorders>
            <w:shd w:val="clear" w:color="auto" w:fill="DEDED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1,959,362</w:t>
            </w: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300" w:type="dxa"/>
            <w:vAlign w:val="bottom"/>
            <w:tcBorders>
              <w:top w:val="single" w:sz="8" w:color="auto"/>
              <w:bottom w:val="single" w:sz="8" w:color="auto"/>
            </w:tcBorders>
            <w:shd w:val="clear" w:color="auto" w:fill="DEDED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220,510</w:t>
            </w:r>
          </w:p>
        </w:tc>
        <w:tc>
          <w:tcPr>
            <w:tcW w:w="34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119,757,103</w:t>
            </w: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1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top w:val="single" w:sz="8" w:color="DEDEDE"/>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w w:val="88"/>
              </w:rPr>
              <w:t>2024</w:t>
            </w:r>
          </w:p>
        </w:tc>
        <w:tc>
          <w:tcPr>
            <w:tcW w:w="2920" w:type="dxa"/>
            <w:vAlign w:val="bottom"/>
            <w:tcBorders>
              <w:bottom w:val="single" w:sz="8" w:color="DEDEDE"/>
            </w:tcBorders>
            <w:shd w:val="clear" w:color="auto" w:fill="DEDEDE"/>
          </w:tcPr>
          <w:p>
            <w:pPr>
              <w:spacing w:after="0"/>
              <w:rPr>
                <w:sz w:val="17"/>
                <w:szCs w:val="17"/>
                <w:color w:val="auto"/>
              </w:rPr>
            </w:pPr>
          </w:p>
        </w:tc>
        <w:tc>
          <w:tcPr>
            <w:tcW w:w="880" w:type="dxa"/>
            <w:vAlign w:val="bottom"/>
            <w:tcBorders>
              <w:bottom w:val="single" w:sz="8" w:color="DEDEDE"/>
            </w:tcBorders>
            <w:shd w:val="clear" w:color="auto" w:fill="DEDEDE"/>
          </w:tcPr>
          <w:p>
            <w:pPr>
              <w:spacing w:after="0"/>
              <w:rPr>
                <w:sz w:val="17"/>
                <w:szCs w:val="17"/>
                <w:color w:val="auto"/>
              </w:rPr>
            </w:pPr>
          </w:p>
        </w:tc>
        <w:tc>
          <w:tcPr>
            <w:tcW w:w="180" w:type="dxa"/>
            <w:vAlign w:val="bottom"/>
            <w:tcBorders>
              <w:bottom w:val="single" w:sz="8" w:color="DEDEDE"/>
            </w:tcBorders>
            <w:shd w:val="clear" w:color="auto" w:fill="DEDEDE"/>
          </w:tcPr>
          <w:p>
            <w:pPr>
              <w:spacing w:after="0"/>
              <w:rPr>
                <w:sz w:val="17"/>
                <w:szCs w:val="17"/>
                <w:color w:val="auto"/>
              </w:rPr>
            </w:pPr>
          </w:p>
        </w:tc>
        <w:tc>
          <w:tcPr>
            <w:tcW w:w="960" w:type="dxa"/>
            <w:vAlign w:val="bottom"/>
            <w:tcBorders>
              <w:bottom w:val="single" w:sz="8" w:color="DEDEDE"/>
            </w:tcBorders>
            <w:shd w:val="clear" w:color="auto" w:fill="DEDEDE"/>
          </w:tcPr>
          <w:p>
            <w:pPr>
              <w:spacing w:after="0"/>
              <w:rPr>
                <w:sz w:val="17"/>
                <w:szCs w:val="17"/>
                <w:color w:val="auto"/>
              </w:rPr>
            </w:pPr>
          </w:p>
        </w:tc>
        <w:tc>
          <w:tcPr>
            <w:tcW w:w="360" w:type="dxa"/>
            <w:vAlign w:val="bottom"/>
            <w:tcBorders>
              <w:bottom w:val="single" w:sz="8" w:color="DEDEDE"/>
            </w:tcBorders>
            <w:shd w:val="clear" w:color="auto" w:fill="DEDEDE"/>
          </w:tcPr>
          <w:p>
            <w:pPr>
              <w:spacing w:after="0"/>
              <w:rPr>
                <w:sz w:val="17"/>
                <w:szCs w:val="17"/>
                <w:color w:val="auto"/>
              </w:rPr>
            </w:pPr>
          </w:p>
        </w:tc>
        <w:tc>
          <w:tcPr>
            <w:tcW w:w="240" w:type="dxa"/>
            <w:vAlign w:val="bottom"/>
            <w:tcBorders>
              <w:bottom w:val="single" w:sz="8" w:color="DEDEDE"/>
            </w:tcBorders>
            <w:shd w:val="clear" w:color="auto" w:fill="DEDEDE"/>
          </w:tcPr>
          <w:p>
            <w:pPr>
              <w:spacing w:after="0"/>
              <w:rPr>
                <w:sz w:val="17"/>
                <w:szCs w:val="17"/>
                <w:color w:val="auto"/>
              </w:rPr>
            </w:pPr>
          </w:p>
        </w:tc>
        <w:tc>
          <w:tcPr>
            <w:tcW w:w="880" w:type="dxa"/>
            <w:vAlign w:val="bottom"/>
            <w:tcBorders>
              <w:bottom w:val="single" w:sz="8" w:color="DEDEDE"/>
            </w:tcBorders>
            <w:shd w:val="clear" w:color="auto" w:fill="DEDEDE"/>
          </w:tcPr>
          <w:p>
            <w:pPr>
              <w:spacing w:after="0"/>
              <w:rPr>
                <w:sz w:val="17"/>
                <w:szCs w:val="17"/>
                <w:color w:val="auto"/>
              </w:rPr>
            </w:pPr>
          </w:p>
        </w:tc>
        <w:tc>
          <w:tcPr>
            <w:tcW w:w="320" w:type="dxa"/>
            <w:vAlign w:val="bottom"/>
            <w:tcBorders>
              <w:bottom w:val="single" w:sz="8" w:color="DEDEDE"/>
            </w:tcBorders>
            <w:shd w:val="clear" w:color="auto" w:fill="DEDEDE"/>
          </w:tcPr>
          <w:p>
            <w:pPr>
              <w:spacing w:after="0"/>
              <w:rPr>
                <w:sz w:val="17"/>
                <w:szCs w:val="17"/>
                <w:color w:val="auto"/>
              </w:rPr>
            </w:pPr>
          </w:p>
        </w:tc>
        <w:tc>
          <w:tcPr>
            <w:tcW w:w="300" w:type="dxa"/>
            <w:vAlign w:val="bottom"/>
            <w:tcBorders>
              <w:bottom w:val="single" w:sz="8" w:color="DEDEDE"/>
            </w:tcBorders>
            <w:shd w:val="clear" w:color="auto" w:fill="DEDEDE"/>
          </w:tcPr>
          <w:p>
            <w:pPr>
              <w:spacing w:after="0"/>
              <w:rPr>
                <w:sz w:val="17"/>
                <w:szCs w:val="17"/>
                <w:color w:val="auto"/>
              </w:rPr>
            </w:pPr>
          </w:p>
        </w:tc>
        <w:tc>
          <w:tcPr>
            <w:tcW w:w="800" w:type="dxa"/>
            <w:vAlign w:val="bottom"/>
            <w:tcBorders>
              <w:bottom w:val="single" w:sz="8" w:color="DEDEDE"/>
            </w:tcBorders>
            <w:shd w:val="clear" w:color="auto" w:fill="DEDEDE"/>
          </w:tcPr>
          <w:p>
            <w:pPr>
              <w:spacing w:after="0"/>
              <w:rPr>
                <w:sz w:val="17"/>
                <w:szCs w:val="17"/>
                <w:color w:val="auto"/>
              </w:rPr>
            </w:pPr>
          </w:p>
        </w:tc>
        <w:tc>
          <w:tcPr>
            <w:tcW w:w="340" w:type="dxa"/>
            <w:vAlign w:val="bottom"/>
            <w:tcBorders>
              <w:bottom w:val="single" w:sz="8" w:color="DEDEDE"/>
            </w:tcBorders>
            <w:shd w:val="clear" w:color="auto" w:fill="DEDEDE"/>
          </w:tcPr>
          <w:p>
            <w:pPr>
              <w:spacing w:after="0"/>
              <w:rPr>
                <w:sz w:val="17"/>
                <w:szCs w:val="17"/>
                <w:color w:val="auto"/>
              </w:rPr>
            </w:pPr>
          </w:p>
        </w:tc>
        <w:tc>
          <w:tcPr>
            <w:tcW w:w="140" w:type="dxa"/>
            <w:vAlign w:val="bottom"/>
            <w:tcBorders>
              <w:bottom w:val="single" w:sz="8" w:color="DEDEDE"/>
            </w:tcBorders>
            <w:shd w:val="clear" w:color="auto" w:fill="DEDEDE"/>
          </w:tcPr>
          <w:p>
            <w:pPr>
              <w:spacing w:after="0"/>
              <w:rPr>
                <w:sz w:val="17"/>
                <w:szCs w:val="17"/>
                <w:color w:val="auto"/>
              </w:rPr>
            </w:pPr>
          </w:p>
        </w:tc>
        <w:tc>
          <w:tcPr>
            <w:tcW w:w="960" w:type="dxa"/>
            <w:vAlign w:val="bottom"/>
            <w:tcBorders>
              <w:bottom w:val="single" w:sz="8" w:color="DEDEDE"/>
            </w:tcBorders>
            <w:shd w:val="clear" w:color="auto" w:fill="DEDEDE"/>
          </w:tcPr>
          <w:p>
            <w:pPr>
              <w:spacing w:after="0"/>
              <w:rPr>
                <w:sz w:val="17"/>
                <w:szCs w:val="17"/>
                <w:color w:val="auto"/>
              </w:rPr>
            </w:pPr>
          </w:p>
        </w:tc>
        <w:tc>
          <w:tcPr>
            <w:tcW w:w="320" w:type="dxa"/>
            <w:vAlign w:val="bottom"/>
            <w:tcBorders>
              <w:bottom w:val="single" w:sz="8" w:color="DEDEDE"/>
            </w:tcBorders>
            <w:shd w:val="clear" w:color="auto" w:fill="DEDEDE"/>
          </w:tcPr>
          <w:p>
            <w:pPr>
              <w:spacing w:after="0"/>
              <w:rPr>
                <w:sz w:val="17"/>
                <w:szCs w:val="17"/>
                <w:color w:val="auto"/>
              </w:rPr>
            </w:pPr>
          </w:p>
        </w:tc>
        <w:tc>
          <w:tcPr>
            <w:tcW w:w="1100" w:type="dxa"/>
            <w:vAlign w:val="bottom"/>
            <w:tcBorders>
              <w:bottom w:val="single" w:sz="8" w:color="DEDEDE"/>
            </w:tcBorders>
            <w:shd w:val="clear" w:color="auto" w:fill="DEDEDE"/>
          </w:tcPr>
          <w:p>
            <w:pPr>
              <w:spacing w:after="0"/>
              <w:rPr>
                <w:sz w:val="17"/>
                <w:szCs w:val="17"/>
                <w:color w:val="auto"/>
              </w:rPr>
            </w:pPr>
          </w:p>
        </w:tc>
        <w:tc>
          <w:tcPr>
            <w:tcW w:w="180" w:type="dxa"/>
            <w:vAlign w:val="bottom"/>
            <w:tcBorders>
              <w:bottom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Life Insurance in force ($000)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3,914,583</w:t>
            </w:r>
          </w:p>
        </w:tc>
        <w:tc>
          <w:tcPr>
            <w:tcW w:w="6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325,189</w:t>
            </w:r>
          </w:p>
        </w:tc>
        <w:tc>
          <w:tcPr>
            <w:tcW w:w="6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33,088</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3,622,482</w:t>
            </w:r>
          </w:p>
        </w:tc>
        <w:tc>
          <w:tcPr>
            <w:tcW w:w="32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 w:type="dxa"/>
            <w:vAlign w:val="bottom"/>
            <w:tcBorders>
              <w:top w:val="single" w:sz="8" w:color="DEDEDE"/>
            </w:tcBorders>
            <w:shd w:val="clear" w:color="auto" w:fill="DEDEDE"/>
          </w:tcPr>
          <w:p>
            <w:pPr>
              <w:spacing w:after="0"/>
              <w:rPr>
                <w:sz w:val="17"/>
                <w:szCs w:val="17"/>
                <w:color w:val="auto"/>
              </w:rPr>
            </w:pPr>
          </w:p>
        </w:tc>
        <w:tc>
          <w:tcPr>
            <w:tcW w:w="2920" w:type="dxa"/>
            <w:vAlign w:val="bottom"/>
            <w:tcBorders>
              <w:top w:val="single" w:sz="8" w:color="DEDEDE"/>
            </w:tcBorders>
            <w:shd w:val="clear" w:color="auto" w:fill="DEDEDE"/>
          </w:tcPr>
          <w:p>
            <w:pPr>
              <w:spacing w:after="0"/>
              <w:rPr>
                <w:sz w:val="17"/>
                <w:szCs w:val="17"/>
                <w:color w:val="auto"/>
              </w:rPr>
            </w:pPr>
          </w:p>
        </w:tc>
        <w:tc>
          <w:tcPr>
            <w:tcW w:w="88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960" w:type="dxa"/>
            <w:vAlign w:val="bottom"/>
            <w:tcBorders>
              <w:top w:val="single" w:sz="8" w:color="auto"/>
            </w:tcBorders>
            <w:shd w:val="clear" w:color="auto" w:fill="DEDEDE"/>
          </w:tcPr>
          <w:p>
            <w:pPr>
              <w:spacing w:after="0"/>
              <w:rPr>
                <w:sz w:val="17"/>
                <w:szCs w:val="17"/>
                <w:color w:val="auto"/>
              </w:rPr>
            </w:pPr>
          </w:p>
        </w:tc>
        <w:tc>
          <w:tcPr>
            <w:tcW w:w="360" w:type="dxa"/>
            <w:vAlign w:val="bottom"/>
            <w:tcBorders>
              <w:top w:val="single" w:sz="8" w:color="DEDEDE"/>
            </w:tcBorders>
            <w:shd w:val="clear" w:color="auto" w:fill="DEDEDE"/>
          </w:tcPr>
          <w:p>
            <w:pPr>
              <w:spacing w:after="0"/>
              <w:rPr>
                <w:sz w:val="17"/>
                <w:szCs w:val="17"/>
                <w:color w:val="auto"/>
              </w:rPr>
            </w:pPr>
          </w:p>
        </w:tc>
        <w:tc>
          <w:tcPr>
            <w:tcW w:w="240" w:type="dxa"/>
            <w:vAlign w:val="bottom"/>
            <w:tcBorders>
              <w:top w:val="single" w:sz="8" w:color="auto"/>
            </w:tcBorders>
            <w:shd w:val="clear" w:color="auto" w:fill="DEDEDE"/>
          </w:tcPr>
          <w:p>
            <w:pPr>
              <w:spacing w:after="0"/>
              <w:rPr>
                <w:sz w:val="17"/>
                <w:szCs w:val="17"/>
                <w:color w:val="auto"/>
              </w:rPr>
            </w:pPr>
          </w:p>
        </w:tc>
        <w:tc>
          <w:tcPr>
            <w:tcW w:w="880" w:type="dxa"/>
            <w:vAlign w:val="bottom"/>
            <w:tcBorders>
              <w:top w:val="single" w:sz="8" w:color="auto"/>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300" w:type="dxa"/>
            <w:vAlign w:val="bottom"/>
            <w:tcBorders>
              <w:top w:val="single" w:sz="8" w:color="auto"/>
            </w:tcBorders>
            <w:shd w:val="clear" w:color="auto" w:fill="DEDEDE"/>
          </w:tcPr>
          <w:p>
            <w:pPr>
              <w:spacing w:after="0"/>
              <w:rPr>
                <w:sz w:val="17"/>
                <w:szCs w:val="17"/>
                <w:color w:val="auto"/>
              </w:rPr>
            </w:pPr>
          </w:p>
        </w:tc>
        <w:tc>
          <w:tcPr>
            <w:tcW w:w="800" w:type="dxa"/>
            <w:vAlign w:val="bottom"/>
            <w:tcBorders>
              <w:top w:val="single" w:sz="8" w:color="auto"/>
            </w:tcBorders>
            <w:shd w:val="clear" w:color="auto" w:fill="DEDEDE"/>
          </w:tcPr>
          <w:p>
            <w:pPr>
              <w:spacing w:after="0"/>
              <w:rPr>
                <w:sz w:val="17"/>
                <w:szCs w:val="17"/>
                <w:color w:val="auto"/>
              </w:rPr>
            </w:pPr>
          </w:p>
        </w:tc>
        <w:tc>
          <w:tcPr>
            <w:tcW w:w="34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auto"/>
            </w:tcBorders>
            <w:shd w:val="clear" w:color="auto" w:fill="DEDEDE"/>
          </w:tcPr>
          <w:p>
            <w:pPr>
              <w:spacing w:after="0"/>
              <w:rPr>
                <w:sz w:val="17"/>
                <w:szCs w:val="17"/>
                <w:color w:val="auto"/>
              </w:rPr>
            </w:pPr>
          </w:p>
        </w:tc>
        <w:tc>
          <w:tcPr>
            <w:tcW w:w="960" w:type="dxa"/>
            <w:vAlign w:val="bottom"/>
            <w:tcBorders>
              <w:top w:val="single" w:sz="8" w:color="auto"/>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100" w:type="dxa"/>
            <w:vAlign w:val="bottom"/>
            <w:tcBorders>
              <w:top w:val="single" w:sz="8" w:color="auto"/>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Premiums: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gridSpan w:val="2"/>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Life Insurance</w:t>
            </w:r>
          </w:p>
        </w:tc>
        <w:tc>
          <w:tcPr>
            <w:tcW w:w="10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121,392,765</w:t>
            </w:r>
          </w:p>
        </w:tc>
        <w:tc>
          <w:tcPr>
            <w:tcW w:w="600" w:type="dxa"/>
            <w:vAlign w:val="bottom"/>
            <w:gridSpan w:val="2"/>
            <w:shd w:val="clear" w:color="auto" w:fill="DEDEDE"/>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2,142,678</w:t>
            </w:r>
          </w:p>
        </w:tc>
        <w:tc>
          <w:tcPr>
            <w:tcW w:w="620" w:type="dxa"/>
            <w:vAlign w:val="bottom"/>
            <w:gridSpan w:val="2"/>
            <w:shd w:val="clear" w:color="auto" w:fill="DEDEDE"/>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217,701</w:t>
            </w:r>
          </w:p>
        </w:tc>
        <w:tc>
          <w:tcPr>
            <w:tcW w:w="4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119,467,788</w:t>
            </w:r>
          </w:p>
        </w:tc>
        <w:tc>
          <w:tcPr>
            <w:tcW w:w="320" w:type="dxa"/>
            <w:vAlign w:val="bottom"/>
            <w:shd w:val="clear" w:color="auto" w:fill="DEDEDE"/>
          </w:tcPr>
          <w:p>
            <w:pPr>
              <w:spacing w:after="0"/>
              <w:rPr>
                <w:sz w:val="18"/>
                <w:szCs w:val="18"/>
                <w:color w:val="auto"/>
              </w:rPr>
            </w:pPr>
          </w:p>
        </w:tc>
        <w:tc>
          <w:tcPr>
            <w:tcW w:w="12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Accident and Health Insurance</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187,949</w:t>
            </w: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187,957</w:t>
            </w:r>
          </w:p>
        </w:tc>
        <w:tc>
          <w:tcPr>
            <w:tcW w:w="32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60" w:type="dxa"/>
            <w:vAlign w:val="bottom"/>
            <w:tcBorders>
              <w:top w:val="single" w:sz="8" w:color="DEDEDE"/>
              <w:bottom w:val="single" w:sz="8" w:color="DEDEDE"/>
            </w:tcBorders>
            <w:gridSpan w:val="2"/>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Total premiums</w:t>
            </w:r>
          </w:p>
        </w:tc>
        <w:tc>
          <w:tcPr>
            <w:tcW w:w="880" w:type="dxa"/>
            <w:vAlign w:val="bottom"/>
            <w:tcBorders>
              <w:top w:val="single" w:sz="8" w:color="DEDEDE"/>
              <w:bottom w:val="single" w:sz="8" w:color="DEDEDE"/>
            </w:tcBorders>
            <w:shd w:val="clear" w:color="auto" w:fill="DEDEDE"/>
          </w:tcPr>
          <w:p>
            <w:pPr>
              <w:spacing w:after="0"/>
              <w:rPr>
                <w:sz w:val="19"/>
                <w:szCs w:val="19"/>
                <w:color w:val="auto"/>
              </w:rPr>
            </w:pPr>
          </w:p>
        </w:tc>
        <w:tc>
          <w:tcPr>
            <w:tcW w:w="1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121,580,714</w:t>
            </w:r>
          </w:p>
        </w:tc>
        <w:tc>
          <w:tcPr>
            <w:tcW w:w="360" w:type="dxa"/>
            <w:vAlign w:val="bottom"/>
            <w:tcBorders>
              <w:top w:val="single" w:sz="8" w:color="DEDEDE"/>
              <w:bottom w:val="single" w:sz="8" w:color="DEDEDE"/>
            </w:tcBorders>
            <w:shd w:val="clear" w:color="auto" w:fill="DEDEDE"/>
          </w:tcPr>
          <w:p>
            <w:pPr>
              <w:spacing w:after="0"/>
              <w:rPr>
                <w:sz w:val="19"/>
                <w:szCs w:val="19"/>
                <w:color w:val="auto"/>
              </w:rPr>
            </w:pPr>
          </w:p>
        </w:tc>
        <w:tc>
          <w:tcPr>
            <w:tcW w:w="240" w:type="dxa"/>
            <w:vAlign w:val="bottom"/>
            <w:tcBorders>
              <w:top w:val="single" w:sz="8" w:color="auto"/>
              <w:bottom w:val="single" w:sz="8" w:color="auto"/>
            </w:tcBorders>
            <w:shd w:val="clear" w:color="auto" w:fill="DEDED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2,142,678</w:t>
            </w: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300" w:type="dxa"/>
            <w:vAlign w:val="bottom"/>
            <w:tcBorders>
              <w:top w:val="single" w:sz="8" w:color="auto"/>
              <w:bottom w:val="single" w:sz="8" w:color="auto"/>
            </w:tcBorders>
            <w:shd w:val="clear" w:color="auto" w:fill="DEDEDE"/>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217,709</w:t>
            </w:r>
          </w:p>
        </w:tc>
        <w:tc>
          <w:tcPr>
            <w:tcW w:w="34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119,655,745</w:t>
            </w: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11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Borders>
              <w:top w:val="single" w:sz="8" w:color="DEDEDE"/>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77</w:t>
      </w:r>
    </w:p>
    <w:p>
      <w:pPr>
        <w:sectPr>
          <w:pgSz w:w="12240" w:h="15840" w:orient="portrait"/>
          <w:cols w:equalWidth="0" w:num="1">
            <w:col w:w="11242"/>
          </w:cols>
          <w:pgMar w:left="498" w:top="687" w:right="500" w:bottom="0" w:gutter="0" w:footer="0" w:header="0"/>
          <w:type w:val="continuous"/>
        </w:sectPr>
      </w:pPr>
    </w:p>
    <w:bookmarkStart w:id="105" w:name="page106"/>
    <w:bookmarkEnd w:id="105"/>
    <w:p>
      <w:pPr>
        <w:jc w:val="center"/>
        <w:ind w:right="-919"/>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919"/>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15)</w:t>
            </w: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Bank </w:t>
            </w:r>
            <w:r>
              <w:rPr>
                <w:rFonts w:ascii="Times New Roman" w:cs="Times New Roman" w:eastAsia="Times New Roman" w:hAnsi="Times New Roman"/>
                <w:sz w:val="18"/>
                <w:szCs w:val="18"/>
                <w:u w:val="single" w:color="auto"/>
                <w:color w:val="auto"/>
              </w:rPr>
              <w:t>and Other Loans Payable</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20" w:type="dxa"/>
            <w:vAlign w:val="bottom"/>
          </w:tcPr>
          <w:p>
            <w:pPr>
              <w:spacing w:after="0"/>
              <w:rPr>
                <w:sz w:val="24"/>
                <w:szCs w:val="24"/>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and other loans payable are summarized as follows:</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4"/>
          </w:tcPr>
          <w:p>
            <w:pPr>
              <w:jc w:val="right"/>
              <w:ind w:right="76"/>
              <w:spacing w:after="0"/>
              <w:rPr>
                <w:sz w:val="20"/>
                <w:szCs w:val="20"/>
                <w:color w:val="auto"/>
              </w:rPr>
            </w:pPr>
            <w:r>
              <w:rPr>
                <w:rFonts w:ascii="Times New Roman" w:cs="Times New Roman" w:eastAsia="Times New Roman" w:hAnsi="Times New Roman"/>
                <w:sz w:val="18"/>
                <w:szCs w:val="18"/>
                <w:color w:val="auto"/>
              </w:rPr>
              <w:t>December 31,</w:t>
            </w:r>
          </w:p>
        </w:tc>
        <w:tc>
          <w:tcPr>
            <w:tcW w:w="12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Borders>
              <w:bottom w:val="single" w:sz="8" w:color="DEDEDE"/>
            </w:tcBorders>
          </w:tcPr>
          <w:p>
            <w:pPr>
              <w:spacing w:after="0"/>
              <w:rPr>
                <w:sz w:val="19"/>
                <w:szCs w:val="19"/>
                <w:color w:val="auto"/>
              </w:rPr>
            </w:pPr>
          </w:p>
        </w:tc>
        <w:tc>
          <w:tcPr>
            <w:tcW w:w="440" w:type="dxa"/>
            <w:vAlign w:val="bottom"/>
            <w:tcBorders>
              <w:bottom w:val="single" w:sz="8" w:color="DEDEDE"/>
            </w:tcBorders>
          </w:tcPr>
          <w:p>
            <w:pPr>
              <w:spacing w:after="0"/>
              <w:rPr>
                <w:sz w:val="19"/>
                <w:szCs w:val="19"/>
                <w:color w:val="auto"/>
              </w:rPr>
            </w:pPr>
          </w:p>
        </w:tc>
        <w:tc>
          <w:tcPr>
            <w:tcW w:w="5040" w:type="dxa"/>
            <w:vAlign w:val="bottom"/>
            <w:tcBorders>
              <w:bottom w:val="single" w:sz="8" w:color="DEDEDE"/>
            </w:tcBorders>
          </w:tcPr>
          <w:p>
            <w:pPr>
              <w:spacing w:after="0"/>
              <w:rPr>
                <w:sz w:val="19"/>
                <w:szCs w:val="19"/>
                <w:color w:val="auto"/>
              </w:rPr>
            </w:pPr>
          </w:p>
        </w:tc>
        <w:tc>
          <w:tcPr>
            <w:tcW w:w="140" w:type="dxa"/>
            <w:vAlign w:val="bottom"/>
            <w:tcBorders>
              <w:bottom w:val="single" w:sz="8" w:color="DEDED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DEDEDE"/>
            </w:tcBorders>
          </w:tcPr>
          <w:p>
            <w:pPr>
              <w:spacing w:after="0"/>
              <w:rPr>
                <w:sz w:val="19"/>
                <w:szCs w:val="19"/>
                <w:color w:val="auto"/>
              </w:rPr>
            </w:pPr>
          </w:p>
        </w:tc>
        <w:tc>
          <w:tcPr>
            <w:tcW w:w="120" w:type="dxa"/>
            <w:vAlign w:val="bottom"/>
            <w:tcBorders>
              <w:bottom w:val="single" w:sz="8" w:color="DEDEDE"/>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100" w:type="dxa"/>
            <w:vAlign w:val="bottom"/>
            <w:gridSpan w:val="3"/>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rPr>
              <w:t>3.85% fixed note payable in monthly installments of $243,781 including principal</w:t>
            </w:r>
          </w:p>
        </w:tc>
        <w:tc>
          <w:tcPr>
            <w:tcW w:w="140" w:type="dxa"/>
            <w:vAlign w:val="bottom"/>
            <w:shd w:val="clear" w:color="auto" w:fill="DEDEDE"/>
          </w:tcPr>
          <w:p>
            <w:pPr>
              <w:spacing w:after="0"/>
              <w:rPr>
                <w:sz w:val="15"/>
                <w:szCs w:val="15"/>
                <w:color w:val="auto"/>
              </w:rPr>
            </w:pPr>
          </w:p>
        </w:tc>
        <w:tc>
          <w:tcPr>
            <w:tcW w:w="380" w:type="dxa"/>
            <w:vAlign w:val="bottom"/>
            <w:shd w:val="clear" w:color="auto" w:fill="DEDEDE"/>
          </w:tcPr>
          <w:p>
            <w:pPr>
              <w:spacing w:after="0"/>
              <w:rPr>
                <w:sz w:val="15"/>
                <w:szCs w:val="15"/>
                <w:color w:val="auto"/>
              </w:rPr>
            </w:pPr>
          </w:p>
        </w:tc>
        <w:tc>
          <w:tcPr>
            <w:tcW w:w="1360" w:type="dxa"/>
            <w:vAlign w:val="bottom"/>
            <w:shd w:val="clear" w:color="auto" w:fill="DEDEDE"/>
          </w:tcPr>
          <w:p>
            <w:pPr>
              <w:spacing w:after="0"/>
              <w:rPr>
                <w:sz w:val="15"/>
                <w:szCs w:val="15"/>
                <w:color w:val="auto"/>
              </w:rPr>
            </w:pPr>
          </w:p>
        </w:tc>
        <w:tc>
          <w:tcPr>
            <w:tcW w:w="180" w:type="dxa"/>
            <w:vAlign w:val="bottom"/>
            <w:shd w:val="clear" w:color="auto" w:fill="DEDEDE"/>
          </w:tcPr>
          <w:p>
            <w:pPr>
              <w:spacing w:after="0"/>
              <w:rPr>
                <w:sz w:val="15"/>
                <w:szCs w:val="15"/>
                <w:color w:val="auto"/>
              </w:rPr>
            </w:pPr>
          </w:p>
        </w:tc>
        <w:tc>
          <w:tcPr>
            <w:tcW w:w="120" w:type="dxa"/>
            <w:vAlign w:val="bottom"/>
            <w:shd w:val="clear" w:color="auto" w:fill="DEDEDE"/>
          </w:tcPr>
          <w:p>
            <w:pPr>
              <w:spacing w:after="0"/>
              <w:rPr>
                <w:sz w:val="15"/>
                <w:szCs w:val="15"/>
                <w:color w:val="auto"/>
              </w:rPr>
            </w:pPr>
          </w:p>
        </w:tc>
        <w:tc>
          <w:tcPr>
            <w:tcW w:w="500" w:type="dxa"/>
            <w:vAlign w:val="bottom"/>
            <w:shd w:val="clear" w:color="auto" w:fill="DEDEDE"/>
          </w:tcPr>
          <w:p>
            <w:pPr>
              <w:spacing w:after="0"/>
              <w:rPr>
                <w:sz w:val="15"/>
                <w:szCs w:val="15"/>
                <w:color w:val="auto"/>
              </w:rPr>
            </w:pPr>
          </w:p>
        </w:tc>
        <w:tc>
          <w:tcPr>
            <w:tcW w:w="1200" w:type="dxa"/>
            <w:vAlign w:val="bottom"/>
            <w:shd w:val="clear" w:color="auto" w:fill="DEDEDE"/>
          </w:tcPr>
          <w:p>
            <w:pPr>
              <w:spacing w:after="0"/>
              <w:rPr>
                <w:sz w:val="15"/>
                <w:szCs w:val="15"/>
                <w:color w:val="auto"/>
              </w:rPr>
            </w:pPr>
          </w:p>
        </w:tc>
        <w:tc>
          <w:tcPr>
            <w:tcW w:w="100" w:type="dxa"/>
            <w:vAlign w:val="bottom"/>
            <w:shd w:val="clear" w:color="auto" w:fill="DEDED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and interest, collateralized by real property with a book value of approximately</w:t>
            </w:r>
          </w:p>
        </w:tc>
        <w:tc>
          <w:tcPr>
            <w:tcW w:w="140" w:type="dxa"/>
            <w:vAlign w:val="bottom"/>
            <w:shd w:val="clear" w:color="auto" w:fill="DEDEDE"/>
          </w:tcPr>
          <w:p>
            <w:pPr>
              <w:spacing w:after="0"/>
              <w:rPr>
                <w:sz w:val="18"/>
                <w:szCs w:val="18"/>
                <w:color w:val="auto"/>
              </w:rPr>
            </w:pPr>
          </w:p>
        </w:tc>
        <w:tc>
          <w:tcPr>
            <w:tcW w:w="380" w:type="dxa"/>
            <w:vAlign w:val="bottom"/>
            <w:shd w:val="clear" w:color="auto" w:fill="DEDEDE"/>
          </w:tcPr>
          <w:p>
            <w:pPr>
              <w:spacing w:after="0"/>
              <w:rPr>
                <w:sz w:val="18"/>
                <w:szCs w:val="18"/>
                <w:color w:val="auto"/>
              </w:rPr>
            </w:pPr>
          </w:p>
        </w:tc>
        <w:tc>
          <w:tcPr>
            <w:tcW w:w="13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50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$57,645,000, due June 2032.</w:t>
            </w:r>
          </w:p>
        </w:tc>
        <w:tc>
          <w:tcPr>
            <w:tcW w:w="520" w:type="dxa"/>
            <w:vAlign w:val="bottom"/>
            <w:gridSpan w:val="2"/>
            <w:shd w:val="clear" w:color="auto" w:fill="DEDEDE"/>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48,169,363</w:t>
            </w:r>
          </w:p>
        </w:tc>
        <w:tc>
          <w:tcPr>
            <w:tcW w:w="620" w:type="dxa"/>
            <w:vAlign w:val="bottom"/>
            <w:gridSpan w:val="2"/>
            <w:shd w:val="clear" w:color="auto" w:fill="DEDEDE"/>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49,174,545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3"/>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3.30% fixed note payable in monthly installments of $179,562 including principal</w:t>
            </w:r>
          </w:p>
        </w:tc>
        <w:tc>
          <w:tcPr>
            <w:tcW w:w="14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13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50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10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and interest, collateralized by real property with a book value of approximately</w:t>
            </w:r>
          </w:p>
        </w:tc>
        <w:tc>
          <w:tcPr>
            <w:tcW w:w="140" w:type="dxa"/>
            <w:vAlign w:val="bottom"/>
            <w:shd w:val="clear" w:color="auto" w:fill="DEDEDE"/>
          </w:tcPr>
          <w:p>
            <w:pPr>
              <w:spacing w:after="0"/>
              <w:rPr>
                <w:sz w:val="18"/>
                <w:szCs w:val="18"/>
                <w:color w:val="auto"/>
              </w:rPr>
            </w:pPr>
          </w:p>
        </w:tc>
        <w:tc>
          <w:tcPr>
            <w:tcW w:w="380" w:type="dxa"/>
            <w:vAlign w:val="bottom"/>
            <w:shd w:val="clear" w:color="auto" w:fill="DEDEDE"/>
          </w:tcPr>
          <w:p>
            <w:pPr>
              <w:spacing w:after="0"/>
              <w:rPr>
                <w:sz w:val="18"/>
                <w:szCs w:val="18"/>
                <w:color w:val="auto"/>
              </w:rPr>
            </w:pPr>
          </w:p>
        </w:tc>
        <w:tc>
          <w:tcPr>
            <w:tcW w:w="13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50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$41,152,000, due April 2031.</w:t>
            </w:r>
          </w:p>
        </w:tc>
        <w:tc>
          <w:tcPr>
            <w:tcW w:w="140" w:type="dxa"/>
            <w:vAlign w:val="bottom"/>
            <w:shd w:val="clear" w:color="auto" w:fill="DEDEDE"/>
          </w:tcPr>
          <w:p>
            <w:pPr>
              <w:spacing w:after="0"/>
              <w:rPr>
                <w:sz w:val="20"/>
                <w:szCs w:val="20"/>
                <w:color w:val="auto"/>
              </w:rPr>
            </w:pPr>
          </w:p>
        </w:tc>
        <w:tc>
          <w:tcPr>
            <w:tcW w:w="380" w:type="dxa"/>
            <w:vAlign w:val="bottom"/>
            <w:shd w:val="clear" w:color="auto" w:fill="DEDEDE"/>
          </w:tcPr>
          <w:p>
            <w:pPr>
              <w:spacing w:after="0"/>
              <w:rPr>
                <w:sz w:val="20"/>
                <w:szCs w:val="20"/>
                <w:color w:val="auto"/>
              </w:rPr>
            </w:pPr>
          </w:p>
        </w:tc>
        <w:tc>
          <w:tcPr>
            <w:tcW w:w="154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36,751,084</w:t>
            </w:r>
          </w:p>
        </w:tc>
        <w:tc>
          <w:tcPr>
            <w:tcW w:w="120" w:type="dxa"/>
            <w:vAlign w:val="bottom"/>
            <w:shd w:val="clear" w:color="auto" w:fill="DEDEDE"/>
          </w:tcPr>
          <w:p>
            <w:pPr>
              <w:spacing w:after="0"/>
              <w:rPr>
                <w:sz w:val="20"/>
                <w:szCs w:val="20"/>
                <w:color w:val="auto"/>
              </w:rPr>
            </w:pPr>
          </w:p>
        </w:tc>
        <w:tc>
          <w:tcPr>
            <w:tcW w:w="500" w:type="dxa"/>
            <w:vAlign w:val="bottom"/>
            <w:shd w:val="clear" w:color="auto" w:fill="DEDEDE"/>
          </w:tcPr>
          <w:p>
            <w:pPr>
              <w:spacing w:after="0"/>
              <w:rPr>
                <w:sz w:val="20"/>
                <w:szCs w:val="20"/>
                <w:color w:val="auto"/>
              </w:rPr>
            </w:pPr>
          </w:p>
        </w:tc>
        <w:tc>
          <w:tcPr>
            <w:tcW w:w="130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37,632,943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3"/>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4.7865% fixed interest only note payable in monthly installments, collateralized by</w:t>
            </w:r>
          </w:p>
        </w:tc>
        <w:tc>
          <w:tcPr>
            <w:tcW w:w="14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13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50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10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real property with a book value of approximately $15,886,000, due June 2028.</w:t>
            </w:r>
          </w:p>
        </w:tc>
        <w:tc>
          <w:tcPr>
            <w:tcW w:w="140" w:type="dxa"/>
            <w:vAlign w:val="bottom"/>
            <w:shd w:val="clear" w:color="auto" w:fill="DEDEDE"/>
          </w:tcPr>
          <w:p>
            <w:pPr>
              <w:spacing w:after="0"/>
              <w:rPr>
                <w:sz w:val="20"/>
                <w:szCs w:val="20"/>
                <w:color w:val="auto"/>
              </w:rPr>
            </w:pPr>
          </w:p>
        </w:tc>
        <w:tc>
          <w:tcPr>
            <w:tcW w:w="380" w:type="dxa"/>
            <w:vAlign w:val="bottom"/>
            <w:shd w:val="clear" w:color="auto" w:fill="DEDEDE"/>
          </w:tcPr>
          <w:p>
            <w:pPr>
              <w:spacing w:after="0"/>
              <w:rPr>
                <w:sz w:val="20"/>
                <w:szCs w:val="20"/>
                <w:color w:val="auto"/>
              </w:rPr>
            </w:pPr>
          </w:p>
        </w:tc>
        <w:tc>
          <w:tcPr>
            <w:tcW w:w="13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9,200,000</w:t>
            </w:r>
          </w:p>
        </w:tc>
        <w:tc>
          <w:tcPr>
            <w:tcW w:w="18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500" w:type="dxa"/>
            <w:vAlign w:val="bottom"/>
            <w:shd w:val="clear" w:color="auto" w:fill="DEDEDE"/>
          </w:tcPr>
          <w:p>
            <w:pPr>
              <w:spacing w:after="0"/>
              <w:rPr>
                <w:sz w:val="20"/>
                <w:szCs w:val="20"/>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9,200,000</w:t>
            </w:r>
          </w:p>
        </w:tc>
        <w:tc>
          <w:tcPr>
            <w:tcW w:w="10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gridSpan w:val="3"/>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1 month SOFR rate plus 2.0% loan purchase agreement with a warehouse line</w:t>
            </w:r>
          </w:p>
        </w:tc>
        <w:tc>
          <w:tcPr>
            <w:tcW w:w="14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13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50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10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availability of $25,000,000, matures August 2026.</w:t>
            </w:r>
          </w:p>
        </w:tc>
        <w:tc>
          <w:tcPr>
            <w:tcW w:w="140" w:type="dxa"/>
            <w:vAlign w:val="bottom"/>
            <w:shd w:val="clear" w:color="auto" w:fill="DEDEDE"/>
          </w:tcPr>
          <w:p>
            <w:pPr>
              <w:spacing w:after="0"/>
              <w:rPr>
                <w:sz w:val="20"/>
                <w:szCs w:val="20"/>
                <w:color w:val="auto"/>
              </w:rPr>
            </w:pPr>
          </w:p>
        </w:tc>
        <w:tc>
          <w:tcPr>
            <w:tcW w:w="380" w:type="dxa"/>
            <w:vAlign w:val="bottom"/>
            <w:shd w:val="clear" w:color="auto" w:fill="DEDEDE"/>
          </w:tcPr>
          <w:p>
            <w:pPr>
              <w:spacing w:after="0"/>
              <w:rPr>
                <w:sz w:val="20"/>
                <w:szCs w:val="20"/>
                <w:color w:val="auto"/>
              </w:rPr>
            </w:pPr>
          </w:p>
        </w:tc>
        <w:tc>
          <w:tcPr>
            <w:tcW w:w="13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817,536</w:t>
            </w:r>
          </w:p>
        </w:tc>
        <w:tc>
          <w:tcPr>
            <w:tcW w:w="18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500" w:type="dxa"/>
            <w:vAlign w:val="bottom"/>
            <w:shd w:val="clear" w:color="auto" w:fill="DEDEDE"/>
          </w:tcPr>
          <w:p>
            <w:pPr>
              <w:spacing w:after="0"/>
              <w:rPr>
                <w:sz w:val="20"/>
                <w:szCs w:val="20"/>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2,668,519</w:t>
            </w:r>
          </w:p>
        </w:tc>
        <w:tc>
          <w:tcPr>
            <w:tcW w:w="10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gridSpan w:val="2"/>
          </w:tcPr>
          <w:p>
            <w:pPr>
              <w:spacing w:after="0"/>
              <w:rPr>
                <w:sz w:val="18"/>
                <w:szCs w:val="18"/>
                <w:color w:val="auto"/>
              </w:rPr>
            </w:pP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00" w:type="dxa"/>
            <w:vAlign w:val="bottom"/>
            <w:gridSpan w:val="3"/>
            <w:shd w:val="clear" w:color="auto" w:fill="DEDEDE"/>
          </w:tcPr>
          <w:p>
            <w:pPr>
              <w:spacing w:after="0" w:line="195" w:lineRule="exact"/>
              <w:rPr>
                <w:sz w:val="20"/>
                <w:szCs w:val="20"/>
                <w:color w:val="auto"/>
              </w:rPr>
            </w:pPr>
            <w:r>
              <w:rPr>
                <w:rFonts w:ascii="Times New Roman" w:cs="Times New Roman" w:eastAsia="Times New Roman" w:hAnsi="Times New Roman"/>
                <w:sz w:val="18"/>
                <w:szCs w:val="18"/>
                <w:color w:val="auto"/>
              </w:rPr>
              <w:t>1 month SOFR rate plus 2.1% loan purchase agreement with a warehouse line</w:t>
            </w:r>
          </w:p>
        </w:tc>
        <w:tc>
          <w:tcPr>
            <w:tcW w:w="14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13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50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10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availability of $15,000,000, matures July 2026.</w:t>
            </w:r>
          </w:p>
        </w:tc>
        <w:tc>
          <w:tcPr>
            <w:tcW w:w="140" w:type="dxa"/>
            <w:vAlign w:val="bottom"/>
            <w:shd w:val="clear" w:color="auto" w:fill="DEDEDE"/>
          </w:tcPr>
          <w:p>
            <w:pPr>
              <w:spacing w:after="0"/>
              <w:rPr>
                <w:sz w:val="20"/>
                <w:szCs w:val="20"/>
                <w:color w:val="auto"/>
              </w:rPr>
            </w:pPr>
          </w:p>
        </w:tc>
        <w:tc>
          <w:tcPr>
            <w:tcW w:w="380" w:type="dxa"/>
            <w:vAlign w:val="bottom"/>
            <w:shd w:val="clear" w:color="auto" w:fill="DEDEDE"/>
          </w:tcPr>
          <w:p>
            <w:pPr>
              <w:spacing w:after="0"/>
              <w:rPr>
                <w:sz w:val="20"/>
                <w:szCs w:val="20"/>
                <w:color w:val="auto"/>
              </w:rPr>
            </w:pPr>
          </w:p>
        </w:tc>
        <w:tc>
          <w:tcPr>
            <w:tcW w:w="13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696,692</w:t>
            </w:r>
          </w:p>
        </w:tc>
        <w:tc>
          <w:tcPr>
            <w:tcW w:w="18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500" w:type="dxa"/>
            <w:vAlign w:val="bottom"/>
            <w:shd w:val="clear" w:color="auto" w:fill="DEDEDE"/>
          </w:tcPr>
          <w:p>
            <w:pPr>
              <w:spacing w:after="0"/>
              <w:rPr>
                <w:sz w:val="20"/>
                <w:szCs w:val="20"/>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7,918,930</w:t>
            </w:r>
          </w:p>
        </w:tc>
        <w:tc>
          <w:tcPr>
            <w:tcW w:w="10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gridSpan w:val="2"/>
          </w:tcPr>
          <w:p>
            <w:pPr>
              <w:spacing w:after="0"/>
              <w:rPr>
                <w:sz w:val="18"/>
                <w:szCs w:val="18"/>
                <w:color w:val="auto"/>
              </w:rPr>
            </w:pP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100" w:type="dxa"/>
            <w:vAlign w:val="bottom"/>
            <w:gridSpan w:val="3"/>
            <w:shd w:val="clear" w:color="auto" w:fill="DEDEDE"/>
          </w:tcPr>
          <w:p>
            <w:pPr>
              <w:spacing w:after="0" w:line="195" w:lineRule="exact"/>
              <w:rPr>
                <w:sz w:val="20"/>
                <w:szCs w:val="20"/>
                <w:color w:val="auto"/>
              </w:rPr>
            </w:pPr>
            <w:r>
              <w:rPr>
                <w:rFonts w:ascii="Times New Roman" w:cs="Times New Roman" w:eastAsia="Times New Roman" w:hAnsi="Times New Roman"/>
                <w:sz w:val="18"/>
                <w:szCs w:val="18"/>
                <w:color w:val="auto"/>
              </w:rPr>
              <w:t>1 month SOFR rate plus 1.95% loan purchase agreement with a warehouse line</w:t>
            </w:r>
          </w:p>
        </w:tc>
        <w:tc>
          <w:tcPr>
            <w:tcW w:w="140" w:type="dxa"/>
            <w:vAlign w:val="bottom"/>
            <w:shd w:val="clear" w:color="auto" w:fill="DEDEDE"/>
          </w:tcPr>
          <w:p>
            <w:pPr>
              <w:spacing w:after="0"/>
              <w:rPr>
                <w:sz w:val="17"/>
                <w:szCs w:val="17"/>
                <w:color w:val="auto"/>
              </w:rPr>
            </w:pPr>
          </w:p>
        </w:tc>
        <w:tc>
          <w:tcPr>
            <w:tcW w:w="380" w:type="dxa"/>
            <w:vAlign w:val="bottom"/>
            <w:shd w:val="clear" w:color="auto" w:fill="DEDEDE"/>
          </w:tcPr>
          <w:p>
            <w:pPr>
              <w:spacing w:after="0"/>
              <w:rPr>
                <w:sz w:val="17"/>
                <w:szCs w:val="17"/>
                <w:color w:val="auto"/>
              </w:rPr>
            </w:pPr>
          </w:p>
        </w:tc>
        <w:tc>
          <w:tcPr>
            <w:tcW w:w="13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50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10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1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availability of $35,000,000, matures August 2026.</w:t>
            </w:r>
          </w:p>
        </w:tc>
        <w:tc>
          <w:tcPr>
            <w:tcW w:w="140" w:type="dxa"/>
            <w:vAlign w:val="bottom"/>
            <w:shd w:val="clear" w:color="auto" w:fill="DEDEDE"/>
          </w:tcPr>
          <w:p>
            <w:pPr>
              <w:spacing w:after="0"/>
              <w:rPr>
                <w:sz w:val="20"/>
                <w:szCs w:val="20"/>
                <w:color w:val="auto"/>
              </w:rPr>
            </w:pPr>
          </w:p>
        </w:tc>
        <w:tc>
          <w:tcPr>
            <w:tcW w:w="380" w:type="dxa"/>
            <w:vAlign w:val="bottom"/>
            <w:shd w:val="clear" w:color="auto" w:fill="DEDEDE"/>
          </w:tcPr>
          <w:p>
            <w:pPr>
              <w:spacing w:after="0"/>
              <w:rPr>
                <w:sz w:val="20"/>
                <w:szCs w:val="20"/>
                <w:color w:val="auto"/>
              </w:rPr>
            </w:pPr>
          </w:p>
        </w:tc>
        <w:tc>
          <w:tcPr>
            <w:tcW w:w="13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2,659,221</w:t>
            </w:r>
          </w:p>
        </w:tc>
        <w:tc>
          <w:tcPr>
            <w:tcW w:w="18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500" w:type="dxa"/>
            <w:vAlign w:val="bottom"/>
            <w:shd w:val="clear" w:color="auto" w:fill="DEDEDE"/>
          </w:tcPr>
          <w:p>
            <w:pPr>
              <w:spacing w:after="0"/>
              <w:rPr>
                <w:sz w:val="20"/>
                <w:szCs w:val="20"/>
                <w:color w:val="auto"/>
              </w:rPr>
            </w:pPr>
          </w:p>
        </w:tc>
        <w:tc>
          <w:tcPr>
            <w:tcW w:w="130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gridSpan w:val="2"/>
          </w:tcPr>
          <w:p>
            <w:pPr>
              <w:spacing w:after="0"/>
              <w:rPr>
                <w:sz w:val="18"/>
                <w:szCs w:val="18"/>
                <w:color w:val="auto"/>
              </w:rPr>
            </w:pP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shd w:val="clear" w:color="auto" w:fill="DEDEDE"/>
          </w:tcPr>
          <w:p>
            <w:pPr>
              <w:spacing w:after="0"/>
              <w:rPr>
                <w:sz w:val="19"/>
                <w:szCs w:val="19"/>
                <w:color w:val="auto"/>
              </w:rPr>
            </w:pPr>
          </w:p>
        </w:tc>
        <w:tc>
          <w:tcPr>
            <w:tcW w:w="380" w:type="dxa"/>
            <w:vAlign w:val="bottom"/>
            <w:tcBorders>
              <w:bottom w:val="single" w:sz="8" w:color="auto"/>
            </w:tcBorders>
            <w:shd w:val="clear" w:color="auto" w:fill="DEDEDE"/>
          </w:tcPr>
          <w:p>
            <w:pPr>
              <w:spacing w:after="0"/>
              <w:rPr>
                <w:sz w:val="19"/>
                <w:szCs w:val="19"/>
                <w:color w:val="auto"/>
              </w:rPr>
            </w:pPr>
          </w:p>
        </w:tc>
        <w:tc>
          <w:tcPr>
            <w:tcW w:w="13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94,023</w:t>
            </w:r>
          </w:p>
        </w:tc>
        <w:tc>
          <w:tcPr>
            <w:tcW w:w="18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50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145,167</w:t>
            </w:r>
          </w:p>
        </w:tc>
        <w:tc>
          <w:tcPr>
            <w:tcW w:w="10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bank and other loans</w:t>
            </w:r>
          </w:p>
        </w:tc>
        <w:tc>
          <w:tcPr>
            <w:tcW w:w="140" w:type="dxa"/>
            <w:vAlign w:val="bottom"/>
            <w:shd w:val="clear" w:color="auto" w:fill="DEDEDE"/>
          </w:tcPr>
          <w:p>
            <w:pPr>
              <w:spacing w:after="0"/>
              <w:rPr>
                <w:sz w:val="18"/>
                <w:szCs w:val="18"/>
                <w:color w:val="auto"/>
              </w:rPr>
            </w:pPr>
          </w:p>
        </w:tc>
        <w:tc>
          <w:tcPr>
            <w:tcW w:w="380" w:type="dxa"/>
            <w:vAlign w:val="bottom"/>
            <w:shd w:val="clear" w:color="auto" w:fill="DEDEDE"/>
          </w:tcPr>
          <w:p>
            <w:pPr>
              <w:spacing w:after="0"/>
              <w:rPr>
                <w:sz w:val="18"/>
                <w:szCs w:val="18"/>
                <w:color w:val="auto"/>
              </w:rPr>
            </w:pPr>
          </w:p>
        </w:tc>
        <w:tc>
          <w:tcPr>
            <w:tcW w:w="13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98,387,919</w:t>
            </w:r>
          </w:p>
        </w:tc>
        <w:tc>
          <w:tcPr>
            <w:tcW w:w="1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50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106,740,104</w:t>
            </w:r>
          </w:p>
        </w:tc>
        <w:tc>
          <w:tcPr>
            <w:tcW w:w="10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gridSpan w:val="2"/>
          </w:tcPr>
          <w:p>
            <w:pPr>
              <w:spacing w:after="0"/>
              <w:rPr>
                <w:sz w:val="18"/>
                <w:szCs w:val="18"/>
                <w:color w:val="auto"/>
              </w:rPr>
            </w:pPr>
          </w:p>
        </w:tc>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610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Less current installments</w:t>
            </w:r>
          </w:p>
        </w:tc>
        <w:tc>
          <w:tcPr>
            <w:tcW w:w="140" w:type="dxa"/>
            <w:vAlign w:val="bottom"/>
            <w:shd w:val="clear" w:color="auto" w:fill="DEDEDE"/>
          </w:tcPr>
          <w:p>
            <w:pPr>
              <w:spacing w:after="0"/>
              <w:rPr>
                <w:sz w:val="19"/>
                <w:szCs w:val="19"/>
                <w:color w:val="auto"/>
              </w:rPr>
            </w:pPr>
          </w:p>
        </w:tc>
        <w:tc>
          <w:tcPr>
            <w:tcW w:w="380" w:type="dxa"/>
            <w:vAlign w:val="bottom"/>
            <w:shd w:val="clear" w:color="auto" w:fill="DEDEDE"/>
          </w:tcPr>
          <w:p>
            <w:pPr>
              <w:spacing w:after="0"/>
              <w:rPr>
                <w:sz w:val="19"/>
                <w:szCs w:val="19"/>
                <w:color w:val="auto"/>
              </w:rPr>
            </w:pPr>
          </w:p>
        </w:tc>
        <w:tc>
          <w:tcPr>
            <w:tcW w:w="154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(6,195,297)</w:t>
            </w:r>
          </w:p>
        </w:tc>
        <w:tc>
          <w:tcPr>
            <w:tcW w:w="120" w:type="dxa"/>
            <w:vAlign w:val="bottom"/>
            <w:shd w:val="clear" w:color="auto" w:fill="DEDEDE"/>
          </w:tcPr>
          <w:p>
            <w:pPr>
              <w:spacing w:after="0"/>
              <w:rPr>
                <w:sz w:val="19"/>
                <w:szCs w:val="19"/>
                <w:color w:val="auto"/>
              </w:rPr>
            </w:pPr>
          </w:p>
        </w:tc>
        <w:tc>
          <w:tcPr>
            <w:tcW w:w="500" w:type="dxa"/>
            <w:vAlign w:val="bottom"/>
            <w:shd w:val="clear" w:color="auto" w:fill="DEDEDE"/>
          </w:tcPr>
          <w:p>
            <w:pPr>
              <w:spacing w:after="0"/>
              <w:rPr>
                <w:sz w:val="19"/>
                <w:szCs w:val="19"/>
                <w:color w:val="auto"/>
              </w:rPr>
            </w:pPr>
          </w:p>
        </w:tc>
        <w:tc>
          <w:tcPr>
            <w:tcW w:w="1300" w:type="dxa"/>
            <w:vAlign w:val="bottom"/>
            <w:gridSpan w:val="2"/>
            <w:shd w:val="clear" w:color="auto" w:fill="DEDEDE"/>
          </w:tcPr>
          <w:p>
            <w:pPr>
              <w:jc w:val="right"/>
              <w:ind w:right="40"/>
              <w:spacing w:after="0"/>
              <w:rPr>
                <w:sz w:val="20"/>
                <w:szCs w:val="20"/>
                <w:color w:val="auto"/>
              </w:rPr>
            </w:pPr>
            <w:r>
              <w:rPr>
                <w:rFonts w:ascii="Times New Roman" w:cs="Times New Roman" w:eastAsia="Times New Roman" w:hAnsi="Times New Roman"/>
                <w:sz w:val="18"/>
                <w:szCs w:val="18"/>
                <w:color w:val="auto"/>
              </w:rPr>
              <w:t>(12,559,420)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and other loans, excluding current installments</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92,192,622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94,180,684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tabulation shows the combined maturities of bank and other loans payable: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
        </w:trPr>
        <w:tc>
          <w:tcPr>
            <w:tcW w:w="20" w:type="dxa"/>
            <w:vAlign w:val="bottom"/>
            <w:vMerge w:val="restart"/>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2026</w:t>
            </w:r>
          </w:p>
        </w:tc>
        <w:tc>
          <w:tcPr>
            <w:tcW w:w="1460" w:type="dxa"/>
            <w:vAlign w:val="bottom"/>
            <w:gridSpan w:val="2"/>
            <w:shd w:val="clear" w:color="auto" w:fill="DEDEDE"/>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6,195,297</w:t>
            </w:r>
          </w:p>
        </w:tc>
        <w:tc>
          <w:tcPr>
            <w:tcW w:w="6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2028</w:t>
            </w:r>
          </w:p>
        </w:tc>
        <w:tc>
          <w:tcPr>
            <w:tcW w:w="11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11,305,278</w:t>
            </w:r>
          </w:p>
        </w:tc>
        <w:tc>
          <w:tcPr>
            <w:tcW w:w="6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2,187,468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2030</w:t>
            </w:r>
          </w:p>
        </w:tc>
        <w:tc>
          <w:tcPr>
            <w:tcW w:w="11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2,263,879</w:t>
            </w:r>
          </w:p>
        </w:tc>
        <w:tc>
          <w:tcPr>
            <w:tcW w:w="6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86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2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74,400,916</w:t>
            </w:r>
          </w:p>
        </w:tc>
        <w:tc>
          <w:tcPr>
            <w:tcW w:w="6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6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DEDEDE"/>
            </w:tcBorders>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98,387,919</w:t>
            </w:r>
          </w:p>
        </w:tc>
        <w:tc>
          <w:tcPr>
            <w:tcW w:w="60" w:type="dxa"/>
            <w:vAlign w:val="bottom"/>
            <w:tcBorders>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in 2025 and 2024 was $4,518,965 and $4,254,100,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78</w:t>
      </w:r>
    </w:p>
    <w:p>
      <w:pPr>
        <w:sectPr>
          <w:pgSz w:w="12240" w:h="15840" w:orient="portrait"/>
          <w:cols w:equalWidth="0" w:num="1">
            <w:col w:w="10300"/>
          </w:cols>
          <w:pgMar w:left="500" w:top="687" w:right="1440" w:bottom="0" w:gutter="0" w:footer="0" w:header="0"/>
        </w:sectPr>
      </w:pPr>
    </w:p>
    <w:bookmarkStart w:id="106" w:name="page107"/>
    <w:bookmarkEnd w:id="106"/>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and Other Loans Payable</w:t>
      </w:r>
      <w:r>
        <w:rPr>
          <w:rFonts w:ascii="Times New Roman" w:cs="Times New Roman" w:eastAsia="Times New Roman" w:hAnsi="Times New Roman"/>
          <w:sz w:val="18"/>
          <w:szCs w:val="18"/>
          <w:color w:val="auto"/>
        </w:rPr>
        <w:t xml:space="preserve"> (Continued)</w:t>
      </w:r>
    </w:p>
    <w:p>
      <w:pPr>
        <w:spacing w:after="0" w:line="2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2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Federal Home Loan Bank Membership</w:t>
      </w:r>
    </w:p>
    <w:p>
      <w:pPr>
        <w:spacing w:after="0" w:line="225"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The Federal Home Loan Banks (“the FHLBs”) are a group of cooperatives that lending institutions use to finance housing and economic development in local communities. The Company is a member of the FHLB based in Des Moines, Iowa and based in Dallas, Texas. As a member of the FHLB, the Company is required to maintain a minimum investment in capital stock of the FHLB and may pledge collateral to the bank for advances of funds to be used in its operations.</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Federal Home Loan Bank of Des Moines</w:t>
      </w:r>
    </w:p>
    <w:p>
      <w:pPr>
        <w:spacing w:after="0" w:line="228"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As of December 31, 2025 and 2024, the amount available for borrowings from the FHLB of Des Moines was approximately $48,350,685 and $41,235,894, respectively. As of December 31, 2025 and 2024, United States Treasury fixed maturity securities with an estimated fair value of $55,751,822 and $54,487,812, respectively, have been pledged at the FHLB of Des Moines as collateral for current and potential borrowing. As of December 31, 2025 and 2024, the Company had no outstanding FHLB borrowings. As of December 31, 2025 and 2024, the Company’s total investment in FHLB stock was $500,100 and $479,100, respectively. As of December 31, 2025, the Company was contingently liable under standby letters of credit aggregating $3,884,998. These letters of credit are to be used to cover any contingency related to additional risk assessments pertaining to the Company’s captive insurance program for $443,758 and for bonding of residential land development for $3,441,240.</w:t>
      </w:r>
    </w:p>
    <w:p>
      <w:pPr>
        <w:spacing w:after="0" w:line="1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Federal Home Loan Bank of Dallas</w:t>
      </w:r>
    </w:p>
    <w:p>
      <w:pPr>
        <w:spacing w:after="0" w:line="228"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amount available for borrowings from the FHLB of Dallas was approximately $6,087,398 and $8,342,442, respectively. As of December 31, 2025 and 2024, Mortgage-Backed fixed maturity securities with an estimated fair value of $6,784,513 and $9,312,642, respectively have been pledged at the FHLB of Dallas as collateral for current and potential borrowings, respectively. As of December 31, 2025 and 2024, the Company had no outstanding FHLB borrowings. As of December 31, 2025, the Company’s total investment in FHLB stock was $146,400 compared with $1,925,800 as of December 31, 2024.</w:t>
      </w:r>
    </w:p>
    <w:p>
      <w:pPr>
        <w:spacing w:after="0" w:line="1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Revolving Lines of Credit</w:t>
      </w:r>
    </w:p>
    <w:p>
      <w:pPr>
        <w:spacing w:after="0" w:line="225"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The Company has a $5,000,000 revolving line-of-credit with a bank with interest payable at a variable rate based on the adjusted daily SOFR plus a margin of 2.25%, secured by the capital stock of Security National Life and maturing June 1, 2026, renewable annually. As of December 31, 2025, the Company was contingently liable under standby letter of credit aggregating $1,250,000, which is used as collateral for SecurityNational Mortgage’s state licensing requirements. The standby letter of credit will draw on the line of credit if necessary. The Company does not expect any material losses to result from the issuance of the standby letter of credit. As of December 31, 2025 there were no amounts outstanding under the revolving line-of-credit.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79</w:t>
      </w:r>
    </w:p>
    <w:p>
      <w:pPr>
        <w:sectPr>
          <w:pgSz w:w="12240" w:h="15840" w:orient="portrait"/>
          <w:cols w:equalWidth="0" w:num="1">
            <w:col w:w="11242"/>
          </w:cols>
          <w:pgMar w:left="498" w:top="687" w:right="500" w:bottom="0" w:gutter="0" w:footer="0" w:header="0"/>
        </w:sectPr>
      </w:pPr>
    </w:p>
    <w:bookmarkStart w:id="107" w:name="page108"/>
    <w:bookmarkEnd w:id="107"/>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2" w:right="7120" w:hanging="2"/>
        <w:spacing w:after="0" w:line="530" w:lineRule="auto"/>
        <w:tabs>
          <w:tab w:leader="none" w:pos="65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Bank and Other Loans Payable</w:t>
      </w:r>
      <w:r>
        <w:rPr>
          <w:rFonts w:ascii="Times New Roman" w:cs="Times New Roman" w:eastAsia="Times New Roman" w:hAnsi="Times New Roman"/>
          <w:sz w:val="17"/>
          <w:szCs w:val="17"/>
          <w:color w:val="auto"/>
        </w:rPr>
        <w:t xml:space="preserve"> (Continued) </w:t>
      </w:r>
      <w:r>
        <w:rPr>
          <w:rFonts w:ascii="Times New Roman" w:cs="Times New Roman" w:eastAsia="Times New Roman" w:hAnsi="Times New Roman"/>
          <w:sz w:val="17"/>
          <w:szCs w:val="17"/>
          <w:u w:val="single" w:color="auto"/>
          <w:color w:val="auto"/>
        </w:rPr>
        <w:t>Debt Covenants for Mortgage Warehouse Lines of Credit</w:t>
      </w:r>
    </w:p>
    <w:p>
      <w:pPr>
        <w:spacing w:after="0" w:line="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through its subsidiary SecurityNational Mortgage, has three lines of credit for the purpose of funding mortgage loans-one through U.S.</w:t>
      </w:r>
    </w:p>
    <w:p>
      <w:pPr>
        <w:spacing w:after="0" w:line="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Bank, a second through Western Alliance Bank and a third through JPMorgan Chase Bank.</w:t>
      </w:r>
    </w:p>
    <w:p>
      <w:pPr>
        <w:spacing w:after="0" w:line="225"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The U.S. Bank warehouse line of credit agreement allows SecurityNational Mortgage to borrow up to $15,000,000. The relevant agreement contemplates interest at 2.10% plus the greater of (i) 0%, and (ii) the one-month forward-looking term rate based on SOFR on drawn amounts and matures on July 17, 2026. The Company is required to comply with covenants for adjusted tangible net worth, unrestricted cash balance, and a minimum net income of $1 for the quarter.</w:t>
      </w:r>
    </w:p>
    <w:p>
      <w:pPr>
        <w:spacing w:after="0" w:line="179"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Western Alliance Bank warehouse line of credit agreement allows SecurityNational Mortgage to borrow up to $25,000,000. The relevant agreement contemplates interest at the 1-Month SOFR rate plus 2.0% on drawn amounts and matures on August 15, 2026. The Company is required to comply with covenants for adjusted tangible net worth, unrestricted cash balance, and a minimum pre-tax income of $1 for the year.</w:t>
      </w:r>
    </w:p>
    <w:p>
      <w:pPr>
        <w:spacing w:after="0" w:line="176"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JPMorgan Chase Bank warehouse line of credit agreement allows SecurityNational Mortgage to borrow up to $35,000,000. The relevant agreement contemplates interest at the 1-Month SOFR rate plus 1.95% on drawn amounts and matures on August 15, 2026. The Company is required to comply with covenants for adjusted tangible net worth, unrestricted cash balance, and a minimum pre-tax income of $1 for the year.</w:t>
      </w:r>
    </w:p>
    <w:p>
      <w:pPr>
        <w:spacing w:after="0" w:line="176"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The agreements for US Bank and JP Morgan Chase Bank warehouse lines of credit include a cross-default provision where certain events of default under other of SecurityNational Mortgage’s obligations constitute events of default under the warehouse lines of credit. As of December 31, 2025, SecurityNational Mortgage was not in compliance with the net income covenant of the US Bank, Western Alliance Bank and JP Morgan Chase Bank warehouse lines of credit. SecurityNational Mortgage has since received waivers from each of these lenders with respect to this covenant. In the unlikely event the Company is required to repay the outstanding advances of approximately $4,173,449 on the warehouse lines of credit, the Company has sufficient cash to do so. The Company has also performed an analysis of its funding capacities of both internal and external sources and has determined that there are sufficient funds to continue its current business model. The Company continues to negotiate other warehouse lines of credit with other lenders.</w:t>
      </w:r>
    </w:p>
    <w:p>
      <w:pPr>
        <w:spacing w:after="0" w:line="19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Debt Covenants for Revolving Lines of Credit and Bank Loans</w:t>
      </w:r>
    </w:p>
    <w:p>
      <w:pPr>
        <w:spacing w:after="0" w:line="225"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The Company’s revolving line of credit agreements contain debt covenants requiring the Company to maintain minimum operating cash flow ratios and minimum net worth requirements for each of its business segments. The Company is also subject to debt covenants under one of its real estate loans which require maintenance of a minimum consolidated operating cash flow ratio, minimum liquidity amounts, and minimum consolidated net worth value. In addition to these financial debt covenants, the Company is required to provide segment specific financial statements and building specific financial statements under the agreements for each of its bank loans. As of December 31, 2025, the Company was in compliance with all these debt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80</w:t>
      </w:r>
    </w:p>
    <w:p>
      <w:pPr>
        <w:sectPr>
          <w:pgSz w:w="12240" w:h="15840" w:orient="portrait"/>
          <w:cols w:equalWidth="0" w:num="1">
            <w:col w:w="11242"/>
          </w:cols>
          <w:pgMar w:left="498" w:top="687" w:right="500" w:bottom="0" w:gutter="0" w:footer="0" w:header="0"/>
        </w:sectPr>
      </w:pPr>
    </w:p>
    <w:bookmarkStart w:id="108" w:name="page109"/>
    <w:bookmarkEnd w:id="108"/>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ind w:left="2"/>
        <w:spacing w:after="0" w:line="255" w:lineRule="auto"/>
        <w:rPr>
          <w:sz w:val="20"/>
          <w:szCs w:val="20"/>
          <w:color w:val="auto"/>
        </w:rPr>
      </w:pPr>
      <w:r>
        <w:rPr>
          <w:rFonts w:ascii="Times New Roman" w:cs="Times New Roman" w:eastAsia="Times New Roman" w:hAnsi="Times New Roman"/>
          <w:sz w:val="18"/>
          <w:szCs w:val="18"/>
          <w:color w:val="auto"/>
        </w:rPr>
        <w:t>A lease is defined as a contract, or part of a contract, that conveys the right to control the use of identified property, plant, or equipment (an identified asset) for a period in exchange for consideration. The Company determines if a contract is a lease at the inception of the contract. At the commencement date of a lease, the Company measures the lease liability at the present value of the lease payments over the lease term, discounted using the discount rate for the lease. The Company uses the rate implicit in the lease, if available, otherwise the Company uses its incremental borrowing rate. Also, at the commencement date of a lease, the Company measures the cost of the related right-of-use asset which consists of the amount of the initial measurement of the lease liability, any lease payments made to the lessor at or before the commencement date, minus any lease incentives received and any initial direct costs incurred by the Company.</w:t>
      </w:r>
    </w:p>
    <w:p>
      <w:pPr>
        <w:spacing w:after="0" w:line="1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Information about the Nature of Leases and Subleases</w:t>
      </w:r>
    </w:p>
    <w:p>
      <w:pPr>
        <w:spacing w:after="0" w:line="228" w:lineRule="exact"/>
        <w:rPr>
          <w:sz w:val="20"/>
          <w:szCs w:val="20"/>
          <w:color w:val="auto"/>
        </w:rPr>
      </w:pPr>
    </w:p>
    <w:p>
      <w:pPr>
        <w:jc w:val="both"/>
        <w:ind w:left="2" w:right="20"/>
        <w:spacing w:after="0" w:line="256" w:lineRule="auto"/>
        <w:rPr>
          <w:sz w:val="20"/>
          <w:szCs w:val="20"/>
          <w:color w:val="auto"/>
        </w:rPr>
      </w:pPr>
      <w:r>
        <w:rPr>
          <w:rFonts w:ascii="Times New Roman" w:cs="Times New Roman" w:eastAsia="Times New Roman" w:hAnsi="Times New Roman"/>
          <w:sz w:val="18"/>
          <w:szCs w:val="18"/>
          <w:color w:val="auto"/>
        </w:rPr>
        <w:t>The Company leases office space and equipment from third parties under various non-cancelable agreements. The Company has operating leases for office space for its segments in areas where it conducts business. The Company subleases some of this office space. The Company also has finance leases for certain equipment, such as copy machines and postage machines. The Company does not have any lease agreements with variable lease payments. The Company has not included any options to extend or terminate leases in the recognition of the right-of-use assets or lease liabilities because of the uncertainty that they will be exercised. No residual value guarantees have been provided to the Company. The Company does not have any restrictions or covenants imposed by leases.</w:t>
      </w:r>
    </w:p>
    <w:p>
      <w:pPr>
        <w:spacing w:after="0" w:line="18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Leases that have not Commenced</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does not have any leases that have not commenced that create significant rights or obligations for the Company.</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Related Party Lease Transactions</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does not have any related party lease transactions that require disclosure as of December 31, 2025.</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Short-term Leases</w:t>
      </w:r>
    </w:p>
    <w:p>
      <w:pPr>
        <w:spacing w:after="0" w:line="22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Company made an accounting policy election not to apply the recognition requirements of ASC 842 to short-term leases, which are leases that, at the commencement date, have a lease term of 12 months or less and do not include an option to purchase the underlying assets that the lessee is reasonably certain to exercise.</w:t>
      </w:r>
    </w:p>
    <w:p>
      <w:pPr>
        <w:spacing w:after="0" w:line="17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Significant Judgments and Assumptions</w:t>
      </w:r>
    </w:p>
    <w:p>
      <w:pPr>
        <w:spacing w:after="0" w:line="228"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Company does not use any significant judgments or assumptions regarding the determination of whether a contract contains a lease; the allocation of the consideration in a contract between lease and non-lease components; or the determination of the discount rates for the leases. The following table presents the Company’s total lease cost recognized in earnings, amounts capitalized as right-of-use assets and cash flows from lease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81</w:t>
      </w:r>
    </w:p>
    <w:p>
      <w:pPr>
        <w:sectPr>
          <w:pgSz w:w="12240" w:h="15840" w:orient="portrait"/>
          <w:cols w:equalWidth="0" w:num="1">
            <w:col w:w="11242"/>
          </w:cols>
          <w:pgMar w:left="498" w:top="687" w:right="500" w:bottom="0" w:gutter="0" w:footer="0" w:header="0"/>
        </w:sectPr>
      </w:pPr>
    </w:p>
    <w:bookmarkStart w:id="109" w:name="page110"/>
    <w:bookmarkEnd w:id="109"/>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13"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16)</w:t>
            </w: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Leases (Continued)</w:t>
            </w:r>
          </w:p>
        </w:tc>
        <w:tc>
          <w:tcPr>
            <w:tcW w:w="8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Years Ended December 31</w:t>
            </w: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Borders>
              <w:bottom w:val="single" w:sz="8" w:color="DEDEDE"/>
            </w:tcBorders>
          </w:tcPr>
          <w:p>
            <w:pPr>
              <w:spacing w:after="0"/>
              <w:rPr>
                <w:sz w:val="19"/>
                <w:szCs w:val="19"/>
                <w:color w:val="auto"/>
              </w:rPr>
            </w:pPr>
          </w:p>
        </w:tc>
        <w:tc>
          <w:tcPr>
            <w:tcW w:w="500" w:type="dxa"/>
            <w:vAlign w:val="bottom"/>
            <w:tcBorders>
              <w:bottom w:val="single" w:sz="8" w:color="DEDEDE"/>
            </w:tcBorders>
          </w:tcPr>
          <w:p>
            <w:pPr>
              <w:spacing w:after="0"/>
              <w:rPr>
                <w:sz w:val="19"/>
                <w:szCs w:val="19"/>
                <w:color w:val="auto"/>
              </w:rPr>
            </w:pPr>
          </w:p>
        </w:tc>
        <w:tc>
          <w:tcPr>
            <w:tcW w:w="4860" w:type="dxa"/>
            <w:vAlign w:val="bottom"/>
            <w:tcBorders>
              <w:bottom w:val="single" w:sz="8" w:color="DEDEDE"/>
            </w:tcBorders>
          </w:tcPr>
          <w:p>
            <w:pPr>
              <w:spacing w:after="0"/>
              <w:rPr>
                <w:sz w:val="19"/>
                <w:szCs w:val="19"/>
                <w:color w:val="auto"/>
              </w:rPr>
            </w:pPr>
          </w:p>
        </w:tc>
        <w:tc>
          <w:tcPr>
            <w:tcW w:w="880" w:type="dxa"/>
            <w:vAlign w:val="bottom"/>
            <w:tcBorders>
              <w:bottom w:val="single" w:sz="8" w:color="DEDEDE"/>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DEDEDE"/>
            </w:tcBorders>
          </w:tcPr>
          <w:p>
            <w:pPr>
              <w:spacing w:after="0"/>
              <w:rPr>
                <w:sz w:val="19"/>
                <w:szCs w:val="19"/>
                <w:color w:val="auto"/>
              </w:rPr>
            </w:pPr>
          </w:p>
        </w:tc>
        <w:tc>
          <w:tcPr>
            <w:tcW w:w="120" w:type="dxa"/>
            <w:vAlign w:val="bottom"/>
            <w:tcBorders>
              <w:bottom w:val="single" w:sz="8" w:color="DEDEDE"/>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94"/>
              </w:rPr>
              <w:t>2024</w:t>
            </w:r>
          </w:p>
        </w:tc>
        <w:tc>
          <w:tcPr>
            <w:tcW w:w="1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88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7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Amortization of right-of-use assets (1)</w:t>
            </w:r>
          </w:p>
        </w:tc>
        <w:tc>
          <w:tcPr>
            <w:tcW w:w="2020" w:type="dxa"/>
            <w:vAlign w:val="bottom"/>
            <w:gridSpan w:val="2"/>
            <w:shd w:val="clear" w:color="auto" w:fill="DEDEDE"/>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86,515</w:t>
            </w:r>
          </w:p>
        </w:tc>
        <w:tc>
          <w:tcPr>
            <w:tcW w:w="260" w:type="dxa"/>
            <w:vAlign w:val="bottom"/>
            <w:shd w:val="clear" w:color="auto" w:fill="DEDEDE"/>
          </w:tcPr>
          <w:p>
            <w:pPr>
              <w:spacing w:after="0"/>
              <w:rPr>
                <w:sz w:val="18"/>
                <w:szCs w:val="18"/>
                <w:color w:val="auto"/>
              </w:rPr>
            </w:pPr>
          </w:p>
        </w:tc>
        <w:tc>
          <w:tcPr>
            <w:tcW w:w="900" w:type="dxa"/>
            <w:vAlign w:val="bottom"/>
            <w:gridSpan w:val="2"/>
            <w:shd w:val="clear" w:color="auto" w:fill="DEDEDE"/>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48,687</w:t>
            </w: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Interest on lease liabilities (2)</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Operating lease cost (3)</w:t>
            </w:r>
          </w:p>
        </w:tc>
        <w:tc>
          <w:tcPr>
            <w:tcW w:w="88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7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2,655,969</w:t>
            </w: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3,102,662</w:t>
            </w: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lease cost (3)(4)</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1,232,176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1,419,524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Sublease income (3)</w:t>
            </w:r>
          </w:p>
        </w:tc>
        <w:tc>
          <w:tcPr>
            <w:tcW w:w="880" w:type="dxa"/>
            <w:vAlign w:val="bottom"/>
            <w:shd w:val="clear" w:color="auto" w:fill="DEDEDE"/>
          </w:tcPr>
          <w:p>
            <w:pPr>
              <w:spacing w:after="0"/>
              <w:rPr>
                <w:sz w:val="19"/>
                <w:szCs w:val="19"/>
                <w:color w:val="auto"/>
              </w:rPr>
            </w:pPr>
          </w:p>
        </w:tc>
        <w:tc>
          <w:tcPr>
            <w:tcW w:w="1140" w:type="dxa"/>
            <w:vAlign w:val="bottom"/>
            <w:shd w:val="clear" w:color="auto" w:fill="DEDEDE"/>
          </w:tcPr>
          <w:p>
            <w:pPr>
              <w:spacing w:after="0"/>
              <w:rPr>
                <w:sz w:val="19"/>
                <w:szCs w:val="19"/>
                <w:color w:val="auto"/>
              </w:rPr>
            </w:pPr>
          </w:p>
        </w:tc>
        <w:tc>
          <w:tcPr>
            <w:tcW w:w="102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8"/>
                <w:szCs w:val="18"/>
                <w:color w:val="auto"/>
              </w:rPr>
              <w:t>(958,038)</w:t>
            </w:r>
          </w:p>
        </w:tc>
        <w:tc>
          <w:tcPr>
            <w:tcW w:w="120" w:type="dxa"/>
            <w:vAlign w:val="bottom"/>
            <w:shd w:val="clear" w:color="auto" w:fill="DEDEDE"/>
          </w:tcPr>
          <w:p>
            <w:pPr>
              <w:spacing w:after="0"/>
              <w:rPr>
                <w:sz w:val="19"/>
                <w:szCs w:val="19"/>
                <w:color w:val="auto"/>
              </w:rPr>
            </w:pPr>
          </w:p>
        </w:tc>
        <w:tc>
          <w:tcPr>
            <w:tcW w:w="780" w:type="dxa"/>
            <w:vAlign w:val="bottom"/>
            <w:shd w:val="clear" w:color="auto" w:fill="DEDEDE"/>
          </w:tcPr>
          <w:p>
            <w:pPr>
              <w:spacing w:after="0"/>
              <w:rPr>
                <w:sz w:val="19"/>
                <w:szCs w:val="19"/>
                <w:color w:val="auto"/>
              </w:rPr>
            </w:pPr>
          </w:p>
        </w:tc>
        <w:tc>
          <w:tcPr>
            <w:tcW w:w="130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(562,675)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80" w:type="dxa"/>
            <w:vAlign w:val="bottom"/>
            <w:tcBorders>
              <w:bottom w:val="single" w:sz="8" w:color="DEDEDE"/>
            </w:tcBorders>
            <w:gridSpan w:val="3"/>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880" w:type="dxa"/>
            <w:vAlign w:val="bottom"/>
            <w:tcBorders>
              <w:bottom w:val="single" w:sz="8" w:color="DEDEDE"/>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3,026,983</w:t>
            </w:r>
          </w:p>
        </w:tc>
        <w:tc>
          <w:tcPr>
            <w:tcW w:w="260" w:type="dxa"/>
            <w:vAlign w:val="bottom"/>
            <w:tcBorders>
              <w:bottom w:val="single" w:sz="8" w:color="DEDEDE"/>
            </w:tcBorders>
          </w:tcPr>
          <w:p>
            <w:pPr>
              <w:spacing w:after="0"/>
              <w:rPr>
                <w:sz w:val="22"/>
                <w:szCs w:val="22"/>
                <w:color w:val="auto"/>
              </w:rPr>
            </w:pPr>
          </w:p>
        </w:tc>
        <w:tc>
          <w:tcPr>
            <w:tcW w:w="120" w:type="dxa"/>
            <w:vAlign w:val="bottom"/>
            <w:tcBorders>
              <w:bottom w:val="single" w:sz="8" w:color="DEDEDE"/>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4,014,751</w:t>
            </w:r>
          </w:p>
        </w:tc>
        <w:tc>
          <w:tcPr>
            <w:tcW w:w="180" w:type="dxa"/>
            <w:vAlign w:val="bottom"/>
            <w:tcBorders>
              <w:bottom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shd w:val="clear" w:color="auto" w:fill="DEDEDE"/>
          </w:tcPr>
          <w:p>
            <w:pPr>
              <w:spacing w:after="0"/>
              <w:rPr>
                <w:sz w:val="17"/>
                <w:szCs w:val="17"/>
                <w:color w:val="auto"/>
              </w:rPr>
            </w:pPr>
          </w:p>
        </w:tc>
        <w:tc>
          <w:tcPr>
            <w:tcW w:w="500" w:type="dxa"/>
            <w:vAlign w:val="bottom"/>
            <w:shd w:val="clear" w:color="auto" w:fill="DEDEDE"/>
          </w:tcPr>
          <w:p>
            <w:pPr>
              <w:spacing w:after="0"/>
              <w:rPr>
                <w:sz w:val="17"/>
                <w:szCs w:val="17"/>
                <w:color w:val="auto"/>
              </w:rPr>
            </w:pPr>
          </w:p>
        </w:tc>
        <w:tc>
          <w:tcPr>
            <w:tcW w:w="4860" w:type="dxa"/>
            <w:vAlign w:val="bottom"/>
            <w:shd w:val="clear" w:color="auto" w:fill="DEDEDE"/>
          </w:tcPr>
          <w:p>
            <w:pPr>
              <w:spacing w:after="0"/>
              <w:rPr>
                <w:sz w:val="17"/>
                <w:szCs w:val="17"/>
                <w:color w:val="auto"/>
              </w:rPr>
            </w:pPr>
          </w:p>
        </w:tc>
        <w:tc>
          <w:tcPr>
            <w:tcW w:w="880" w:type="dxa"/>
            <w:vAlign w:val="bottom"/>
            <w:shd w:val="clear" w:color="auto" w:fill="DEDEDE"/>
          </w:tcPr>
          <w:p>
            <w:pPr>
              <w:spacing w:after="0"/>
              <w:rPr>
                <w:sz w:val="17"/>
                <w:szCs w:val="17"/>
                <w:color w:val="auto"/>
              </w:rPr>
            </w:pPr>
          </w:p>
        </w:tc>
        <w:tc>
          <w:tcPr>
            <w:tcW w:w="1140" w:type="dxa"/>
            <w:vAlign w:val="bottom"/>
            <w:shd w:val="clear" w:color="auto" w:fill="DEDEDE"/>
          </w:tcPr>
          <w:p>
            <w:pPr>
              <w:spacing w:after="0"/>
              <w:rPr>
                <w:sz w:val="17"/>
                <w:szCs w:val="17"/>
                <w:color w:val="auto"/>
              </w:rPr>
            </w:pPr>
          </w:p>
        </w:tc>
        <w:tc>
          <w:tcPr>
            <w:tcW w:w="760" w:type="dxa"/>
            <w:vAlign w:val="bottom"/>
            <w:shd w:val="clear" w:color="auto" w:fill="DEDEDE"/>
          </w:tcPr>
          <w:p>
            <w:pPr>
              <w:spacing w:after="0"/>
              <w:rPr>
                <w:sz w:val="17"/>
                <w:szCs w:val="17"/>
                <w:color w:val="auto"/>
              </w:rPr>
            </w:pPr>
          </w:p>
        </w:tc>
        <w:tc>
          <w:tcPr>
            <w:tcW w:w="2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780" w:type="dxa"/>
            <w:vAlign w:val="bottom"/>
            <w:shd w:val="clear" w:color="auto" w:fill="DEDEDE"/>
          </w:tcPr>
          <w:p>
            <w:pPr>
              <w:spacing w:after="0"/>
              <w:rPr>
                <w:sz w:val="17"/>
                <w:szCs w:val="17"/>
                <w:color w:val="auto"/>
              </w:rPr>
            </w:pPr>
          </w:p>
        </w:tc>
        <w:tc>
          <w:tcPr>
            <w:tcW w:w="11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8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7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2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2,879,018</w:t>
            </w:r>
          </w:p>
        </w:tc>
        <w:tc>
          <w:tcPr>
            <w:tcW w:w="260" w:type="dxa"/>
            <w:vAlign w:val="bottom"/>
          </w:tcPr>
          <w:p>
            <w:pPr>
              <w:spacing w:after="0"/>
              <w:rPr>
                <w:sz w:val="18"/>
                <w:szCs w:val="18"/>
                <w:color w:val="auto"/>
              </w:rPr>
            </w:pPr>
          </w:p>
        </w:tc>
        <w:tc>
          <w:tcPr>
            <w:tcW w:w="9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3,622,607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88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7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10,361</w:t>
            </w: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6,553</w:t>
            </w: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gridSpan w:val="2"/>
            <w:shd w:val="clear" w:color="auto" w:fill="DEDEDE"/>
          </w:tcPr>
          <w:p>
            <w:pPr>
              <w:spacing w:after="0"/>
              <w:rPr>
                <w:sz w:val="18"/>
                <w:szCs w:val="18"/>
                <w:color w:val="auto"/>
              </w:rPr>
            </w:pPr>
          </w:p>
        </w:tc>
        <w:tc>
          <w:tcPr>
            <w:tcW w:w="4860" w:type="dxa"/>
            <w:vAlign w:val="bottom"/>
            <w:shd w:val="clear" w:color="auto" w:fill="DEDEDE"/>
          </w:tcPr>
          <w:p>
            <w:pPr>
              <w:spacing w:after="0"/>
              <w:rPr>
                <w:sz w:val="18"/>
                <w:szCs w:val="18"/>
                <w:color w:val="auto"/>
              </w:rPr>
            </w:pPr>
          </w:p>
        </w:tc>
        <w:tc>
          <w:tcPr>
            <w:tcW w:w="88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7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2020" w:type="dxa"/>
            <w:vAlign w:val="bottom"/>
            <w:gridSpan w:val="2"/>
            <w:shd w:val="clear" w:color="auto" w:fill="DEDEDE"/>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2,582,742</w:t>
            </w:r>
          </w:p>
        </w:tc>
        <w:tc>
          <w:tcPr>
            <w:tcW w:w="260" w:type="dxa"/>
            <w:vAlign w:val="bottom"/>
            <w:shd w:val="clear" w:color="auto" w:fill="DEDEDE"/>
          </w:tcPr>
          <w:p>
            <w:pPr>
              <w:spacing w:after="0"/>
              <w:rPr>
                <w:sz w:val="18"/>
                <w:szCs w:val="18"/>
                <w:color w:val="auto"/>
              </w:rPr>
            </w:pPr>
          </w:p>
        </w:tc>
        <w:tc>
          <w:tcPr>
            <w:tcW w:w="900" w:type="dxa"/>
            <w:vAlign w:val="bottom"/>
            <w:gridSpan w:val="2"/>
            <w:shd w:val="clear" w:color="auto" w:fill="DEDEDE"/>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1,770,873</w:t>
            </w: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176,040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gridSpan w:val="2"/>
            <w:shd w:val="clear" w:color="auto" w:fill="DEDEDE"/>
          </w:tcPr>
          <w:p>
            <w:pPr>
              <w:spacing w:after="0"/>
              <w:rPr>
                <w:sz w:val="18"/>
                <w:szCs w:val="18"/>
                <w:color w:val="auto"/>
              </w:rPr>
            </w:pPr>
          </w:p>
        </w:tc>
        <w:tc>
          <w:tcPr>
            <w:tcW w:w="4860" w:type="dxa"/>
            <w:vAlign w:val="bottom"/>
            <w:shd w:val="clear" w:color="auto" w:fill="DEDEDE"/>
          </w:tcPr>
          <w:p>
            <w:pPr>
              <w:spacing w:after="0"/>
              <w:rPr>
                <w:sz w:val="18"/>
                <w:szCs w:val="18"/>
                <w:color w:val="auto"/>
              </w:rPr>
            </w:pPr>
          </w:p>
        </w:tc>
        <w:tc>
          <w:tcPr>
            <w:tcW w:w="88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7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88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7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gridSpan w:val="2"/>
            <w:shd w:val="clear" w:color="auto" w:fill="DEDEDE"/>
          </w:tcPr>
          <w:p>
            <w:pPr>
              <w:spacing w:after="0"/>
              <w:rPr>
                <w:sz w:val="18"/>
                <w:szCs w:val="18"/>
                <w:color w:val="auto"/>
              </w:rPr>
            </w:pPr>
          </w:p>
        </w:tc>
        <w:tc>
          <w:tcPr>
            <w:tcW w:w="4860" w:type="dxa"/>
            <w:vAlign w:val="bottom"/>
            <w:shd w:val="clear" w:color="auto" w:fill="DEDEDE"/>
          </w:tcPr>
          <w:p>
            <w:pPr>
              <w:spacing w:after="0"/>
              <w:rPr>
                <w:sz w:val="18"/>
                <w:szCs w:val="18"/>
                <w:color w:val="auto"/>
              </w:rPr>
            </w:pPr>
          </w:p>
        </w:tc>
        <w:tc>
          <w:tcPr>
            <w:tcW w:w="88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7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Finance leases</w:t>
            </w:r>
          </w:p>
        </w:tc>
        <w:tc>
          <w:tcPr>
            <w:tcW w:w="880" w:type="dxa"/>
            <w:vAlign w:val="bottom"/>
            <w:shd w:val="clear" w:color="auto" w:fill="DEDEDE"/>
          </w:tcPr>
          <w:p>
            <w:pPr>
              <w:spacing w:after="0"/>
              <w:rPr>
                <w:sz w:val="18"/>
                <w:szCs w:val="18"/>
                <w:color w:val="auto"/>
              </w:rPr>
            </w:pPr>
          </w:p>
        </w:tc>
        <w:tc>
          <w:tcPr>
            <w:tcW w:w="1140" w:type="dxa"/>
            <w:vAlign w:val="bottom"/>
            <w:shd w:val="clear" w:color="auto" w:fill="DEDEDE"/>
          </w:tcPr>
          <w:p>
            <w:pPr>
              <w:spacing w:after="0"/>
              <w:rPr>
                <w:sz w:val="18"/>
                <w:szCs w:val="18"/>
                <w:color w:val="auto"/>
              </w:rPr>
            </w:pPr>
          </w:p>
        </w:tc>
        <w:tc>
          <w:tcPr>
            <w:tcW w:w="10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7.70%</w:t>
            </w:r>
          </w:p>
        </w:tc>
        <w:tc>
          <w:tcPr>
            <w:tcW w:w="12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130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7.89%</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128905</wp:posOffset>
                </wp:positionV>
                <wp:extent cx="178308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5pt" to="140.4pt,10.15pt" o:allowincell="f" strokecolor="#000000" strokeweight="0.675pt"/>
            </w:pict>
          </mc:Fallback>
        </mc:AlternateContent>
      </w:r>
    </w:p>
    <w:p>
      <w:pPr>
        <w:spacing w:after="0" w:line="185" w:lineRule="exact"/>
        <w:rPr>
          <w:sz w:val="20"/>
          <w:szCs w:val="20"/>
          <w:color w:val="auto"/>
        </w:rPr>
      </w:pPr>
    </w:p>
    <w:p>
      <w:pPr>
        <w:ind w:left="322" w:hanging="322"/>
        <w:spacing w:after="0"/>
        <w:tabs>
          <w:tab w:leader="none" w:pos="32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Depreciation on property and equipment on the consolidated statements of earnings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Interest expense on the consolidated statements of earnings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Rent and rent related expenses on the consolidated statements of earnings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leases with a term of 12 months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82</w:t>
      </w:r>
    </w:p>
    <w:p>
      <w:pPr>
        <w:sectPr>
          <w:pgSz w:w="12240" w:h="15840" w:orient="portrait"/>
          <w:cols w:equalWidth="0" w:num="1">
            <w:col w:w="11242"/>
          </w:cols>
          <w:pgMar w:left="498" w:top="687" w:right="500" w:bottom="0" w:gutter="0" w:footer="0" w:header="0"/>
        </w:sectPr>
      </w:pPr>
    </w:p>
    <w:bookmarkStart w:id="110" w:name="page111"/>
    <w:bookmarkEnd w:id="110"/>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presents the maturity analysis of the Company’s lease liabilities.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3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Finance Leases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Operating Leases</w:t>
            </w:r>
          </w:p>
        </w:tc>
      </w:tr>
      <w:tr>
        <w:trPr>
          <w:trHeight w:val="210"/>
        </w:trPr>
        <w:tc>
          <w:tcPr>
            <w:tcW w:w="386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Lease payments due in:</w:t>
            </w:r>
          </w:p>
        </w:tc>
        <w:tc>
          <w:tcPr>
            <w:tcW w:w="1360" w:type="dxa"/>
            <w:vAlign w:val="bottom"/>
            <w:tcBorders>
              <w:top w:val="single" w:sz="8" w:color="DEDEDE"/>
            </w:tcBorders>
            <w:shd w:val="clear" w:color="auto" w:fill="DEDEDE"/>
          </w:tcPr>
          <w:p>
            <w:pPr>
              <w:spacing w:after="0"/>
              <w:rPr>
                <w:sz w:val="18"/>
                <w:szCs w:val="18"/>
                <w:color w:val="auto"/>
              </w:rPr>
            </w:pPr>
          </w:p>
        </w:tc>
        <w:tc>
          <w:tcPr>
            <w:tcW w:w="200" w:type="dxa"/>
            <w:vAlign w:val="bottom"/>
            <w:tcBorders>
              <w:top w:val="single" w:sz="8" w:color="auto"/>
            </w:tcBorders>
            <w:shd w:val="clear" w:color="auto" w:fill="DEDEDE"/>
          </w:tcPr>
          <w:p>
            <w:pPr>
              <w:spacing w:after="0"/>
              <w:rPr>
                <w:sz w:val="18"/>
                <w:szCs w:val="18"/>
                <w:color w:val="auto"/>
              </w:rPr>
            </w:pPr>
          </w:p>
        </w:tc>
        <w:tc>
          <w:tcPr>
            <w:tcW w:w="1520" w:type="dxa"/>
            <w:vAlign w:val="bottom"/>
            <w:tcBorders>
              <w:top w:val="single" w:sz="8" w:color="auto"/>
            </w:tcBorders>
            <w:shd w:val="clear" w:color="auto" w:fill="DEDEDE"/>
          </w:tcPr>
          <w:p>
            <w:pPr>
              <w:spacing w:after="0"/>
              <w:rPr>
                <w:sz w:val="18"/>
                <w:szCs w:val="18"/>
                <w:color w:val="auto"/>
              </w:rPr>
            </w:pPr>
          </w:p>
        </w:tc>
        <w:tc>
          <w:tcPr>
            <w:tcW w:w="26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18"/>
                <w:szCs w:val="18"/>
                <w:color w:val="auto"/>
              </w:rPr>
            </w:pPr>
          </w:p>
        </w:tc>
        <w:tc>
          <w:tcPr>
            <w:tcW w:w="1540" w:type="dxa"/>
            <w:vAlign w:val="bottom"/>
            <w:tcBorders>
              <w:top w:val="single" w:sz="8" w:color="auto"/>
            </w:tcBorders>
            <w:shd w:val="clear" w:color="auto" w:fill="DEDEDE"/>
          </w:tcPr>
          <w:p>
            <w:pPr>
              <w:spacing w:after="0"/>
              <w:rPr>
                <w:sz w:val="18"/>
                <w:szCs w:val="18"/>
                <w:color w:val="auto"/>
              </w:rPr>
            </w:pPr>
          </w:p>
        </w:tc>
        <w:tc>
          <w:tcPr>
            <w:tcW w:w="80" w:type="dxa"/>
            <w:vAlign w:val="bottom"/>
            <w:tcBorders>
              <w:top w:val="single" w:sz="8" w:color="DEDEDE"/>
            </w:tcBorders>
            <w:shd w:val="clear" w:color="auto" w:fill="DEDEDE"/>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72,074</w:t>
            </w:r>
          </w:p>
        </w:tc>
        <w:tc>
          <w:tcPr>
            <w:tcW w:w="160" w:type="dxa"/>
            <w:vAlign w:val="bottom"/>
            <w:gridSpan w:val="2"/>
          </w:tcPr>
          <w:p>
            <w:pPr>
              <w:jc w:val="right"/>
              <w:ind w:right="24"/>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2,256,398</w:t>
            </w:r>
          </w:p>
        </w:tc>
      </w:tr>
      <w:tr>
        <w:trPr>
          <w:trHeight w:val="216"/>
        </w:trPr>
        <w:tc>
          <w:tcPr>
            <w:tcW w:w="3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2027</w:t>
            </w:r>
          </w:p>
        </w:tc>
        <w:tc>
          <w:tcPr>
            <w:tcW w:w="13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5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11,157</w:t>
            </w:r>
          </w:p>
        </w:tc>
        <w:tc>
          <w:tcPr>
            <w:tcW w:w="26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20" w:type="dxa"/>
            <w:vAlign w:val="bottom"/>
            <w:gridSpan w:val="2"/>
            <w:shd w:val="clear" w:color="auto" w:fill="DEDEDE"/>
          </w:tcPr>
          <w:p>
            <w:pPr>
              <w:jc w:val="right"/>
              <w:ind w:right="1"/>
              <w:spacing w:after="0"/>
              <w:rPr>
                <w:sz w:val="20"/>
                <w:szCs w:val="20"/>
                <w:color w:val="auto"/>
              </w:rPr>
            </w:pPr>
            <w:r>
              <w:rPr>
                <w:rFonts w:ascii="Times New Roman" w:cs="Times New Roman" w:eastAsia="Times New Roman" w:hAnsi="Times New Roman"/>
                <w:sz w:val="18"/>
                <w:szCs w:val="18"/>
                <w:color w:val="auto"/>
              </w:rPr>
              <w:t>957,728</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624,120</w:t>
            </w:r>
          </w:p>
        </w:tc>
        <w:tc>
          <w:tcPr>
            <w:tcW w:w="80" w:type="dxa"/>
            <w:vAlign w:val="bottom"/>
          </w:tcPr>
          <w:p>
            <w:pPr>
              <w:spacing w:after="0"/>
              <w:rPr>
                <w:sz w:val="18"/>
                <w:szCs w:val="18"/>
                <w:color w:val="auto"/>
              </w:rPr>
            </w:pPr>
          </w:p>
        </w:tc>
      </w:tr>
      <w:tr>
        <w:trPr>
          <w:trHeight w:val="216"/>
        </w:trPr>
        <w:tc>
          <w:tcPr>
            <w:tcW w:w="3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2029</w:t>
            </w:r>
          </w:p>
        </w:tc>
        <w:tc>
          <w:tcPr>
            <w:tcW w:w="13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5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7,217</w:t>
            </w:r>
          </w:p>
        </w:tc>
        <w:tc>
          <w:tcPr>
            <w:tcW w:w="26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5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477,929</w:t>
            </w:r>
          </w:p>
        </w:tc>
        <w:tc>
          <w:tcPr>
            <w:tcW w:w="80" w:type="dxa"/>
            <w:vAlign w:val="bottom"/>
            <w:shd w:val="clear" w:color="auto" w:fill="DEDEDE"/>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252,836</w:t>
            </w:r>
          </w:p>
        </w:tc>
        <w:tc>
          <w:tcPr>
            <w:tcW w:w="80" w:type="dxa"/>
            <w:vAlign w:val="bottom"/>
          </w:tcPr>
          <w:p>
            <w:pPr>
              <w:spacing w:after="0"/>
              <w:rPr>
                <w:sz w:val="18"/>
                <w:szCs w:val="18"/>
                <w:color w:val="auto"/>
              </w:rPr>
            </w:pPr>
          </w:p>
        </w:tc>
      </w:tr>
      <w:tr>
        <w:trPr>
          <w:trHeight w:val="230"/>
        </w:trPr>
        <w:tc>
          <w:tcPr>
            <w:tcW w:w="3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60" w:type="dxa"/>
            <w:vAlign w:val="bottom"/>
            <w:shd w:val="clear" w:color="auto" w:fill="DEDEDE"/>
          </w:tcPr>
          <w:p>
            <w:pPr>
              <w:spacing w:after="0"/>
              <w:rPr>
                <w:sz w:val="19"/>
                <w:szCs w:val="19"/>
                <w:color w:val="auto"/>
              </w:rPr>
            </w:pPr>
          </w:p>
        </w:tc>
        <w:tc>
          <w:tcPr>
            <w:tcW w:w="200" w:type="dxa"/>
            <w:vAlign w:val="bottom"/>
            <w:shd w:val="clear" w:color="auto" w:fill="DEDEDE"/>
          </w:tcPr>
          <w:p>
            <w:pPr>
              <w:spacing w:after="0"/>
              <w:rPr>
                <w:sz w:val="19"/>
                <w:szCs w:val="19"/>
                <w:color w:val="auto"/>
              </w:rPr>
            </w:pPr>
          </w:p>
        </w:tc>
        <w:tc>
          <w:tcPr>
            <w:tcW w:w="1780" w:type="dxa"/>
            <w:vAlign w:val="bottom"/>
            <w:gridSpan w:val="2"/>
            <w:shd w:val="clear" w:color="auto" w:fill="DEDEDE"/>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620" w:type="dxa"/>
            <w:vAlign w:val="bottom"/>
            <w:gridSpan w:val="2"/>
            <w:shd w:val="clear" w:color="auto" w:fill="DEDEDE"/>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86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360" w:type="dxa"/>
            <w:vAlign w:val="bottom"/>
            <w:tcBorders>
              <w:bottom w:val="single" w:sz="8" w:color="DEDED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100,986</w:t>
            </w:r>
          </w:p>
        </w:tc>
        <w:tc>
          <w:tcPr>
            <w:tcW w:w="260" w:type="dxa"/>
            <w:vAlign w:val="bottom"/>
            <w:tcBorders>
              <w:bottom w:val="single" w:sz="8" w:color="DEDEDE"/>
            </w:tcBorders>
          </w:tcPr>
          <w:p>
            <w:pPr>
              <w:spacing w:after="0"/>
              <w:rPr>
                <w:sz w:val="18"/>
                <w:szCs w:val="18"/>
                <w:color w:val="auto"/>
              </w:rPr>
            </w:pPr>
          </w:p>
        </w:tc>
        <w:tc>
          <w:tcPr>
            <w:tcW w:w="20" w:type="dxa"/>
            <w:vAlign w:val="bottom"/>
            <w:tcBorders>
              <w:bottom w:val="single" w:sz="8" w:color="DEDEDE"/>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4,569,011</w:t>
            </w:r>
          </w:p>
        </w:tc>
        <w:tc>
          <w:tcPr>
            <w:tcW w:w="80" w:type="dxa"/>
            <w:vAlign w:val="bottom"/>
            <w:tcBorders>
              <w:bottom w:val="single" w:sz="8" w:color="DEDEDE"/>
            </w:tcBorders>
          </w:tcPr>
          <w:p>
            <w:pPr>
              <w:spacing w:after="0"/>
              <w:rPr>
                <w:sz w:val="18"/>
                <w:szCs w:val="18"/>
                <w:color w:val="auto"/>
              </w:rPr>
            </w:pPr>
          </w:p>
        </w:tc>
      </w:tr>
      <w:tr>
        <w:trPr>
          <w:trHeight w:val="209"/>
        </w:trPr>
        <w:tc>
          <w:tcPr>
            <w:tcW w:w="38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Less: Discount on cash flows</w:t>
            </w:r>
          </w:p>
        </w:tc>
        <w:tc>
          <w:tcPr>
            <w:tcW w:w="1360" w:type="dxa"/>
            <w:vAlign w:val="bottom"/>
            <w:shd w:val="clear" w:color="auto" w:fill="DEDEDE"/>
          </w:tcPr>
          <w:p>
            <w:pPr>
              <w:spacing w:after="0"/>
              <w:rPr>
                <w:sz w:val="18"/>
                <w:szCs w:val="18"/>
                <w:color w:val="auto"/>
              </w:rPr>
            </w:pPr>
          </w:p>
        </w:tc>
        <w:tc>
          <w:tcPr>
            <w:tcW w:w="200" w:type="dxa"/>
            <w:vAlign w:val="bottom"/>
            <w:tcBorders>
              <w:bottom w:val="single" w:sz="8" w:color="auto"/>
            </w:tcBorders>
            <w:shd w:val="clear" w:color="auto" w:fill="DEDEDE"/>
          </w:tcPr>
          <w:p>
            <w:pPr>
              <w:spacing w:after="0"/>
              <w:rPr>
                <w:sz w:val="18"/>
                <w:szCs w:val="18"/>
                <w:color w:val="auto"/>
              </w:rPr>
            </w:pPr>
          </w:p>
        </w:tc>
        <w:tc>
          <w:tcPr>
            <w:tcW w:w="15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(6,963</w:t>
            </w:r>
          </w:p>
        </w:tc>
        <w:tc>
          <w:tcPr>
            <w:tcW w:w="260" w:type="dxa"/>
            <w:vAlign w:val="bottom"/>
            <w:shd w:val="clear" w:color="auto" w:fill="DEDEDE"/>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DEDEDE"/>
          </w:tcPr>
          <w:p>
            <w:pPr>
              <w:spacing w:after="0"/>
              <w:rPr>
                <w:sz w:val="18"/>
                <w:szCs w:val="18"/>
                <w:color w:val="auto"/>
              </w:rPr>
            </w:pPr>
          </w:p>
        </w:tc>
        <w:tc>
          <w:tcPr>
            <w:tcW w:w="140" w:type="dxa"/>
            <w:vAlign w:val="bottom"/>
            <w:tcBorders>
              <w:bottom w:val="single" w:sz="8" w:color="auto"/>
            </w:tcBorders>
            <w:shd w:val="clear" w:color="auto" w:fill="DEDEDE"/>
          </w:tcPr>
          <w:p>
            <w:pPr>
              <w:spacing w:after="0"/>
              <w:rPr>
                <w:sz w:val="18"/>
                <w:szCs w:val="18"/>
                <w:color w:val="auto"/>
              </w:rPr>
            </w:pPr>
          </w:p>
        </w:tc>
        <w:tc>
          <w:tcPr>
            <w:tcW w:w="15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(431,953</w:t>
            </w:r>
          </w:p>
        </w:tc>
        <w:tc>
          <w:tcPr>
            <w:tcW w:w="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3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94,023</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4,137,058</w:t>
            </w:r>
          </w:p>
        </w:tc>
        <w:tc>
          <w:tcPr>
            <w:tcW w:w="8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presents the Company’s right-of-use assets and lease liabilities.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124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80" w:type="dxa"/>
            <w:vAlign w:val="bottom"/>
            <w:tcBorders>
              <w:bottom w:val="single" w:sz="8" w:color="DEDEDE"/>
            </w:tcBorders>
          </w:tcPr>
          <w:p>
            <w:pPr>
              <w:spacing w:after="0"/>
              <w:rPr>
                <w:sz w:val="19"/>
                <w:szCs w:val="19"/>
                <w:color w:val="auto"/>
              </w:rPr>
            </w:pPr>
          </w:p>
        </w:tc>
        <w:tc>
          <w:tcPr>
            <w:tcW w:w="1540" w:type="dxa"/>
            <w:vAlign w:val="bottom"/>
            <w:tcBorders>
              <w:bottom w:val="single" w:sz="8" w:color="DEDEDE"/>
            </w:tcBorders>
          </w:tcPr>
          <w:p>
            <w:pPr>
              <w:spacing w:after="0"/>
              <w:rPr>
                <w:sz w:val="19"/>
                <w:szCs w:val="19"/>
                <w:color w:val="auto"/>
              </w:rPr>
            </w:pPr>
          </w:p>
        </w:tc>
        <w:tc>
          <w:tcPr>
            <w:tcW w:w="740" w:type="dxa"/>
            <w:vAlign w:val="bottom"/>
            <w:tcBorders>
              <w:bottom w:val="single" w:sz="8" w:color="DEDEDE"/>
            </w:tcBorders>
          </w:tcPr>
          <w:p>
            <w:pPr>
              <w:spacing w:after="0"/>
              <w:rPr>
                <w:sz w:val="19"/>
                <w:szCs w:val="19"/>
                <w:color w:val="auto"/>
              </w:rPr>
            </w:pPr>
          </w:p>
        </w:tc>
        <w:tc>
          <w:tcPr>
            <w:tcW w:w="336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Balance Sheet Location</w:t>
            </w:r>
          </w:p>
        </w:tc>
        <w:tc>
          <w:tcPr>
            <w:tcW w:w="240" w:type="dxa"/>
            <w:vAlign w:val="bottom"/>
            <w:tcBorders>
              <w:bottom w:val="single" w:sz="8" w:color="DEDEDE"/>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top w:val="single" w:sz="8" w:color="auto"/>
              <w:bottom w:val="single" w:sz="8" w:color="DEDEDE"/>
            </w:tcBorders>
          </w:tcPr>
          <w:p>
            <w:pPr>
              <w:spacing w:after="0"/>
              <w:rPr>
                <w:sz w:val="19"/>
                <w:szCs w:val="19"/>
                <w:color w:val="auto"/>
              </w:rPr>
            </w:pPr>
          </w:p>
        </w:tc>
        <w:tc>
          <w:tcPr>
            <w:tcW w:w="140" w:type="dxa"/>
            <w:vAlign w:val="bottom"/>
            <w:tcBorders>
              <w:top w:val="single" w:sz="8" w:color="auto"/>
              <w:bottom w:val="single" w:sz="8" w:color="DEDEDE"/>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u w:val="single" w:color="auto"/>
                <w:color w:val="auto"/>
              </w:rPr>
              <w:t>Operating Leases</w:t>
            </w:r>
          </w:p>
        </w:tc>
        <w:tc>
          <w:tcPr>
            <w:tcW w:w="740" w:type="dxa"/>
            <w:vAlign w:val="bottom"/>
            <w:shd w:val="clear" w:color="auto" w:fill="DEDEDE"/>
          </w:tcPr>
          <w:p>
            <w:pPr>
              <w:spacing w:after="0"/>
              <w:rPr>
                <w:sz w:val="18"/>
                <w:szCs w:val="18"/>
                <w:color w:val="auto"/>
              </w:rPr>
            </w:pPr>
          </w:p>
        </w:tc>
        <w:tc>
          <w:tcPr>
            <w:tcW w:w="336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Other assets</w:t>
            </w:r>
          </w:p>
        </w:tc>
        <w:tc>
          <w:tcPr>
            <w:tcW w:w="68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3,911,710</w:t>
            </w:r>
          </w:p>
        </w:tc>
        <w:tc>
          <w:tcPr>
            <w:tcW w:w="180" w:type="dxa"/>
            <w:vAlign w:val="bottom"/>
          </w:tcPr>
          <w:p>
            <w:pPr>
              <w:spacing w:after="0"/>
              <w:rPr>
                <w:sz w:val="18"/>
                <w:szCs w:val="18"/>
                <w:color w:val="auto"/>
              </w:rPr>
            </w:pPr>
          </w:p>
        </w:tc>
        <w:tc>
          <w:tcPr>
            <w:tcW w:w="56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4,837,045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540" w:type="dxa"/>
            <w:vAlign w:val="bottom"/>
            <w:shd w:val="clear" w:color="auto" w:fill="DEDEDE"/>
          </w:tcPr>
          <w:p>
            <w:pPr>
              <w:spacing w:after="0"/>
              <w:rPr>
                <w:sz w:val="18"/>
                <w:szCs w:val="18"/>
                <w:color w:val="auto"/>
              </w:rPr>
            </w:pPr>
          </w:p>
        </w:tc>
        <w:tc>
          <w:tcPr>
            <w:tcW w:w="740" w:type="dxa"/>
            <w:vAlign w:val="bottom"/>
            <w:shd w:val="clear" w:color="auto" w:fill="DEDEDE"/>
          </w:tcPr>
          <w:p>
            <w:pPr>
              <w:spacing w:after="0"/>
              <w:rPr>
                <w:sz w:val="18"/>
                <w:szCs w:val="18"/>
                <w:color w:val="auto"/>
              </w:rPr>
            </w:pPr>
          </w:p>
        </w:tc>
        <w:tc>
          <w:tcPr>
            <w:tcW w:w="336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680" w:type="dxa"/>
            <w:vAlign w:val="bottom"/>
            <w:gridSpan w:val="2"/>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4,137,058</w:t>
            </w:r>
          </w:p>
        </w:tc>
        <w:tc>
          <w:tcPr>
            <w:tcW w:w="180" w:type="dxa"/>
            <w:vAlign w:val="bottom"/>
          </w:tcPr>
          <w:p>
            <w:pPr>
              <w:spacing w:after="0"/>
              <w:rPr>
                <w:sz w:val="18"/>
                <w:szCs w:val="18"/>
                <w:color w:val="auto"/>
              </w:rPr>
            </w:pPr>
          </w:p>
        </w:tc>
        <w:tc>
          <w:tcPr>
            <w:tcW w:w="56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5,285,440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540" w:type="dxa"/>
            <w:vAlign w:val="bottom"/>
            <w:shd w:val="clear" w:color="auto" w:fill="DEDEDE"/>
          </w:tcPr>
          <w:p>
            <w:pPr>
              <w:spacing w:after="0"/>
              <w:rPr>
                <w:sz w:val="18"/>
                <w:szCs w:val="18"/>
                <w:color w:val="auto"/>
              </w:rPr>
            </w:pPr>
          </w:p>
        </w:tc>
        <w:tc>
          <w:tcPr>
            <w:tcW w:w="740" w:type="dxa"/>
            <w:vAlign w:val="bottom"/>
            <w:shd w:val="clear" w:color="auto" w:fill="DEDEDE"/>
          </w:tcPr>
          <w:p>
            <w:pPr>
              <w:spacing w:after="0"/>
              <w:rPr>
                <w:sz w:val="18"/>
                <w:szCs w:val="18"/>
                <w:color w:val="auto"/>
              </w:rPr>
            </w:pPr>
          </w:p>
        </w:tc>
        <w:tc>
          <w:tcPr>
            <w:tcW w:w="336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44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420" w:type="dxa"/>
            <w:vAlign w:val="bottom"/>
            <w:shd w:val="clear" w:color="auto" w:fill="DEDEDE"/>
          </w:tcPr>
          <w:p>
            <w:pPr>
              <w:spacing w:after="0"/>
              <w:rPr>
                <w:sz w:val="18"/>
                <w:szCs w:val="18"/>
                <w:color w:val="auto"/>
              </w:rPr>
            </w:pPr>
          </w:p>
        </w:tc>
        <w:tc>
          <w:tcPr>
            <w:tcW w:w="14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Finance Leases</w:t>
            </w:r>
          </w:p>
        </w:tc>
        <w:tc>
          <w:tcPr>
            <w:tcW w:w="7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740" w:type="dxa"/>
            <w:vAlign w:val="bottom"/>
            <w:shd w:val="clear" w:color="auto" w:fill="DEDEDE"/>
          </w:tcPr>
          <w:p>
            <w:pPr>
              <w:spacing w:after="0"/>
              <w:rPr>
                <w:sz w:val="18"/>
                <w:szCs w:val="18"/>
                <w:color w:val="auto"/>
              </w:rPr>
            </w:pPr>
          </w:p>
        </w:tc>
        <w:tc>
          <w:tcPr>
            <w:tcW w:w="3360" w:type="dxa"/>
            <w:vAlign w:val="bottom"/>
            <w:shd w:val="clear" w:color="auto" w:fill="DEDEDE"/>
          </w:tcPr>
          <w:p>
            <w:pPr>
              <w:spacing w:after="0"/>
              <w:rPr>
                <w:sz w:val="18"/>
                <w:szCs w:val="18"/>
                <w:color w:val="auto"/>
              </w:rPr>
            </w:pPr>
          </w:p>
        </w:tc>
        <w:tc>
          <w:tcPr>
            <w:tcW w:w="680" w:type="dxa"/>
            <w:vAlign w:val="bottom"/>
            <w:gridSpan w:val="2"/>
            <w:shd w:val="clear" w:color="auto" w:fill="DEDED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232,133</w:t>
            </w:r>
          </w:p>
        </w:tc>
        <w:tc>
          <w:tcPr>
            <w:tcW w:w="180" w:type="dxa"/>
            <w:vAlign w:val="bottom"/>
            <w:shd w:val="clear" w:color="auto" w:fill="DEDEDE"/>
          </w:tcPr>
          <w:p>
            <w:pPr>
              <w:spacing w:after="0"/>
              <w:rPr>
                <w:sz w:val="18"/>
                <w:szCs w:val="18"/>
                <w:color w:val="auto"/>
              </w:rPr>
            </w:pPr>
          </w:p>
        </w:tc>
        <w:tc>
          <w:tcPr>
            <w:tcW w:w="560" w:type="dxa"/>
            <w:vAlign w:val="bottom"/>
            <w:gridSpan w:val="2"/>
            <w:shd w:val="clear" w:color="auto" w:fill="DEDEDE"/>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207,127</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7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(142,992)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(64,971)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20" w:type="dxa"/>
            <w:vAlign w:val="bottom"/>
            <w:tcBorders>
              <w:top w:val="single" w:sz="8" w:color="DEDEDE"/>
              <w:bottom w:val="single" w:sz="8" w:color="DEDEDE"/>
            </w:tcBorders>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4100" w:type="dxa"/>
            <w:vAlign w:val="bottom"/>
            <w:tcBorders>
              <w:top w:val="single" w:sz="8" w:color="DEDEDE"/>
              <w:bottom w:val="single" w:sz="8" w:color="DEDEDE"/>
            </w:tcBorders>
            <w:gridSpan w:val="2"/>
            <w:shd w:val="clear" w:color="auto" w:fill="DEDEDE"/>
          </w:tcPr>
          <w:p>
            <w:pPr>
              <w:ind w:left="7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DEDEDE"/>
              <w:bottom w:val="single" w:sz="8" w:color="DEDEDE"/>
            </w:tcBorders>
            <w:shd w:val="clear" w:color="auto" w:fill="DEDEDE"/>
          </w:tcPr>
          <w:p>
            <w:pPr>
              <w:spacing w:after="0"/>
              <w:rPr>
                <w:sz w:val="19"/>
                <w:szCs w:val="19"/>
                <w:color w:val="auto"/>
              </w:rPr>
            </w:pPr>
          </w:p>
        </w:tc>
        <w:tc>
          <w:tcPr>
            <w:tcW w:w="440" w:type="dxa"/>
            <w:vAlign w:val="bottom"/>
            <w:tcBorders>
              <w:top w:val="single" w:sz="8" w:color="auto"/>
              <w:bottom w:val="single" w:sz="8" w:color="auto"/>
            </w:tcBorders>
            <w:shd w:val="clear" w:color="auto" w:fill="DEDEDE"/>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89,141</w:t>
            </w: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420" w:type="dxa"/>
            <w:vAlign w:val="bottom"/>
            <w:tcBorders>
              <w:top w:val="single" w:sz="8" w:color="auto"/>
              <w:bottom w:val="single" w:sz="8" w:color="auto"/>
            </w:tcBorders>
            <w:shd w:val="clear" w:color="auto" w:fill="DEDEDE"/>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142,156</w:t>
            </w: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10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4100" w:type="dxa"/>
            <w:vAlign w:val="bottom"/>
            <w:gridSpan w:val="2"/>
            <w:shd w:val="clear" w:color="auto" w:fill="DEDEDE"/>
          </w:tcPr>
          <w:p>
            <w:pPr>
              <w:ind w:left="740"/>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680" w:type="dxa"/>
            <w:vAlign w:val="bottom"/>
            <w:gridSpan w:val="2"/>
            <w:shd w:val="clear" w:color="auto" w:fill="DEDEDE"/>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94,023</w:t>
            </w:r>
          </w:p>
        </w:tc>
        <w:tc>
          <w:tcPr>
            <w:tcW w:w="180" w:type="dxa"/>
            <w:vAlign w:val="bottom"/>
            <w:shd w:val="clear" w:color="auto" w:fill="DEDEDE"/>
          </w:tcPr>
          <w:p>
            <w:pPr>
              <w:spacing w:after="0"/>
              <w:rPr>
                <w:sz w:val="18"/>
                <w:szCs w:val="18"/>
                <w:color w:val="auto"/>
              </w:rPr>
            </w:pPr>
          </w:p>
        </w:tc>
        <w:tc>
          <w:tcPr>
            <w:tcW w:w="560" w:type="dxa"/>
            <w:vAlign w:val="bottom"/>
            <w:gridSpan w:val="2"/>
            <w:shd w:val="clear" w:color="auto" w:fill="DEDEDE"/>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145,167</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Company is also a lessor and has operating lease agreements with various tenants that lease its commercial properties. See Note 2 for information about the Company’s real estate held for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83</w:t>
      </w:r>
    </w:p>
    <w:p>
      <w:pPr>
        <w:sectPr>
          <w:pgSz w:w="12240" w:h="15840" w:orient="portrait"/>
          <w:cols w:equalWidth="0" w:num="1">
            <w:col w:w="11242"/>
          </w:cols>
          <w:pgMar w:left="498" w:top="687" w:right="500" w:bottom="0" w:gutter="0" w:footer="0" w:header="0"/>
        </w:sectPr>
      </w:pPr>
    </w:p>
    <w:bookmarkStart w:id="111" w:name="page112"/>
    <w:bookmarkEnd w:id="111"/>
    <w:p>
      <w:pPr>
        <w:jc w:val="center"/>
        <w:ind w:right="-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Refer to Note 1 regarding the adoption of ASU 2018-12 and ASU 2023-09.</w:t>
      </w:r>
    </w:p>
    <w:p>
      <w:pPr>
        <w:spacing w:after="0" w:line="225"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provisions that allow for the immediate expensing of domestic research and development expenses, immediate expensing of certain capital expenditures, and other changes to the U.S. taxation of profits derived from foreign operations. OBBBA did not have a material impact on the Company’s estimated effective tax rate for 2025.</w:t>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income tax liability is summarized as follows:</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55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58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r>
      <w:tr>
        <w:trPr>
          <w:trHeight w:val="209"/>
        </w:trPr>
        <w:tc>
          <w:tcPr>
            <w:tcW w:w="55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516,851</w:t>
            </w: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(725,175)</w:t>
            </w:r>
          </w:p>
        </w:tc>
        <w:tc>
          <w:tcPr>
            <w:tcW w:w="80" w:type="dxa"/>
            <w:vAlign w:val="bottom"/>
            <w:shd w:val="clear" w:color="auto" w:fill="DEDEDE"/>
          </w:tcPr>
          <w:p>
            <w:pPr>
              <w:spacing w:after="0"/>
              <w:rPr>
                <w:sz w:val="18"/>
                <w:szCs w:val="18"/>
                <w:color w:val="auto"/>
              </w:rPr>
            </w:pPr>
          </w:p>
        </w:tc>
      </w:tr>
      <w:tr>
        <w:trPr>
          <w:trHeight w:val="229"/>
        </w:trPr>
        <w:tc>
          <w:tcPr>
            <w:tcW w:w="558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25,403,711</w:t>
            </w:r>
          </w:p>
        </w:tc>
        <w:tc>
          <w:tcPr>
            <w:tcW w:w="24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25,265,687</w:t>
            </w:r>
          </w:p>
        </w:tc>
        <w:tc>
          <w:tcPr>
            <w:tcW w:w="80" w:type="dxa"/>
            <w:vAlign w:val="bottom"/>
            <w:tcBorders>
              <w:bottom w:val="single" w:sz="8" w:color="DEDEDE"/>
            </w:tcBorders>
          </w:tcPr>
          <w:p>
            <w:pPr>
              <w:spacing w:after="0"/>
              <w:rPr>
                <w:sz w:val="19"/>
                <w:szCs w:val="19"/>
                <w:color w:val="auto"/>
              </w:rPr>
            </w:pPr>
          </w:p>
        </w:tc>
      </w:tr>
      <w:tr>
        <w:trPr>
          <w:trHeight w:val="223"/>
        </w:trPr>
        <w:tc>
          <w:tcPr>
            <w:tcW w:w="558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25,920,562</w:t>
            </w:r>
          </w:p>
        </w:tc>
        <w:tc>
          <w:tcPr>
            <w:tcW w:w="240" w:type="dxa"/>
            <w:vAlign w:val="bottom"/>
            <w:tcBorders>
              <w:bottom w:val="single" w:sz="8" w:color="DEDEDE"/>
            </w:tcBorders>
            <w:shd w:val="clear" w:color="auto" w:fill="DEDEDE"/>
          </w:tcPr>
          <w:p>
            <w:pPr>
              <w:spacing w:after="0"/>
              <w:rPr>
                <w:sz w:val="19"/>
                <w:szCs w:val="19"/>
                <w:color w:val="auto"/>
              </w:rPr>
            </w:pPr>
          </w:p>
        </w:tc>
        <w:tc>
          <w:tcPr>
            <w:tcW w:w="480" w:type="dxa"/>
            <w:vAlign w:val="bottom"/>
            <w:tcBorders>
              <w:bottom w:val="single" w:sz="8" w:color="auto"/>
            </w:tcBorders>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24,540,512</w:t>
            </w:r>
          </w:p>
        </w:tc>
        <w:tc>
          <w:tcPr>
            <w:tcW w:w="80" w:type="dxa"/>
            <w:vAlign w:val="bottom"/>
            <w:tcBorders>
              <w:bottom w:val="single" w:sz="8" w:color="DEDEDE"/>
            </w:tcBorders>
            <w:shd w:val="clear" w:color="auto" w:fill="DEDEDE"/>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significant components of the Company’s deferred tax assets and liabilities are approximately as follows: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DEDEDE"/>
            </w:tcBorders>
          </w:tcPr>
          <w:p>
            <w:pPr>
              <w:spacing w:after="0"/>
              <w:rPr>
                <w:sz w:val="19"/>
                <w:szCs w:val="19"/>
                <w:color w:val="auto"/>
              </w:rPr>
            </w:pPr>
          </w:p>
        </w:tc>
        <w:tc>
          <w:tcPr>
            <w:tcW w:w="84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Assets</w:t>
            </w:r>
          </w:p>
        </w:tc>
        <w:tc>
          <w:tcPr>
            <w:tcW w:w="8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Future policy benefits</w:t>
            </w:r>
          </w:p>
        </w:tc>
        <w:tc>
          <w:tcPr>
            <w:tcW w:w="11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8,538,993</w:t>
            </w:r>
          </w:p>
        </w:tc>
        <w:tc>
          <w:tcPr>
            <w:tcW w:w="72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4,663,986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Loan loss reserve and allowances</w:t>
            </w:r>
          </w:p>
        </w:tc>
        <w:tc>
          <w:tcPr>
            <w:tcW w:w="8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1,431,236</w:t>
            </w: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1,395,203</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Unearned premium</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383,207</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8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687,524</w:t>
            </w: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1,245,888</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84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2,388,705</w:t>
            </w:r>
          </w:p>
        </w:tc>
        <w:tc>
          <w:tcPr>
            <w:tcW w:w="240" w:type="dxa"/>
            <w:vAlign w:val="bottom"/>
            <w:tcBorders>
              <w:bottom w:val="single" w:sz="8" w:color="DEDEDE"/>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2,033,686</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40" w:type="dxa"/>
            <w:vAlign w:val="bottom"/>
            <w:shd w:val="clear" w:color="auto" w:fill="DEDEDE"/>
          </w:tcPr>
          <w:p>
            <w:pPr>
              <w:spacing w:after="0"/>
              <w:rPr>
                <w:sz w:val="18"/>
                <w:szCs w:val="18"/>
                <w:color w:val="auto"/>
              </w:rPr>
            </w:pPr>
          </w:p>
        </w:tc>
        <w:tc>
          <w:tcPr>
            <w:tcW w:w="340" w:type="dxa"/>
            <w:vAlign w:val="bottom"/>
            <w:tcBorders>
              <w:bottom w:val="single" w:sz="8" w:color="auto"/>
            </w:tcBorders>
            <w:shd w:val="clear" w:color="auto" w:fill="DEDEDE"/>
          </w:tcPr>
          <w:p>
            <w:pPr>
              <w:spacing w:after="0"/>
              <w:rPr>
                <w:sz w:val="18"/>
                <w:szCs w:val="18"/>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13,429,665</w:t>
            </w:r>
          </w:p>
        </w:tc>
        <w:tc>
          <w:tcPr>
            <w:tcW w:w="240" w:type="dxa"/>
            <w:vAlign w:val="bottom"/>
            <w:shd w:val="clear" w:color="auto" w:fill="DEDEDE"/>
          </w:tcPr>
          <w:p>
            <w:pPr>
              <w:spacing w:after="0"/>
              <w:rPr>
                <w:sz w:val="18"/>
                <w:szCs w:val="18"/>
                <w:color w:val="auto"/>
              </w:rPr>
            </w:pPr>
          </w:p>
        </w:tc>
        <w:tc>
          <w:tcPr>
            <w:tcW w:w="480" w:type="dxa"/>
            <w:vAlign w:val="bottom"/>
            <w:tcBorders>
              <w:bottom w:val="single" w:sz="8" w:color="auto"/>
            </w:tcBorders>
            <w:shd w:val="clear" w:color="auto" w:fill="DEDEDE"/>
          </w:tcPr>
          <w:p>
            <w:pPr>
              <w:spacing w:after="0"/>
              <w:rPr>
                <w:sz w:val="18"/>
                <w:szCs w:val="18"/>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9,761,216</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21,138,853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20,061,762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Basis difference in property, equipment and real estate</w:t>
            </w:r>
          </w:p>
        </w:tc>
        <w:tc>
          <w:tcPr>
            <w:tcW w:w="8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8,700,097</w:t>
            </w: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8,973,198</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1,492,929</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1,596,529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Deferred gains</w:t>
            </w:r>
          </w:p>
        </w:tc>
        <w:tc>
          <w:tcPr>
            <w:tcW w:w="8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1,042,235</w:t>
            </w: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1,365,803</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Trusts</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1,064,387</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Intangibles</w:t>
            </w:r>
          </w:p>
        </w:tc>
        <w:tc>
          <w:tcPr>
            <w:tcW w:w="8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848,497</w:t>
            </w:r>
          </w:p>
        </w:tc>
        <w:tc>
          <w:tcPr>
            <w:tcW w:w="24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717,336</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917,003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534,311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Tax on unrealized appreciaton</w:t>
            </w:r>
          </w:p>
        </w:tc>
        <w:tc>
          <w:tcPr>
            <w:tcW w:w="840" w:type="dxa"/>
            <w:vAlign w:val="bottom"/>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3,629,375</w:t>
            </w:r>
          </w:p>
        </w:tc>
        <w:tc>
          <w:tcPr>
            <w:tcW w:w="240" w:type="dxa"/>
            <w:vAlign w:val="bottom"/>
            <w:shd w:val="clear" w:color="auto" w:fill="DEDEDE"/>
          </w:tcPr>
          <w:p>
            <w:pPr>
              <w:spacing w:after="0"/>
              <w:rPr>
                <w:sz w:val="19"/>
                <w:szCs w:val="19"/>
                <w:color w:val="auto"/>
              </w:rPr>
            </w:pPr>
          </w:p>
        </w:tc>
        <w:tc>
          <w:tcPr>
            <w:tcW w:w="480" w:type="dxa"/>
            <w:vAlign w:val="bottom"/>
            <w:tcBorders>
              <w:bottom w:val="single" w:sz="8" w:color="auto"/>
            </w:tcBorders>
            <w:shd w:val="clear" w:color="auto" w:fill="DEDEDE"/>
          </w:tcPr>
          <w:p>
            <w:pPr>
              <w:spacing w:after="0"/>
              <w:rPr>
                <w:sz w:val="19"/>
                <w:szCs w:val="19"/>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713,577</w:t>
            </w:r>
          </w:p>
        </w:tc>
        <w:tc>
          <w:tcPr>
            <w:tcW w:w="8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40" w:type="dxa"/>
            <w:vAlign w:val="bottom"/>
            <w:tcBorders>
              <w:bottom w:val="single" w:sz="8" w:color="DEDEDE"/>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38,833,376</w:t>
            </w:r>
          </w:p>
        </w:tc>
        <w:tc>
          <w:tcPr>
            <w:tcW w:w="240" w:type="dxa"/>
            <w:vAlign w:val="bottom"/>
            <w:tcBorders>
              <w:bottom w:val="single" w:sz="8" w:color="DEDEDE"/>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35,026,903</w:t>
            </w:r>
          </w:p>
        </w:tc>
        <w:tc>
          <w:tcPr>
            <w:tcW w:w="80" w:type="dxa"/>
            <w:vAlign w:val="bottom"/>
            <w:tcBorders>
              <w:bottom w:val="single" w:sz="8" w:color="DEDED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840" w:type="dxa"/>
            <w:vAlign w:val="bottom"/>
            <w:tcBorders>
              <w:bottom w:val="single" w:sz="8" w:color="DEDEDE"/>
            </w:tcBorders>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25,403,711</w:t>
            </w:r>
          </w:p>
        </w:tc>
        <w:tc>
          <w:tcPr>
            <w:tcW w:w="240" w:type="dxa"/>
            <w:vAlign w:val="bottom"/>
            <w:tcBorders>
              <w:bottom w:val="single" w:sz="8" w:color="DEDEDE"/>
            </w:tcBorders>
            <w:shd w:val="clear" w:color="auto" w:fill="DEDEDE"/>
          </w:tcPr>
          <w:p>
            <w:pPr>
              <w:spacing w:after="0"/>
              <w:rPr>
                <w:sz w:val="19"/>
                <w:szCs w:val="19"/>
                <w:color w:val="auto"/>
              </w:rPr>
            </w:pPr>
          </w:p>
        </w:tc>
        <w:tc>
          <w:tcPr>
            <w:tcW w:w="480" w:type="dxa"/>
            <w:vAlign w:val="bottom"/>
            <w:tcBorders>
              <w:bottom w:val="single" w:sz="8" w:color="auto"/>
            </w:tcBorders>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25,265,687</w:t>
            </w:r>
          </w:p>
        </w:tc>
        <w:tc>
          <w:tcPr>
            <w:tcW w:w="80" w:type="dxa"/>
            <w:vAlign w:val="bottom"/>
            <w:tcBorders>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84</w:t>
      </w:r>
    </w:p>
    <w:p>
      <w:pPr>
        <w:sectPr>
          <w:pgSz w:w="12240" w:h="15840" w:orient="portrait"/>
          <w:cols w:equalWidth="0" w:num="1">
            <w:col w:w="11222"/>
          </w:cols>
          <w:pgMar w:left="498" w:top="687" w:right="520" w:bottom="0" w:gutter="0" w:footer="0" w:header="0"/>
        </w:sectPr>
      </w:pPr>
    </w:p>
    <w:bookmarkStart w:id="112" w:name="page113"/>
    <w:bookmarkEnd w:id="112"/>
    <w:p>
      <w:pPr>
        <w:jc w:val="center"/>
        <w:ind w:right="20"/>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w:t>
            </w: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(Continued)</w:t>
            </w: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Company’s income tax expense is summarized as follows:</w:t>
            </w: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Borders>
              <w:bottom w:val="single" w:sz="8" w:color="DEDEDE"/>
            </w:tcBorders>
          </w:tcPr>
          <w:p>
            <w:pPr>
              <w:spacing w:after="0"/>
              <w:rPr>
                <w:sz w:val="19"/>
                <w:szCs w:val="19"/>
                <w:color w:val="auto"/>
              </w:rPr>
            </w:pPr>
          </w:p>
        </w:tc>
        <w:tc>
          <w:tcPr>
            <w:tcW w:w="1000" w:type="dxa"/>
            <w:vAlign w:val="bottom"/>
            <w:tcBorders>
              <w:bottom w:val="single" w:sz="8" w:color="DEDEDE"/>
            </w:tcBorders>
          </w:tcPr>
          <w:p>
            <w:pPr>
              <w:spacing w:after="0"/>
              <w:rPr>
                <w:sz w:val="19"/>
                <w:szCs w:val="19"/>
                <w:color w:val="auto"/>
              </w:rPr>
            </w:pPr>
          </w:p>
        </w:tc>
        <w:tc>
          <w:tcPr>
            <w:tcW w:w="3420" w:type="dxa"/>
            <w:vAlign w:val="bottom"/>
            <w:tcBorders>
              <w:bottom w:val="single" w:sz="8" w:color="DEDEDE"/>
            </w:tcBorders>
          </w:tcPr>
          <w:p>
            <w:pPr>
              <w:spacing w:after="0"/>
              <w:rPr>
                <w:sz w:val="19"/>
                <w:szCs w:val="19"/>
                <w:color w:val="auto"/>
              </w:rPr>
            </w:pPr>
          </w:p>
        </w:tc>
        <w:tc>
          <w:tcPr>
            <w:tcW w:w="52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Current</w:t>
            </w:r>
          </w:p>
        </w:tc>
        <w:tc>
          <w:tcPr>
            <w:tcW w:w="1000" w:type="dxa"/>
            <w:vAlign w:val="bottom"/>
            <w:shd w:val="clear" w:color="auto" w:fill="DEDEDE"/>
          </w:tcPr>
          <w:p>
            <w:pPr>
              <w:spacing w:after="0"/>
              <w:rPr>
                <w:sz w:val="18"/>
                <w:szCs w:val="18"/>
                <w:color w:val="auto"/>
              </w:rPr>
            </w:pPr>
          </w:p>
        </w:tc>
        <w:tc>
          <w:tcPr>
            <w:tcW w:w="3420" w:type="dxa"/>
            <w:vAlign w:val="bottom"/>
            <w:shd w:val="clear" w:color="auto" w:fill="DEDEDE"/>
          </w:tcPr>
          <w:p>
            <w:pPr>
              <w:spacing w:after="0"/>
              <w:rPr>
                <w:sz w:val="18"/>
                <w:szCs w:val="18"/>
                <w:color w:val="auto"/>
              </w:rPr>
            </w:pPr>
          </w:p>
        </w:tc>
        <w:tc>
          <w:tcPr>
            <w:tcW w:w="5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46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8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7,683,833</w:t>
            </w:r>
          </w:p>
        </w:tc>
        <w:tc>
          <w:tcPr>
            <w:tcW w:w="240" w:type="dxa"/>
            <w:vAlign w:val="bottom"/>
          </w:tcPr>
          <w:p>
            <w:pPr>
              <w:spacing w:after="0"/>
              <w:rPr>
                <w:sz w:val="18"/>
                <w:szCs w:val="18"/>
                <w:color w:val="auto"/>
              </w:rPr>
            </w:pPr>
          </w:p>
        </w:tc>
        <w:tc>
          <w:tcPr>
            <w:tcW w:w="480" w:type="dxa"/>
            <w:vAlign w:val="bottom"/>
            <w:gridSpan w:val="2"/>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shd w:val="clear" w:color="auto" w:fill="DEDEDE"/>
          </w:tcPr>
          <w:p>
            <w:pPr>
              <w:spacing w:after="0"/>
              <w:rPr>
                <w:sz w:val="19"/>
                <w:szCs w:val="19"/>
                <w:color w:val="auto"/>
              </w:rPr>
            </w:pPr>
          </w:p>
        </w:tc>
        <w:tc>
          <w:tcPr>
            <w:tcW w:w="3420" w:type="dxa"/>
            <w:vAlign w:val="bottom"/>
            <w:shd w:val="clear" w:color="auto" w:fill="DEDEDE"/>
          </w:tcPr>
          <w:p>
            <w:pPr>
              <w:spacing w:after="0"/>
              <w:rPr>
                <w:sz w:val="19"/>
                <w:szCs w:val="19"/>
                <w:color w:val="auto"/>
              </w:rPr>
            </w:pPr>
          </w:p>
        </w:tc>
        <w:tc>
          <w:tcPr>
            <w:tcW w:w="520" w:type="dxa"/>
            <w:vAlign w:val="bottom"/>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119,260</w:t>
            </w:r>
          </w:p>
        </w:tc>
        <w:tc>
          <w:tcPr>
            <w:tcW w:w="240" w:type="dxa"/>
            <w:vAlign w:val="bottom"/>
            <w:shd w:val="clear" w:color="auto" w:fill="DEDEDE"/>
          </w:tcPr>
          <w:p>
            <w:pPr>
              <w:spacing w:after="0"/>
              <w:rPr>
                <w:sz w:val="19"/>
                <w:szCs w:val="19"/>
                <w:color w:val="auto"/>
              </w:rPr>
            </w:pPr>
          </w:p>
        </w:tc>
        <w:tc>
          <w:tcPr>
            <w:tcW w:w="20" w:type="dxa"/>
            <w:vAlign w:val="bottom"/>
            <w:shd w:val="clear" w:color="auto" w:fill="DEDEDE"/>
          </w:tcPr>
          <w:p>
            <w:pPr>
              <w:spacing w:after="0"/>
              <w:rPr>
                <w:sz w:val="19"/>
                <w:szCs w:val="19"/>
                <w:color w:val="auto"/>
              </w:rPr>
            </w:pPr>
          </w:p>
        </w:tc>
        <w:tc>
          <w:tcPr>
            <w:tcW w:w="460" w:type="dxa"/>
            <w:vAlign w:val="bottom"/>
            <w:tcBorders>
              <w:bottom w:val="single" w:sz="8" w:color="auto"/>
            </w:tcBorders>
            <w:shd w:val="clear" w:color="auto" w:fill="DEDEDE"/>
          </w:tcPr>
          <w:p>
            <w:pPr>
              <w:spacing w:after="0"/>
              <w:rPr>
                <w:sz w:val="19"/>
                <w:szCs w:val="19"/>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73,654</w:t>
            </w:r>
          </w:p>
        </w:tc>
        <w:tc>
          <w:tcPr>
            <w:tcW w:w="8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7,803,093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7,256,031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3420" w:type="dxa"/>
            <w:vAlign w:val="bottom"/>
            <w:shd w:val="clear" w:color="auto" w:fill="DEDEDE"/>
          </w:tcPr>
          <w:p>
            <w:pPr>
              <w:spacing w:after="0"/>
              <w:rPr>
                <w:sz w:val="18"/>
                <w:szCs w:val="18"/>
                <w:color w:val="auto"/>
              </w:rPr>
            </w:pPr>
          </w:p>
        </w:tc>
        <w:tc>
          <w:tcPr>
            <w:tcW w:w="5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46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w w:val="93"/>
              </w:rPr>
              <w:t>Deferred</w:t>
            </w:r>
          </w:p>
        </w:tc>
        <w:tc>
          <w:tcPr>
            <w:tcW w:w="10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5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1,391,114</w:t>
            </w:r>
          </w:p>
        </w:tc>
        <w:tc>
          <w:tcPr>
            <w:tcW w:w="2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46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876,424</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0" w:type="dxa"/>
            <w:vAlign w:val="bottom"/>
            <w:tcBorders>
              <w:bottom w:val="single" w:sz="8" w:color="DEDEDE"/>
            </w:tcBorders>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1000" w:type="dxa"/>
            <w:vAlign w:val="bottom"/>
            <w:tcBorders>
              <w:bottom w:val="single" w:sz="8" w:color="DEDEDE"/>
            </w:tcBorders>
          </w:tcPr>
          <w:p>
            <w:pPr>
              <w:spacing w:after="0"/>
              <w:rPr>
                <w:sz w:val="19"/>
                <w:szCs w:val="19"/>
                <w:color w:val="auto"/>
              </w:rPr>
            </w:pPr>
          </w:p>
        </w:tc>
        <w:tc>
          <w:tcPr>
            <w:tcW w:w="3420" w:type="dxa"/>
            <w:vAlign w:val="bottom"/>
            <w:tcBorders>
              <w:bottom w:val="single" w:sz="8" w:color="DEDEDE"/>
            </w:tcBorders>
          </w:tcPr>
          <w:p>
            <w:pPr>
              <w:spacing w:after="0"/>
              <w:rPr>
                <w:sz w:val="19"/>
                <w:szCs w:val="19"/>
                <w:color w:val="auto"/>
              </w:rPr>
            </w:pPr>
          </w:p>
        </w:tc>
        <w:tc>
          <w:tcPr>
            <w:tcW w:w="520" w:type="dxa"/>
            <w:vAlign w:val="bottom"/>
            <w:tcBorders>
              <w:bottom w:val="single" w:sz="8" w:color="DEDED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63,067</w:t>
            </w:r>
          </w:p>
        </w:tc>
        <w:tc>
          <w:tcPr>
            <w:tcW w:w="240" w:type="dxa"/>
            <w:vAlign w:val="bottom"/>
            <w:tcBorders>
              <w:bottom w:val="single" w:sz="8" w:color="DEDEDE"/>
            </w:tcBorders>
          </w:tcPr>
          <w:p>
            <w:pPr>
              <w:spacing w:after="0"/>
              <w:rPr>
                <w:sz w:val="19"/>
                <w:szCs w:val="19"/>
                <w:color w:val="auto"/>
              </w:rPr>
            </w:pPr>
          </w:p>
        </w:tc>
        <w:tc>
          <w:tcPr>
            <w:tcW w:w="20" w:type="dxa"/>
            <w:vAlign w:val="bottom"/>
            <w:tcBorders>
              <w:bottom w:val="single" w:sz="8" w:color="DEDEDE"/>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122,273</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3420" w:type="dxa"/>
            <w:vAlign w:val="bottom"/>
            <w:shd w:val="clear" w:color="auto" w:fill="DEDEDE"/>
          </w:tcPr>
          <w:p>
            <w:pPr>
              <w:spacing w:after="0"/>
              <w:rPr>
                <w:sz w:val="18"/>
                <w:szCs w:val="18"/>
                <w:color w:val="auto"/>
              </w:rPr>
            </w:pPr>
          </w:p>
        </w:tc>
        <w:tc>
          <w:tcPr>
            <w:tcW w:w="520" w:type="dxa"/>
            <w:vAlign w:val="bottom"/>
            <w:shd w:val="clear" w:color="auto" w:fill="DEDEDE"/>
          </w:tcPr>
          <w:p>
            <w:pPr>
              <w:spacing w:after="0"/>
              <w:rPr>
                <w:sz w:val="18"/>
                <w:szCs w:val="18"/>
                <w:color w:val="auto"/>
              </w:rPr>
            </w:pPr>
          </w:p>
        </w:tc>
        <w:tc>
          <w:tcPr>
            <w:tcW w:w="340" w:type="dxa"/>
            <w:vAlign w:val="bottom"/>
            <w:tcBorders>
              <w:bottom w:val="single" w:sz="8" w:color="auto"/>
            </w:tcBorders>
            <w:shd w:val="clear" w:color="auto" w:fill="DEDEDE"/>
          </w:tcPr>
          <w:p>
            <w:pPr>
              <w:spacing w:after="0"/>
              <w:rPr>
                <w:sz w:val="18"/>
                <w:szCs w:val="18"/>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1,454,181</w:t>
            </w:r>
          </w:p>
        </w:tc>
        <w:tc>
          <w:tcPr>
            <w:tcW w:w="24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460" w:type="dxa"/>
            <w:vAlign w:val="bottom"/>
            <w:tcBorders>
              <w:bottom w:val="single" w:sz="8" w:color="auto"/>
            </w:tcBorders>
            <w:shd w:val="clear" w:color="auto" w:fill="DEDEDE"/>
          </w:tcPr>
          <w:p>
            <w:pPr>
              <w:spacing w:after="0"/>
              <w:rPr>
                <w:sz w:val="18"/>
                <w:szCs w:val="18"/>
                <w:color w:val="auto"/>
              </w:rPr>
            </w:pP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998,697</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9,257,274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8,254,728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rate reconciliation between income tax expense (benefit) and the statutory expectations.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December 31, 2025</w:t>
            </w: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4"/>
          </w:tcPr>
          <w:p>
            <w:pPr>
              <w:jc w:val="right"/>
              <w:ind w:right="99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4260" w:type="dxa"/>
            <w:vAlign w:val="bottom"/>
            <w:tcBorders>
              <w:bottom w:val="single" w:sz="8" w:color="DEDEDE"/>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c>
          <w:tcPr>
            <w:tcW w:w="340" w:type="dxa"/>
            <w:vAlign w:val="bottom"/>
            <w:tcBorders>
              <w:top w:val="single" w:sz="8" w:color="auto"/>
              <w:bottom w:val="single" w:sz="8" w:color="DEDEDE"/>
            </w:tcBorders>
          </w:tcPr>
          <w:p>
            <w:pPr>
              <w:spacing w:after="0"/>
              <w:rPr>
                <w:sz w:val="19"/>
                <w:szCs w:val="19"/>
                <w:color w:val="auto"/>
              </w:rPr>
            </w:pPr>
          </w:p>
        </w:tc>
        <w:tc>
          <w:tcPr>
            <w:tcW w:w="106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Percent</w:t>
            </w:r>
          </w:p>
        </w:tc>
        <w:tc>
          <w:tcPr>
            <w:tcW w:w="38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DEDEDE"/>
            </w:tcBorders>
          </w:tcPr>
          <w:p>
            <w:pPr>
              <w:spacing w:after="0"/>
              <w:rPr>
                <w:sz w:val="19"/>
                <w:szCs w:val="19"/>
                <w:color w:val="auto"/>
              </w:rPr>
            </w:pPr>
          </w:p>
        </w:tc>
        <w:tc>
          <w:tcPr>
            <w:tcW w:w="120" w:type="dxa"/>
            <w:vAlign w:val="bottom"/>
            <w:tcBorders>
              <w:bottom w:val="single" w:sz="8" w:color="DEDEDE"/>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Amount</w:t>
            </w:r>
          </w:p>
        </w:tc>
        <w:tc>
          <w:tcPr>
            <w:tcW w:w="320" w:type="dxa"/>
            <w:vAlign w:val="bottom"/>
            <w:tcBorders>
              <w:top w:val="single" w:sz="8" w:color="auto"/>
              <w:bottom w:val="single" w:sz="8" w:color="DEDEDE"/>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Percent</w:t>
            </w:r>
          </w:p>
        </w:tc>
        <w:tc>
          <w:tcPr>
            <w:tcW w:w="180" w:type="dxa"/>
            <w:vAlign w:val="bottom"/>
            <w:tcBorders>
              <w:bottom w:val="single" w:sz="8" w:color="DEDEDE"/>
            </w:tcBorders>
          </w:tcPr>
          <w:p>
            <w:pPr>
              <w:spacing w:after="0"/>
              <w:rPr>
                <w:sz w:val="19"/>
                <w:szCs w:val="19"/>
                <w:color w:val="auto"/>
              </w:rPr>
            </w:pPr>
          </w:p>
        </w:tc>
      </w:tr>
      <w:tr>
        <w:trPr>
          <w:trHeight w:val="210"/>
        </w:trPr>
        <w:tc>
          <w:tcPr>
            <w:tcW w:w="42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260" w:type="dxa"/>
            <w:vAlign w:val="bottom"/>
            <w:shd w:val="clear" w:color="auto" w:fill="DEDED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8,696,017</w:t>
            </w:r>
          </w:p>
        </w:tc>
        <w:tc>
          <w:tcPr>
            <w:tcW w:w="34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640" w:type="dxa"/>
            <w:vAlign w:val="bottom"/>
            <w:gridSpan w:val="2"/>
            <w:shd w:val="clear" w:color="auto" w:fill="DEDEDE"/>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DEDEDE"/>
          </w:tcPr>
          <w:p>
            <w:pPr>
              <w:spacing w:after="0"/>
              <w:rPr>
                <w:sz w:val="18"/>
                <w:szCs w:val="18"/>
                <w:color w:val="auto"/>
              </w:rPr>
            </w:pPr>
          </w:p>
        </w:tc>
        <w:tc>
          <w:tcPr>
            <w:tcW w:w="260" w:type="dxa"/>
            <w:vAlign w:val="bottom"/>
            <w:shd w:val="clear" w:color="auto" w:fill="DEDED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7,848,518</w:t>
            </w:r>
          </w:p>
        </w:tc>
        <w:tc>
          <w:tcPr>
            <w:tcW w:w="320" w:type="dxa"/>
            <w:vAlign w:val="bottom"/>
            <w:shd w:val="clear" w:color="auto" w:fill="DEDEDE"/>
          </w:tcPr>
          <w:p>
            <w:pPr>
              <w:spacing w:after="0"/>
              <w:rPr>
                <w:sz w:val="18"/>
                <w:szCs w:val="18"/>
                <w:color w:val="auto"/>
              </w:rPr>
            </w:pPr>
          </w:p>
        </w:tc>
        <w:tc>
          <w:tcPr>
            <w:tcW w:w="16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196"/>
        </w:trPr>
        <w:tc>
          <w:tcPr>
            <w:tcW w:w="4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State and local tax expense, net of federal income tax</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5"/>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effect (1)</w:t>
            </w: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144,038</w:t>
            </w: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154,782</w:t>
            </w:r>
          </w:p>
        </w:tc>
        <w:tc>
          <w:tcPr>
            <w:tcW w:w="3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17"/>
        </w:trPr>
        <w:tc>
          <w:tcPr>
            <w:tcW w:w="42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60" w:type="dxa"/>
            <w:vAlign w:val="bottom"/>
            <w:shd w:val="clear" w:color="auto" w:fill="DEDEDE"/>
          </w:tcPr>
          <w:p>
            <w:pPr>
              <w:spacing w:after="0"/>
              <w:rPr>
                <w:sz w:val="18"/>
                <w:szCs w:val="18"/>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392,641</w:t>
            </w:r>
          </w:p>
        </w:tc>
        <w:tc>
          <w:tcPr>
            <w:tcW w:w="34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640" w:type="dxa"/>
            <w:vAlign w:val="bottom"/>
            <w:gridSpan w:val="2"/>
            <w:shd w:val="clear" w:color="auto" w:fill="DEDEDE"/>
          </w:tcPr>
          <w:p>
            <w:pPr>
              <w:jc w:val="right"/>
              <w:ind w:right="3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1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224,851</w:t>
            </w:r>
          </w:p>
        </w:tc>
        <w:tc>
          <w:tcPr>
            <w:tcW w:w="320" w:type="dxa"/>
            <w:vAlign w:val="bottom"/>
            <w:shd w:val="clear" w:color="auto" w:fill="DEDEDE"/>
          </w:tcPr>
          <w:p>
            <w:pPr>
              <w:spacing w:after="0"/>
              <w:rPr>
                <w:sz w:val="18"/>
                <w:szCs w:val="18"/>
                <w:color w:val="auto"/>
              </w:rPr>
            </w:pPr>
          </w:p>
        </w:tc>
        <w:tc>
          <w:tcPr>
            <w:tcW w:w="16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3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24,578</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26,577</w:t>
            </w:r>
          </w:p>
        </w:tc>
        <w:tc>
          <w:tcPr>
            <w:tcW w:w="32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426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60" w:type="dxa"/>
            <w:vAlign w:val="bottom"/>
            <w:tcBorders>
              <w:top w:val="single" w:sz="8" w:color="auto"/>
              <w:bottom w:val="single" w:sz="8" w:color="auto"/>
            </w:tcBorders>
            <w:shd w:val="clear" w:color="auto" w:fill="DEDED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9,257,274</w:t>
            </w:r>
          </w:p>
        </w:tc>
        <w:tc>
          <w:tcPr>
            <w:tcW w:w="340" w:type="dxa"/>
            <w:vAlign w:val="bottom"/>
            <w:tcBorders>
              <w:top w:val="single" w:sz="8" w:color="DEDEDE"/>
              <w:bottom w:val="single" w:sz="8" w:color="DEDEDE"/>
            </w:tcBorders>
            <w:shd w:val="clear" w:color="auto" w:fill="DEDEDE"/>
          </w:tcPr>
          <w:p>
            <w:pPr>
              <w:spacing w:after="0"/>
              <w:rPr>
                <w:sz w:val="19"/>
                <w:szCs w:val="19"/>
                <w:color w:val="auto"/>
              </w:rPr>
            </w:pPr>
          </w:p>
        </w:tc>
        <w:tc>
          <w:tcPr>
            <w:tcW w:w="1060" w:type="dxa"/>
            <w:vAlign w:val="bottom"/>
            <w:tcBorders>
              <w:top w:val="single" w:sz="8" w:color="auto"/>
              <w:bottom w:val="single" w:sz="8" w:color="auto"/>
            </w:tcBorders>
            <w:shd w:val="clear" w:color="auto" w:fill="DEDEDE"/>
          </w:tcPr>
          <w:p>
            <w:pPr>
              <w:spacing w:after="0"/>
              <w:rPr>
                <w:sz w:val="19"/>
                <w:szCs w:val="19"/>
                <w:color w:val="auto"/>
              </w:rPr>
            </w:pPr>
          </w:p>
        </w:tc>
        <w:tc>
          <w:tcPr>
            <w:tcW w:w="3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60" w:type="dxa"/>
            <w:vAlign w:val="bottom"/>
            <w:tcBorders>
              <w:top w:val="single" w:sz="8" w:color="DEDEDE"/>
              <w:bottom w:val="single" w:sz="8" w:color="DEDEDE"/>
            </w:tcBorders>
            <w:shd w:val="clear" w:color="auto" w:fill="DEDEDE"/>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260" w:type="dxa"/>
            <w:vAlign w:val="bottom"/>
            <w:tcBorders>
              <w:top w:val="single" w:sz="8" w:color="auto"/>
              <w:bottom w:val="single" w:sz="8" w:color="auto"/>
            </w:tcBorders>
            <w:shd w:val="clear" w:color="auto" w:fill="DEDED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8,254,728</w:t>
            </w: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14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Borders>
              <w:top w:val="single" w:sz="8" w:color="DEDEDE"/>
              <w:bottom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140970</wp:posOffset>
                </wp:positionV>
                <wp:extent cx="1782445"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244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499pt,11.1pt" to="140.3pt,11.1pt" o:allowincell="f" strokecolor="#000000" strokeweight="0.675pt"/>
            </w:pict>
          </mc:Fallback>
        </mc:AlternateConten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State taxes in Texas and Utah made up the majority (greater than 50%) of the tax effect in this category.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overall effective tax rate for 2025 and 2024 was 22.4% and 22.1% respectively. The Company’s effective tax rates differ from the U.S. federal statutory rate of 21% partially due to its provision for state income taxes. The increase in the effective tax rate when compared to the prior year was partially due to an increase in non-deductible items.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no significant unrecognized tax benefits. As of December 31, 2025, the Company does not expect any material changes to the estimated amount of unrecognized tax benefits in the next twelve months. Federal and state income tax returns for 2022 through 2025 are subject to examination by taxing authorities.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Operating Losses and Tax Credit Carryforwards: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of Expiration</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2920" w:type="dxa"/>
            <w:vAlign w:val="bottom"/>
            <w:tcBorders>
              <w:top w:val="single" w:sz="8" w:color="auto"/>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top w:val="single" w:sz="8" w:color="DEDEDE"/>
            </w:tcBorders>
            <w:shd w:val="clear" w:color="auto" w:fill="DEDEDE"/>
          </w:tcPr>
          <w:p>
            <w:pPr>
              <w:spacing w:after="0"/>
              <w:rPr>
                <w:sz w:val="18"/>
                <w:szCs w:val="18"/>
                <w:color w:val="auto"/>
              </w:rPr>
            </w:pPr>
          </w:p>
        </w:tc>
        <w:tc>
          <w:tcPr>
            <w:tcW w:w="460" w:type="dxa"/>
            <w:vAlign w:val="bottom"/>
            <w:tcBorders>
              <w:top w:val="single" w:sz="8" w:color="DEDEDE"/>
            </w:tcBorders>
            <w:shd w:val="clear" w:color="auto" w:fill="DEDEDE"/>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DEDEDE"/>
            </w:tcBorders>
            <w:gridSpan w:val="3"/>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2028</w:t>
            </w:r>
          </w:p>
        </w:tc>
        <w:tc>
          <w:tcPr>
            <w:tcW w:w="80" w:type="dxa"/>
            <w:vAlign w:val="bottom"/>
            <w:shd w:val="clear" w:color="auto" w:fill="DEDEDE"/>
          </w:tcPr>
          <w:p>
            <w:pPr>
              <w:spacing w:after="0"/>
              <w:rPr>
                <w:sz w:val="18"/>
                <w:szCs w:val="18"/>
                <w:color w:val="auto"/>
              </w:rPr>
            </w:pPr>
          </w:p>
        </w:tc>
        <w:tc>
          <w:tcPr>
            <w:tcW w:w="460" w:type="dxa"/>
            <w:vAlign w:val="bottom"/>
            <w:shd w:val="clear" w:color="auto" w:fill="DEDEDE"/>
          </w:tcPr>
          <w:p>
            <w:pPr>
              <w:spacing w:after="0"/>
              <w:rPr>
                <w:sz w:val="18"/>
                <w:szCs w:val="18"/>
                <w:color w:val="auto"/>
              </w:rPr>
            </w:pPr>
          </w:p>
        </w:tc>
        <w:tc>
          <w:tcPr>
            <w:tcW w:w="1020" w:type="dxa"/>
            <w:vAlign w:val="bottom"/>
            <w:gridSpan w:val="3"/>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DEDEDE"/>
          </w:tcPr>
          <w:p>
            <w:pPr>
              <w:spacing w:after="0"/>
              <w:rPr>
                <w:sz w:val="18"/>
                <w:szCs w:val="18"/>
                <w:color w:val="auto"/>
              </w:rPr>
            </w:pPr>
          </w:p>
        </w:tc>
        <w:tc>
          <w:tcPr>
            <w:tcW w:w="460" w:type="dxa"/>
            <w:vAlign w:val="bottom"/>
            <w:shd w:val="clear" w:color="auto" w:fill="DEDEDE"/>
          </w:tcPr>
          <w:p>
            <w:pPr>
              <w:spacing w:after="0"/>
              <w:rPr>
                <w:sz w:val="18"/>
                <w:szCs w:val="18"/>
                <w:color w:val="auto"/>
              </w:rPr>
            </w:pPr>
          </w:p>
        </w:tc>
        <w:tc>
          <w:tcPr>
            <w:tcW w:w="1020" w:type="dxa"/>
            <w:vAlign w:val="bottom"/>
            <w:gridSpan w:val="3"/>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 up through 2037</w:t>
            </w:r>
          </w:p>
        </w:tc>
        <w:tc>
          <w:tcPr>
            <w:tcW w:w="4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568,300</w:t>
            </w:r>
          </w:p>
        </w:tc>
        <w:tc>
          <w:tcPr>
            <w:tcW w:w="40" w:type="dxa"/>
            <w:vAlign w:val="bottom"/>
          </w:tcPr>
          <w:p>
            <w:pPr>
              <w:spacing w:after="0"/>
              <w:rPr>
                <w:sz w:val="18"/>
                <w:szCs w:val="18"/>
                <w:color w:val="auto"/>
              </w:rPr>
            </w:pPr>
          </w:p>
        </w:tc>
      </w:tr>
      <w:tr>
        <w:trPr>
          <w:trHeight w:val="230"/>
        </w:trPr>
        <w:tc>
          <w:tcPr>
            <w:tcW w:w="3000" w:type="dxa"/>
            <w:vAlign w:val="bottom"/>
            <w:gridSpan w:val="2"/>
            <w:shd w:val="clear" w:color="auto" w:fill="DEDEDE"/>
          </w:tcPr>
          <w:p>
            <w:pPr>
              <w:spacing w:after="0"/>
              <w:rPr>
                <w:sz w:val="20"/>
                <w:szCs w:val="20"/>
                <w:color w:val="auto"/>
              </w:rPr>
            </w:pPr>
            <w:r>
              <w:rPr>
                <w:rFonts w:ascii="Times New Roman" w:cs="Times New Roman" w:eastAsia="Times New Roman" w:hAnsi="Times New Roman"/>
                <w:sz w:val="18"/>
                <w:szCs w:val="18"/>
                <w:color w:val="auto"/>
              </w:rPr>
              <w:t>Indefinite carryforwards</w:t>
            </w:r>
          </w:p>
        </w:tc>
        <w:tc>
          <w:tcPr>
            <w:tcW w:w="460" w:type="dxa"/>
            <w:vAlign w:val="bottom"/>
            <w:shd w:val="clear" w:color="auto" w:fill="DEDEDE"/>
          </w:tcPr>
          <w:p>
            <w:pPr>
              <w:spacing w:after="0"/>
              <w:rPr>
                <w:sz w:val="19"/>
                <w:szCs w:val="19"/>
                <w:color w:val="auto"/>
              </w:rPr>
            </w:pPr>
          </w:p>
        </w:tc>
        <w:tc>
          <w:tcPr>
            <w:tcW w:w="1020" w:type="dxa"/>
            <w:vAlign w:val="bottom"/>
            <w:gridSpan w:val="3"/>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568,300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2240" w:h="15840" w:orient="portrait"/>
          <w:cols w:equalWidth="0" w:num="1">
            <w:col w:w="11240"/>
          </w:cols>
          <w:pgMar w:left="500" w:top="687" w:right="500" w:bottom="0" w:gutter="0" w:footer="0" w:header="0"/>
        </w:sectPr>
      </w:pPr>
    </w:p>
    <w:bookmarkStart w:id="113" w:name="page114"/>
    <w:bookmarkEnd w:id="113"/>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Capital Stock</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has one class of preferred stock of $1.00 par value, 5,000,000 shares authorized, of which none are issued. The preferred stock is non-voting.</w:t>
      </w:r>
    </w:p>
    <w:p>
      <w:pPr>
        <w:spacing w:after="0" w:line="225"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Company has two classes of common stock with shares outstanding, Class A common shares and Class C common shares. Class C shares have 10 votes per share on all matters except for the election of one third of the directors who are elected solely by the Class A shares. Class C shares are convertible into Class A shares at any time on a one-to-one ratio.</w:t>
      </w:r>
    </w:p>
    <w:p>
      <w:pPr>
        <w:spacing w:after="0" w:line="176"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Stockholders of both Class A and Class C Common Stock have received 5% stock dividends in the years 1990 through 2019, a 7.5% stock dividend in the year 2020, and a 5% stock dividend in the years 2021 through 2025, as authorized by the Company’s Board of Directors.</w:t>
      </w:r>
    </w:p>
    <w:p>
      <w:pPr>
        <w:spacing w:after="0" w:line="160"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Company has Class B common stock of $1.00 par value, 5,000,000 shares authorized, of which none are issued. Class B shares are non-voting stock except to any proposed amendment to the Articles of Incorporation which would affect Class B common stock.</w:t>
      </w:r>
    </w:p>
    <w:p>
      <w:pPr>
        <w:sectPr>
          <w:pgSz w:w="12240" w:h="15840" w:orient="portrait"/>
          <w:cols w:equalWidth="0" w:num="1">
            <w:col w:w="11242"/>
          </w:cols>
          <w:pgMar w:left="498" w:top="687" w:right="500" w:bottom="0" w:gutter="0" w:footer="0" w:header="0"/>
        </w:sectPr>
      </w:pP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The following table summarizes the activity in shares of capital stock.</w:t>
      </w:r>
    </w:p>
    <w:p>
      <w:pPr>
        <w:spacing w:after="0" w:line="200" w:lineRule="exact"/>
        <w:rPr>
          <w:sz w:val="20"/>
          <w:szCs w:val="20"/>
          <w:color w:val="auto"/>
        </w:rPr>
      </w:pPr>
    </w:p>
    <w:p>
      <w:pPr>
        <w:spacing w:after="0" w:line="26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Outstanding shares at December 31, 2023 (1)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-118110</wp:posOffset>
                </wp:positionV>
                <wp:extent cx="5700395" cy="161925"/>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00395" cy="161925"/>
                        </a:xfrm>
                        <a:prstGeom prst="rect">
                          <a:avLst/>
                        </a:prstGeom>
                        <a:solidFill>
                          <a:srgbClr val="DEDEDE"/>
                        </a:solidFill>
                      </wps:spPr>
                      <wps:bodyPr/>
                    </wps:wsp>
                  </a:graphicData>
                </a:graphic>
              </wp:anchor>
            </w:drawing>
          </mc:Choice>
          <mc:Fallback>
            <w:pict>
              <v:rect id="Shape 176" o:spid="_x0000_s1201" style="position:absolute;margin-left:0pt;margin-top:-9.2999pt;width:448.8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272"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color w:val="auto"/>
        </w:rPr>
        <w:t>Exercise of stock options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-118110</wp:posOffset>
                </wp:positionV>
                <wp:extent cx="5700395" cy="136525"/>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00395" cy="136525"/>
                        </a:xfrm>
                        <a:prstGeom prst="rect">
                          <a:avLst/>
                        </a:prstGeom>
                        <a:solidFill>
                          <a:srgbClr val="DEDEDE"/>
                        </a:solidFill>
                      </wps:spPr>
                      <wps:bodyPr/>
                    </wps:wsp>
                  </a:graphicData>
                </a:graphic>
              </wp:anchor>
            </w:drawing>
          </mc:Choice>
          <mc:Fallback>
            <w:pict>
              <v:rect id="Shape 177" o:spid="_x0000_s1202" style="position:absolute;margin-left:0pt;margin-top:-9.2999pt;width:448.8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left="182"/>
        <w:spacing w:after="0"/>
        <w:rPr>
          <w:sz w:val="20"/>
          <w:szCs w:val="20"/>
          <w:color w:val="auto"/>
        </w:rPr>
      </w:pPr>
      <w:r>
        <w:rPr>
          <w:rFonts w:ascii="Times New Roman" w:cs="Times New Roman" w:eastAsia="Times New Roman" w:hAnsi="Times New Roman"/>
          <w:sz w:val="18"/>
          <w:szCs w:val="18"/>
          <w:color w:val="auto"/>
        </w:rPr>
        <w:t>Vesting of restricted stock units</w:t>
      </w:r>
    </w:p>
    <w:p>
      <w:pPr>
        <w:spacing w:after="0" w:line="9"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color w:val="auto"/>
        </w:rPr>
        <w:t>Conversion of Class C to Class 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-118110</wp:posOffset>
                </wp:positionV>
                <wp:extent cx="5700395" cy="14478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00395" cy="144780"/>
                        </a:xfrm>
                        <a:prstGeom prst="rect">
                          <a:avLst/>
                        </a:prstGeom>
                        <a:solidFill>
                          <a:srgbClr val="DEDEDE"/>
                        </a:solidFill>
                      </wps:spPr>
                      <wps:bodyPr/>
                    </wps:wsp>
                  </a:graphicData>
                </a:graphic>
              </wp:anchor>
            </w:drawing>
          </mc:Choice>
          <mc:Fallback>
            <w:pict>
              <v:rect id="Shape 178" o:spid="_x0000_s1203" style="position:absolute;margin-left:0pt;margin-top:-9.2999pt;width:448.85pt;height:11.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23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Outstanding shares at December 31, 2024 (1)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-118110</wp:posOffset>
                </wp:positionV>
                <wp:extent cx="5700395" cy="161925"/>
                <wp:wrapNone/>
                <wp:docPr id="179" name="Shape 1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00395" cy="161925"/>
                        </a:xfrm>
                        <a:prstGeom prst="rect">
                          <a:avLst/>
                        </a:prstGeom>
                        <a:solidFill>
                          <a:srgbClr val="DEDEDE"/>
                        </a:solidFill>
                      </wps:spPr>
                      <wps:bodyPr/>
                    </wps:wsp>
                  </a:graphicData>
                </a:graphic>
              </wp:anchor>
            </w:drawing>
          </mc:Choice>
          <mc:Fallback>
            <w:pict>
              <v:rect id="Shape 179" o:spid="_x0000_s1204" style="position:absolute;margin-left:0pt;margin-top:-9.2999pt;width:448.85pt;height:12.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272"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color w:val="auto"/>
        </w:rPr>
        <w:t>Exercise of stock options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-118110</wp:posOffset>
                </wp:positionV>
                <wp:extent cx="5700395" cy="136525"/>
                <wp:wrapNone/>
                <wp:docPr id="180" name="Shape 1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00395" cy="136525"/>
                        </a:xfrm>
                        <a:prstGeom prst="rect">
                          <a:avLst/>
                        </a:prstGeom>
                        <a:solidFill>
                          <a:srgbClr val="DEDEDE"/>
                        </a:solidFill>
                      </wps:spPr>
                      <wps:bodyPr/>
                    </wps:wsp>
                  </a:graphicData>
                </a:graphic>
              </wp:anchor>
            </w:drawing>
          </mc:Choice>
          <mc:Fallback>
            <w:pict>
              <v:rect id="Shape 180" o:spid="_x0000_s1205" style="position:absolute;margin-left:0pt;margin-top:-9.2999pt;width:448.8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left="182"/>
        <w:spacing w:after="0"/>
        <w:rPr>
          <w:sz w:val="20"/>
          <w:szCs w:val="20"/>
          <w:color w:val="auto"/>
        </w:rPr>
      </w:pPr>
      <w:r>
        <w:rPr>
          <w:rFonts w:ascii="Times New Roman" w:cs="Times New Roman" w:eastAsia="Times New Roman" w:hAnsi="Times New Roman"/>
          <w:sz w:val="18"/>
          <w:szCs w:val="18"/>
          <w:color w:val="auto"/>
        </w:rPr>
        <w:t>Vesting of restricted stock units</w:t>
      </w:r>
    </w:p>
    <w:p>
      <w:pPr>
        <w:spacing w:after="0" w:line="9"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color w:val="auto"/>
        </w:rPr>
        <w:t>Conversion of Class C to Class 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-118110</wp:posOffset>
                </wp:positionV>
                <wp:extent cx="5700395" cy="145415"/>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00395" cy="145415"/>
                        </a:xfrm>
                        <a:prstGeom prst="rect">
                          <a:avLst/>
                        </a:prstGeom>
                        <a:solidFill>
                          <a:srgbClr val="DEDEDE"/>
                        </a:solidFill>
                      </wps:spPr>
                      <wps:bodyPr/>
                    </wps:wsp>
                  </a:graphicData>
                </a:graphic>
              </wp:anchor>
            </w:drawing>
          </mc:Choice>
          <mc:Fallback>
            <w:pict>
              <v:rect id="Shape 181" o:spid="_x0000_s1206" style="position:absolute;margin-left:0pt;margin-top:-9.2999pt;width:448.85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23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Outstanding shares at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-118110</wp:posOffset>
                </wp:positionV>
                <wp:extent cx="5700395" cy="16256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00395" cy="162560"/>
                        </a:xfrm>
                        <a:prstGeom prst="rect">
                          <a:avLst/>
                        </a:prstGeom>
                        <a:solidFill>
                          <a:srgbClr val="DEDEDE"/>
                        </a:solidFill>
                      </wps:spPr>
                      <wps:bodyPr/>
                    </wps:wsp>
                  </a:graphicData>
                </a:graphic>
              </wp:anchor>
            </w:drawing>
          </mc:Choice>
          <mc:Fallback>
            <w:pict>
              <v:rect id="Shape 182" o:spid="_x0000_s1207" style="position:absolute;margin-left:0pt;margin-top:-9.2999pt;width:448.85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203200</wp:posOffset>
                </wp:positionV>
                <wp:extent cx="1783080"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6pt" to="140.4pt,16pt" o:allowincell="f" strokecolor="#000000" strokeweight="0.675pt"/>
            </w:pict>
          </mc:Fallback>
        </mc:AlternateContent>
      </w:r>
    </w:p>
    <w:p>
      <w:pPr>
        <w:spacing w:after="0" w:line="30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(1)  Adjusted retroactively for the effect of annual stock 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6"/>
        </w:trPr>
        <w:tc>
          <w:tcPr>
            <w:tcW w:w="18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Class A</w:t>
            </w:r>
          </w:p>
        </w:tc>
        <w:tc>
          <w:tcPr>
            <w:tcW w:w="15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Class C</w:t>
            </w:r>
          </w:p>
        </w:tc>
      </w:tr>
      <w:tr>
        <w:trPr>
          <w:trHeight w:val="223"/>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22,119,436</w:t>
            </w:r>
          </w:p>
        </w:tc>
        <w:tc>
          <w:tcPr>
            <w:tcW w:w="26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3,291,273</w:t>
            </w:r>
          </w:p>
        </w:tc>
        <w:tc>
          <w:tcPr>
            <w:tcW w:w="60" w:type="dxa"/>
            <w:vAlign w:val="bottom"/>
          </w:tcPr>
          <w:p>
            <w:pPr>
              <w:spacing w:after="0"/>
              <w:rPr>
                <w:sz w:val="19"/>
                <w:szCs w:val="19"/>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2"/>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200,072</w:t>
            </w:r>
          </w:p>
        </w:tc>
        <w:tc>
          <w:tcPr>
            <w:tcW w:w="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201,667</w:t>
            </w:r>
          </w:p>
        </w:tc>
        <w:tc>
          <w:tcPr>
            <w:tcW w:w="60" w:type="dxa"/>
            <w:vAlign w:val="bottom"/>
          </w:tcPr>
          <w:p>
            <w:pPr>
              <w:spacing w:after="0"/>
              <w:rPr>
                <w:sz w:val="24"/>
                <w:szCs w:val="24"/>
                <w:color w:val="auto"/>
              </w:rPr>
            </w:pP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26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6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452"/>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22,321,559</w:t>
            </w:r>
          </w:p>
        </w:tc>
        <w:tc>
          <w:tcPr>
            <w:tcW w:w="260" w:type="dxa"/>
            <w:vAlign w:val="bottom"/>
          </w:tcPr>
          <w:p>
            <w:pPr>
              <w:spacing w:after="0"/>
              <w:rPr>
                <w:sz w:val="24"/>
                <w:szCs w:val="2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3,492,674</w:t>
            </w:r>
          </w:p>
        </w:tc>
        <w:tc>
          <w:tcPr>
            <w:tcW w:w="60" w:type="dxa"/>
            <w:vAlign w:val="bottom"/>
          </w:tcPr>
          <w:p>
            <w:pPr>
              <w:spacing w:after="0"/>
              <w:rPr>
                <w:sz w:val="24"/>
                <w:szCs w:val="24"/>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2"/>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96,566</w:t>
            </w:r>
          </w:p>
        </w:tc>
        <w:tc>
          <w:tcPr>
            <w:tcW w:w="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95,337</w:t>
            </w:r>
          </w:p>
        </w:tc>
        <w:tc>
          <w:tcPr>
            <w:tcW w:w="60" w:type="dxa"/>
            <w:vAlign w:val="bottom"/>
          </w:tcPr>
          <w:p>
            <w:pPr>
              <w:spacing w:after="0"/>
              <w:rPr>
                <w:sz w:val="24"/>
                <w:szCs w:val="24"/>
                <w:color w:val="auto"/>
              </w:rPr>
            </w:pPr>
          </w:p>
        </w:tc>
      </w:tr>
      <w:tr>
        <w:trPr>
          <w:trHeight w:val="216"/>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9,726</w:t>
            </w:r>
          </w:p>
        </w:tc>
        <w:tc>
          <w:tcPr>
            <w:tcW w:w="260" w:type="dxa"/>
            <w:vAlign w:val="bottom"/>
          </w:tcPr>
          <w:p>
            <w:pPr>
              <w:spacing w:after="0"/>
              <w:rPr>
                <w:sz w:val="18"/>
                <w:szCs w:val="18"/>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6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452"/>
        </w:trPr>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22,428,625</w:t>
            </w:r>
          </w:p>
        </w:tc>
        <w:tc>
          <w:tcPr>
            <w:tcW w:w="260" w:type="dxa"/>
            <w:vAlign w:val="bottom"/>
          </w:tcPr>
          <w:p>
            <w:pPr>
              <w:spacing w:after="0"/>
              <w:rPr>
                <w:sz w:val="24"/>
                <w:szCs w:val="24"/>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3,587,237</w:t>
            </w:r>
          </w:p>
        </w:tc>
        <w:tc>
          <w:tcPr>
            <w:tcW w:w="60" w:type="dxa"/>
            <w:vAlign w:val="bottom"/>
          </w:tcPr>
          <w:p>
            <w:pPr>
              <w:spacing w:after="0"/>
              <w:rPr>
                <w:sz w:val="24"/>
                <w:szCs w:val="24"/>
                <w:color w:val="auto"/>
              </w:rPr>
            </w:pPr>
          </w:p>
        </w:tc>
      </w:tr>
      <w:tr>
        <w:trPr>
          <w:trHeight w:val="20"/>
        </w:trPr>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30" w:lineRule="exact"/>
        <w:rPr>
          <w:sz w:val="20"/>
          <w:szCs w:val="20"/>
          <w:color w:val="auto"/>
        </w:rPr>
      </w:pPr>
    </w:p>
    <w:p>
      <w:pPr>
        <w:sectPr>
          <w:pgSz w:w="12240" w:h="15840" w:orient="portrait"/>
          <w:cols w:equalWidth="0" w:num="2">
            <w:col w:w="5042" w:space="540"/>
            <w:col w:w="5660"/>
          </w:cols>
          <w:pgMar w:left="498" w:top="687" w:right="5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86</w:t>
      </w:r>
    </w:p>
    <w:p>
      <w:pPr>
        <w:sectPr>
          <w:pgSz w:w="12240" w:h="15840" w:orient="portrait"/>
          <w:cols w:equalWidth="0" w:num="1">
            <w:col w:w="11242"/>
          </w:cols>
          <w:pgMar w:left="498" w:top="687" w:right="500" w:bottom="0" w:gutter="0" w:footer="0" w:header="0"/>
          <w:type w:val="continuous"/>
        </w:sectPr>
      </w:pPr>
    </w:p>
    <w:bookmarkStart w:id="114" w:name="page115"/>
    <w:bookmarkEnd w:id="114"/>
    <w:p>
      <w:pPr>
        <w:jc w:val="center"/>
        <w:ind w:right="-92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92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92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92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(Continued)</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Refer to Note 1 regarding the adoption of ASU 2018-12.</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summarizes the changes in accumulated other comprehensive income (loss):</w:t>
      </w:r>
    </w:p>
    <w:p>
      <w:pPr>
        <w:spacing w:after="0" w:line="238"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Unrealized gains on fixed maturity securities available for sale</w:t>
            </w:r>
          </w:p>
        </w:tc>
        <w:tc>
          <w:tcPr>
            <w:tcW w:w="460" w:type="dxa"/>
            <w:vAlign w:val="bottom"/>
            <w:gridSpan w:val="2"/>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10,258,631</w:t>
            </w:r>
          </w:p>
        </w:tc>
        <w:tc>
          <w:tcPr>
            <w:tcW w:w="140" w:type="dxa"/>
            <w:vAlign w:val="bottom"/>
            <w:shd w:val="clear" w:color="auto" w:fill="DEDEDE"/>
          </w:tcPr>
          <w:p>
            <w:pPr>
              <w:spacing w:after="0"/>
              <w:rPr>
                <w:sz w:val="18"/>
                <w:szCs w:val="18"/>
                <w:color w:val="auto"/>
              </w:rPr>
            </w:pPr>
          </w:p>
        </w:tc>
        <w:tc>
          <w:tcPr>
            <w:tcW w:w="580" w:type="dxa"/>
            <w:vAlign w:val="bottom"/>
            <w:gridSpan w:val="2"/>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145,520</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Amounts reclassified into net earnings</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(257,606)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(156,562)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Net unrealized gains (losses) before taxes</w:t>
            </w:r>
          </w:p>
        </w:tc>
        <w:tc>
          <w:tcPr>
            <w:tcW w:w="120" w:type="dxa"/>
            <w:vAlign w:val="bottom"/>
            <w:tcBorders>
              <w:top w:val="single" w:sz="8" w:color="DEDEDE"/>
            </w:tcBorders>
            <w:shd w:val="clear" w:color="auto" w:fill="DEDEDE"/>
          </w:tcPr>
          <w:p>
            <w:pPr>
              <w:spacing w:after="0"/>
              <w:rPr>
                <w:sz w:val="18"/>
                <w:szCs w:val="18"/>
                <w:color w:val="auto"/>
              </w:rPr>
            </w:pPr>
          </w:p>
        </w:tc>
        <w:tc>
          <w:tcPr>
            <w:tcW w:w="340" w:type="dxa"/>
            <w:vAlign w:val="bottom"/>
            <w:tcBorders>
              <w:top w:val="single" w:sz="8" w:color="auto"/>
            </w:tcBorders>
            <w:shd w:val="clear" w:color="auto" w:fill="DEDEDE"/>
          </w:tcPr>
          <w:p>
            <w:pPr>
              <w:spacing w:after="0"/>
              <w:rPr>
                <w:sz w:val="18"/>
                <w:szCs w:val="18"/>
                <w:color w:val="auto"/>
              </w:rPr>
            </w:pPr>
          </w:p>
        </w:tc>
        <w:tc>
          <w:tcPr>
            <w:tcW w:w="12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10,001,025</w:t>
            </w:r>
          </w:p>
        </w:tc>
        <w:tc>
          <w:tcPr>
            <w:tcW w:w="1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480" w:type="dxa"/>
            <w:vAlign w:val="bottom"/>
            <w:tcBorders>
              <w:top w:val="single" w:sz="8" w:color="auto"/>
            </w:tcBorders>
            <w:shd w:val="clear" w:color="auto" w:fill="DEDEDE"/>
          </w:tcPr>
          <w:p>
            <w:pPr>
              <w:spacing w:after="0"/>
              <w:rPr>
                <w:sz w:val="18"/>
                <w:szCs w:val="18"/>
                <w:color w:val="auto"/>
              </w:rPr>
            </w:pPr>
          </w:p>
        </w:tc>
        <w:tc>
          <w:tcPr>
            <w:tcW w:w="10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(11,042)</w:t>
            </w:r>
          </w:p>
        </w:tc>
        <w:tc>
          <w:tcPr>
            <w:tcW w:w="8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(2,101,090)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Borders>
              <w:top w:val="single" w:sz="8" w:color="DEDEDE"/>
            </w:tcBorders>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Borders>
              <w:top w:val="single" w:sz="8" w:color="DEDEDE"/>
            </w:tcBorders>
            <w:shd w:val="clear" w:color="auto" w:fill="DEDEDE"/>
          </w:tcPr>
          <w:p>
            <w:pPr>
              <w:spacing w:after="0"/>
              <w:rPr>
                <w:sz w:val="18"/>
                <w:szCs w:val="18"/>
                <w:color w:val="auto"/>
              </w:rPr>
            </w:pPr>
          </w:p>
        </w:tc>
        <w:tc>
          <w:tcPr>
            <w:tcW w:w="340" w:type="dxa"/>
            <w:vAlign w:val="bottom"/>
            <w:tcBorders>
              <w:top w:val="single" w:sz="8" w:color="auto"/>
              <w:bottom w:val="single" w:sz="8" w:color="auto"/>
            </w:tcBorders>
            <w:shd w:val="clear" w:color="auto" w:fill="DEDEDE"/>
          </w:tcPr>
          <w:p>
            <w:pPr>
              <w:spacing w:after="0"/>
              <w:rPr>
                <w:sz w:val="18"/>
                <w:szCs w:val="18"/>
                <w:color w:val="auto"/>
              </w:rPr>
            </w:pP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7,899,935</w:t>
            </w:r>
          </w:p>
        </w:tc>
        <w:tc>
          <w:tcPr>
            <w:tcW w:w="1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480" w:type="dxa"/>
            <w:vAlign w:val="bottom"/>
            <w:tcBorders>
              <w:top w:val="single" w:sz="8" w:color="auto"/>
              <w:bottom w:val="single" w:sz="8" w:color="auto"/>
            </w:tcBorders>
            <w:shd w:val="clear" w:color="auto" w:fill="DEDEDE"/>
          </w:tcPr>
          <w:p>
            <w:pPr>
              <w:spacing w:after="0"/>
              <w:rPr>
                <w:sz w:val="18"/>
                <w:szCs w:val="18"/>
                <w:color w:val="auto"/>
              </w:rPr>
            </w:pP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(11,419</w:t>
            </w:r>
          </w:p>
        </w:tc>
        <w:tc>
          <w:tcPr>
            <w:tcW w:w="80" w:type="dxa"/>
            <w:vAlign w:val="bottom"/>
            <w:tcBorders>
              <w:top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on restricted assets (1)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Tax expense</w:t>
            </w:r>
          </w:p>
        </w:tc>
        <w:tc>
          <w:tcPr>
            <w:tcW w:w="120" w:type="dxa"/>
            <w:vAlign w:val="bottom"/>
            <w:shd w:val="clear" w:color="auto" w:fill="DEDEDE"/>
          </w:tcPr>
          <w:p>
            <w:pPr>
              <w:spacing w:after="0"/>
              <w:rPr>
                <w:sz w:val="19"/>
                <w:szCs w:val="19"/>
                <w:color w:val="auto"/>
              </w:rPr>
            </w:pPr>
          </w:p>
        </w:tc>
        <w:tc>
          <w:tcPr>
            <w:tcW w:w="340" w:type="dxa"/>
            <w:vAlign w:val="bottom"/>
            <w:shd w:val="clear" w:color="auto" w:fill="DEDEDE"/>
          </w:tcPr>
          <w:p>
            <w:pPr>
              <w:spacing w:after="0"/>
              <w:rPr>
                <w:sz w:val="19"/>
                <w:szCs w:val="19"/>
                <w:color w:val="auto"/>
              </w:rPr>
            </w:pPr>
          </w:p>
        </w:tc>
        <w:tc>
          <w:tcPr>
            <w:tcW w:w="1340" w:type="dxa"/>
            <w:vAlign w:val="bottom"/>
            <w:gridSpan w:val="2"/>
            <w:shd w:val="clear" w:color="auto" w:fill="DEDEDE"/>
          </w:tcPr>
          <w:p>
            <w:pPr>
              <w:jc w:val="right"/>
              <w:ind w:right="1"/>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shd w:val="clear" w:color="auto" w:fill="DEDEDE"/>
          </w:tcPr>
          <w:p>
            <w:pPr>
              <w:spacing w:after="0"/>
              <w:rPr>
                <w:sz w:val="19"/>
                <w:szCs w:val="19"/>
                <w:color w:val="auto"/>
              </w:rPr>
            </w:pPr>
          </w:p>
        </w:tc>
        <w:tc>
          <w:tcPr>
            <w:tcW w:w="480" w:type="dxa"/>
            <w:vAlign w:val="bottom"/>
            <w:shd w:val="clear" w:color="auto" w:fill="DEDEDE"/>
          </w:tcPr>
          <w:p>
            <w:pPr>
              <w:spacing w:after="0"/>
              <w:rPr>
                <w:sz w:val="19"/>
                <w:szCs w:val="19"/>
                <w:color w:val="auto"/>
              </w:rPr>
            </w:pPr>
          </w:p>
        </w:tc>
        <w:tc>
          <w:tcPr>
            <w:tcW w:w="11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DEDEDE"/>
            </w:tcBorders>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Borders>
              <w:bottom w:val="single" w:sz="8" w:color="DEDED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40" w:type="dxa"/>
            <w:vAlign w:val="bottom"/>
            <w:tcBorders>
              <w:bottom w:val="single" w:sz="8" w:color="DEDEDE"/>
            </w:tcBorders>
          </w:tcPr>
          <w:p>
            <w:pPr>
              <w:spacing w:after="0"/>
              <w:rPr>
                <w:sz w:val="18"/>
                <w:szCs w:val="18"/>
                <w:color w:val="auto"/>
              </w:rPr>
            </w:pPr>
          </w:p>
        </w:tc>
        <w:tc>
          <w:tcPr>
            <w:tcW w:w="100" w:type="dxa"/>
            <w:vAlign w:val="bottom"/>
            <w:tcBorders>
              <w:bottom w:val="single" w:sz="8" w:color="DEDEDE"/>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tcBorders>
              <w:bottom w:val="single" w:sz="8" w:color="DEDE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Unrealized gains (losses) on cemetery perpetual care trust investments (1)</w:t>
            </w:r>
          </w:p>
        </w:tc>
        <w:tc>
          <w:tcPr>
            <w:tcW w:w="1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4,811</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480" w:type="dxa"/>
            <w:vAlign w:val="bottom"/>
            <w:shd w:val="clear" w:color="auto" w:fill="DEDEDE"/>
          </w:tcPr>
          <w:p>
            <w:pPr>
              <w:spacing w:after="0"/>
              <w:rPr>
                <w:sz w:val="18"/>
                <w:szCs w:val="18"/>
                <w:color w:val="auto"/>
              </w:rPr>
            </w:pP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Tax benefit (expense)</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DEDEDE"/>
            </w:tcBorders>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Borders>
              <w:top w:val="single" w:sz="8" w:color="DEDEDE"/>
            </w:tcBorders>
            <w:shd w:val="clear" w:color="auto" w:fill="DEDEDE"/>
          </w:tcPr>
          <w:p>
            <w:pPr>
              <w:spacing w:after="0"/>
              <w:rPr>
                <w:sz w:val="18"/>
                <w:szCs w:val="18"/>
                <w:color w:val="auto"/>
              </w:rPr>
            </w:pPr>
          </w:p>
        </w:tc>
        <w:tc>
          <w:tcPr>
            <w:tcW w:w="340" w:type="dxa"/>
            <w:vAlign w:val="bottom"/>
            <w:tcBorders>
              <w:top w:val="single" w:sz="8" w:color="auto"/>
              <w:bottom w:val="single" w:sz="8" w:color="auto"/>
            </w:tcBorders>
            <w:shd w:val="clear" w:color="auto" w:fill="DEDEDE"/>
          </w:tcPr>
          <w:p>
            <w:pPr>
              <w:spacing w:after="0"/>
              <w:rPr>
                <w:sz w:val="18"/>
                <w:szCs w:val="18"/>
                <w:color w:val="auto"/>
              </w:rPr>
            </w:pPr>
          </w:p>
        </w:tc>
        <w:tc>
          <w:tcPr>
            <w:tcW w:w="120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DEDEDE"/>
            </w:tcBorders>
            <w:shd w:val="clear" w:color="auto" w:fill="DEDEDE"/>
          </w:tcPr>
          <w:p>
            <w:pPr>
              <w:spacing w:after="0"/>
              <w:rPr>
                <w:sz w:val="18"/>
                <w:szCs w:val="18"/>
                <w:color w:val="auto"/>
              </w:rPr>
            </w:pPr>
          </w:p>
        </w:tc>
        <w:tc>
          <w:tcPr>
            <w:tcW w:w="480" w:type="dxa"/>
            <w:vAlign w:val="bottom"/>
            <w:tcBorders>
              <w:top w:val="single" w:sz="8" w:color="auto"/>
              <w:bottom w:val="single" w:sz="8" w:color="auto"/>
            </w:tcBorders>
            <w:shd w:val="clear" w:color="auto" w:fill="DEDEDE"/>
          </w:tcPr>
          <w:p>
            <w:pPr>
              <w:spacing w:after="0"/>
              <w:rPr>
                <w:sz w:val="18"/>
                <w:szCs w:val="18"/>
                <w:color w:val="auto"/>
              </w:rPr>
            </w:pPr>
          </w:p>
        </w:tc>
        <w:tc>
          <w:tcPr>
            <w:tcW w:w="10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(1,053</w:t>
            </w:r>
          </w:p>
        </w:tc>
        <w:tc>
          <w:tcPr>
            <w:tcW w:w="80" w:type="dxa"/>
            <w:vAlign w:val="bottom"/>
            <w:tcBorders>
              <w:top w:val="single" w:sz="8" w:color="DEDEDE"/>
            </w:tcBorders>
            <w:shd w:val="clear" w:color="auto" w:fill="DEDED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remeasurement of future policy benefits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(16,285,885)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44,966,236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Tax benefit (expense)</w:t>
            </w:r>
          </w:p>
        </w:tc>
        <w:tc>
          <w:tcPr>
            <w:tcW w:w="120" w:type="dxa"/>
            <w:vAlign w:val="bottom"/>
            <w:shd w:val="clear" w:color="auto" w:fill="DEDEDE"/>
          </w:tcPr>
          <w:p>
            <w:pPr>
              <w:spacing w:after="0"/>
              <w:rPr>
                <w:sz w:val="19"/>
                <w:szCs w:val="19"/>
                <w:color w:val="auto"/>
              </w:rPr>
            </w:pPr>
          </w:p>
        </w:tc>
        <w:tc>
          <w:tcPr>
            <w:tcW w:w="340" w:type="dxa"/>
            <w:vAlign w:val="bottom"/>
            <w:shd w:val="clear" w:color="auto" w:fill="DEDEDE"/>
          </w:tcPr>
          <w:p>
            <w:pPr>
              <w:spacing w:after="0"/>
              <w:rPr>
                <w:sz w:val="19"/>
                <w:szCs w:val="19"/>
                <w:color w:val="auto"/>
              </w:rPr>
            </w:pPr>
          </w:p>
        </w:tc>
        <w:tc>
          <w:tcPr>
            <w:tcW w:w="12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3,420,037</w:t>
            </w:r>
          </w:p>
        </w:tc>
        <w:tc>
          <w:tcPr>
            <w:tcW w:w="14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480" w:type="dxa"/>
            <w:vAlign w:val="bottom"/>
            <w:shd w:val="clear" w:color="auto" w:fill="DEDEDE"/>
          </w:tcPr>
          <w:p>
            <w:pPr>
              <w:spacing w:after="0"/>
              <w:rPr>
                <w:sz w:val="19"/>
                <w:szCs w:val="19"/>
                <w:color w:val="auto"/>
              </w:rPr>
            </w:pPr>
          </w:p>
        </w:tc>
        <w:tc>
          <w:tcPr>
            <w:tcW w:w="11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(9,442,910)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DEDEDE"/>
            </w:tcBorders>
          </w:tcPr>
          <w:p>
            <w:pPr>
              <w:ind w:left="160"/>
              <w:spacing w:after="0"/>
              <w:rPr>
                <w:sz w:val="20"/>
                <w:szCs w:val="20"/>
                <w:color w:val="auto"/>
              </w:rPr>
            </w:pPr>
            <w:r>
              <w:rPr>
                <w:rFonts w:ascii="Times New Roman" w:cs="Times New Roman" w:eastAsia="Times New Roman" w:hAnsi="Times New Roman"/>
                <w:sz w:val="18"/>
                <w:szCs w:val="18"/>
                <w:color w:val="auto"/>
              </w:rPr>
              <w:t>Net</w:t>
            </w:r>
          </w:p>
        </w:tc>
        <w:tc>
          <w:tcPr>
            <w:tcW w:w="120" w:type="dxa"/>
            <w:vAlign w:val="bottom"/>
            <w:tcBorders>
              <w:bottom w:val="single" w:sz="8" w:color="DEDEDE"/>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(12,865,848</w:t>
            </w:r>
          </w:p>
        </w:tc>
        <w:tc>
          <w:tcPr>
            <w:tcW w:w="140" w:type="dxa"/>
            <w:vAlign w:val="bottom"/>
            <w:tcBorders>
              <w:bottom w:val="single" w:sz="8" w:color="DEDEDE"/>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DEDEDE"/>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35,523,326</w:t>
            </w:r>
          </w:p>
        </w:tc>
        <w:tc>
          <w:tcPr>
            <w:tcW w:w="80" w:type="dxa"/>
            <w:vAlign w:val="bottom"/>
            <w:tcBorders>
              <w:bottom w:val="single" w:sz="8" w:color="DEDED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Other comprehensive income (loss) changes</w:t>
            </w:r>
          </w:p>
        </w:tc>
        <w:tc>
          <w:tcPr>
            <w:tcW w:w="120" w:type="dxa"/>
            <w:vAlign w:val="bottom"/>
            <w:tcBorders>
              <w:bottom w:val="single" w:sz="8" w:color="DEDEDE"/>
            </w:tcBorders>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(4,957,506</w:t>
            </w:r>
          </w:p>
        </w:tc>
        <w:tc>
          <w:tcPr>
            <w:tcW w:w="140" w:type="dxa"/>
            <w:vAlign w:val="bottom"/>
            <w:tcBorders>
              <w:bottom w:val="single" w:sz="8" w:color="DEDEDE"/>
            </w:tcBorders>
            <w:shd w:val="clear" w:color="auto" w:fill="DEDEDE"/>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DEDEDE"/>
            </w:tcBorders>
            <w:shd w:val="clear" w:color="auto" w:fill="DEDEDE"/>
          </w:tcPr>
          <w:p>
            <w:pPr>
              <w:spacing w:after="0"/>
              <w:rPr>
                <w:sz w:val="19"/>
                <w:szCs w:val="19"/>
                <w:color w:val="auto"/>
              </w:rPr>
            </w:pPr>
          </w:p>
        </w:tc>
        <w:tc>
          <w:tcPr>
            <w:tcW w:w="480" w:type="dxa"/>
            <w:vAlign w:val="bottom"/>
            <w:tcBorders>
              <w:bottom w:val="single" w:sz="8" w:color="auto"/>
            </w:tcBorders>
            <w:shd w:val="clear" w:color="auto" w:fill="DEDEDE"/>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35,511,485</w:t>
            </w:r>
          </w:p>
        </w:tc>
        <w:tc>
          <w:tcPr>
            <w:tcW w:w="80" w:type="dxa"/>
            <w:vAlign w:val="bottom"/>
            <w:tcBorders>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is the accumulated balances of other comprehensive income (loss) as of December 31, 2025:</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Beginning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Ending</w:t>
            </w: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16"/>
        </w:trPr>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December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Change for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December</w:t>
            </w:r>
          </w:p>
        </w:tc>
      </w:tr>
      <w:tr>
        <w:trPr>
          <w:trHeight w:val="235"/>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31, 2024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31, 2025</w:t>
            </w:r>
          </w:p>
        </w:tc>
        <w:tc>
          <w:tcPr>
            <w:tcW w:w="80" w:type="dxa"/>
            <w:vAlign w:val="bottom"/>
          </w:tcPr>
          <w:p>
            <w:pPr>
              <w:spacing w:after="0"/>
              <w:rPr>
                <w:sz w:val="20"/>
                <w:szCs w:val="20"/>
                <w:color w:val="auto"/>
              </w:rPr>
            </w:pPr>
          </w:p>
        </w:tc>
      </w:tr>
      <w:tr>
        <w:trPr>
          <w:trHeight w:val="176"/>
        </w:trPr>
        <w:tc>
          <w:tcPr>
            <w:tcW w:w="4760" w:type="dxa"/>
            <w:vAlign w:val="bottom"/>
            <w:tcBorders>
              <w:top w:val="single" w:sz="8" w:color="DEDEDE"/>
            </w:tcBorders>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rPr>
              <w:t>Unrealized gains (losses) on fixed maturity securities available</w:t>
            </w:r>
          </w:p>
        </w:tc>
        <w:tc>
          <w:tcPr>
            <w:tcW w:w="100" w:type="dxa"/>
            <w:vAlign w:val="bottom"/>
            <w:tcBorders>
              <w:top w:val="single" w:sz="8" w:color="DEDEDE"/>
            </w:tcBorders>
            <w:shd w:val="clear" w:color="auto" w:fill="DEDEDE"/>
          </w:tcPr>
          <w:p>
            <w:pPr>
              <w:spacing w:after="0"/>
              <w:rPr>
                <w:sz w:val="15"/>
                <w:szCs w:val="15"/>
                <w:color w:val="auto"/>
              </w:rPr>
            </w:pPr>
          </w:p>
        </w:tc>
        <w:tc>
          <w:tcPr>
            <w:tcW w:w="160" w:type="dxa"/>
            <w:vAlign w:val="bottom"/>
            <w:tcBorders>
              <w:top w:val="single" w:sz="8" w:color="auto"/>
            </w:tcBorders>
            <w:shd w:val="clear" w:color="auto" w:fill="DEDEDE"/>
          </w:tcPr>
          <w:p>
            <w:pPr>
              <w:spacing w:after="0"/>
              <w:rPr>
                <w:sz w:val="15"/>
                <w:szCs w:val="15"/>
                <w:color w:val="auto"/>
              </w:rPr>
            </w:pPr>
          </w:p>
        </w:tc>
        <w:tc>
          <w:tcPr>
            <w:tcW w:w="1020" w:type="dxa"/>
            <w:vAlign w:val="bottom"/>
            <w:tcBorders>
              <w:top w:val="single" w:sz="8" w:color="auto"/>
            </w:tcBorders>
            <w:shd w:val="clear" w:color="auto" w:fill="DEDEDE"/>
          </w:tcPr>
          <w:p>
            <w:pPr>
              <w:spacing w:after="0"/>
              <w:rPr>
                <w:sz w:val="15"/>
                <w:szCs w:val="15"/>
                <w:color w:val="auto"/>
              </w:rPr>
            </w:pPr>
          </w:p>
        </w:tc>
        <w:tc>
          <w:tcPr>
            <w:tcW w:w="180" w:type="dxa"/>
            <w:vAlign w:val="bottom"/>
            <w:tcBorders>
              <w:top w:val="single" w:sz="8" w:color="DEDEDE"/>
            </w:tcBorders>
            <w:shd w:val="clear" w:color="auto" w:fill="DEDEDE"/>
          </w:tcPr>
          <w:p>
            <w:pPr>
              <w:spacing w:after="0"/>
              <w:rPr>
                <w:sz w:val="15"/>
                <w:szCs w:val="15"/>
                <w:color w:val="auto"/>
              </w:rPr>
            </w:pPr>
          </w:p>
        </w:tc>
        <w:tc>
          <w:tcPr>
            <w:tcW w:w="10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auto"/>
            </w:tcBorders>
            <w:shd w:val="clear" w:color="auto" w:fill="DEDEDE"/>
          </w:tcPr>
          <w:p>
            <w:pPr>
              <w:spacing w:after="0"/>
              <w:rPr>
                <w:sz w:val="15"/>
                <w:szCs w:val="15"/>
                <w:color w:val="auto"/>
              </w:rPr>
            </w:pPr>
          </w:p>
        </w:tc>
        <w:tc>
          <w:tcPr>
            <w:tcW w:w="1020" w:type="dxa"/>
            <w:vAlign w:val="bottom"/>
            <w:tcBorders>
              <w:top w:val="single" w:sz="8" w:color="auto"/>
            </w:tcBorders>
            <w:shd w:val="clear" w:color="auto" w:fill="DEDEDE"/>
          </w:tcPr>
          <w:p>
            <w:pPr>
              <w:spacing w:after="0"/>
              <w:rPr>
                <w:sz w:val="15"/>
                <w:szCs w:val="15"/>
                <w:color w:val="auto"/>
              </w:rPr>
            </w:pPr>
          </w:p>
        </w:tc>
        <w:tc>
          <w:tcPr>
            <w:tcW w:w="160" w:type="dxa"/>
            <w:vAlign w:val="bottom"/>
            <w:tcBorders>
              <w:top w:val="single" w:sz="8" w:color="DEDEDE"/>
            </w:tcBorders>
            <w:shd w:val="clear" w:color="auto" w:fill="DEDEDE"/>
          </w:tcPr>
          <w:p>
            <w:pPr>
              <w:spacing w:after="0"/>
              <w:rPr>
                <w:sz w:val="15"/>
                <w:szCs w:val="15"/>
                <w:color w:val="auto"/>
              </w:rPr>
            </w:pPr>
          </w:p>
        </w:tc>
        <w:tc>
          <w:tcPr>
            <w:tcW w:w="10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auto"/>
            </w:tcBorders>
            <w:shd w:val="clear" w:color="auto" w:fill="DEDEDE"/>
          </w:tcPr>
          <w:p>
            <w:pPr>
              <w:spacing w:after="0"/>
              <w:rPr>
                <w:sz w:val="15"/>
                <w:szCs w:val="15"/>
                <w:color w:val="auto"/>
              </w:rPr>
            </w:pPr>
          </w:p>
        </w:tc>
        <w:tc>
          <w:tcPr>
            <w:tcW w:w="1020" w:type="dxa"/>
            <w:vAlign w:val="bottom"/>
            <w:tcBorders>
              <w:top w:val="single" w:sz="8" w:color="auto"/>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r>
      <w:tr>
        <w:trPr>
          <w:trHeight w:val="236"/>
        </w:trPr>
        <w:tc>
          <w:tcPr>
            <w:tcW w:w="47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for sale</w:t>
            </w:r>
          </w:p>
        </w:tc>
        <w:tc>
          <w:tcPr>
            <w:tcW w:w="2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(7,147,384)</w:t>
            </w:r>
          </w:p>
        </w:tc>
        <w:tc>
          <w:tcPr>
            <w:tcW w:w="2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7,899,935</w:t>
            </w:r>
          </w:p>
        </w:tc>
        <w:tc>
          <w:tcPr>
            <w:tcW w:w="160" w:type="dxa"/>
            <w:vAlign w:val="bottom"/>
            <w:shd w:val="clear" w:color="auto" w:fill="DEDEDE"/>
          </w:tcPr>
          <w:p>
            <w:pPr>
              <w:spacing w:after="0"/>
              <w:rPr>
                <w:sz w:val="20"/>
                <w:szCs w:val="20"/>
                <w:color w:val="auto"/>
              </w:rPr>
            </w:pPr>
          </w:p>
        </w:tc>
        <w:tc>
          <w:tcPr>
            <w:tcW w:w="2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752,551</w:t>
            </w:r>
          </w:p>
        </w:tc>
        <w:tc>
          <w:tcPr>
            <w:tcW w:w="80" w:type="dxa"/>
            <w:vAlign w:val="bottom"/>
            <w:shd w:val="clear" w:color="auto" w:fill="DEDEDE"/>
          </w:tcPr>
          <w:p>
            <w:pPr>
              <w:spacing w:after="0"/>
              <w:rPr>
                <w:sz w:val="20"/>
                <w:szCs w:val="20"/>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80" w:type="dxa"/>
            <w:vAlign w:val="bottom"/>
          </w:tcPr>
          <w:p>
            <w:pPr>
              <w:spacing w:after="0"/>
              <w:rPr>
                <w:sz w:val="18"/>
                <w:szCs w:val="18"/>
                <w:color w:val="auto"/>
              </w:rPr>
            </w:pPr>
          </w:p>
        </w:tc>
      </w:tr>
      <w:tr>
        <w:trPr>
          <w:trHeight w:val="196"/>
        </w:trPr>
        <w:tc>
          <w:tcPr>
            <w:tcW w:w="4760" w:type="dxa"/>
            <w:vAlign w:val="bottom"/>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Unrealized  gains  (losses)  on  cemetery  perpetual  care  trust</w:t>
            </w:r>
          </w:p>
        </w:tc>
        <w:tc>
          <w:tcPr>
            <w:tcW w:w="1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0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0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02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0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02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r>
      <w:tr>
        <w:trPr>
          <w:trHeight w:val="236"/>
        </w:trPr>
        <w:tc>
          <w:tcPr>
            <w:tcW w:w="47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investments (1)</w:t>
            </w:r>
          </w:p>
        </w:tc>
        <w:tc>
          <w:tcPr>
            <w:tcW w:w="10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20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(5,225)</w:t>
            </w:r>
          </w:p>
        </w:tc>
        <w:tc>
          <w:tcPr>
            <w:tcW w:w="10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60" w:type="dxa"/>
            <w:vAlign w:val="bottom"/>
            <w:shd w:val="clear" w:color="auto" w:fill="DEDEDE"/>
          </w:tcPr>
          <w:p>
            <w:pPr>
              <w:spacing w:after="0"/>
              <w:rPr>
                <w:sz w:val="20"/>
                <w:szCs w:val="20"/>
                <w:color w:val="auto"/>
              </w:rPr>
            </w:pPr>
          </w:p>
        </w:tc>
        <w:tc>
          <w:tcPr>
            <w:tcW w:w="10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110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(1,613)</w:t>
            </w: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remeasurement of future policy benefits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40,876,364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(12,865,848)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28,010,516</w:t>
            </w:r>
          </w:p>
        </w:tc>
        <w:tc>
          <w:tcPr>
            <w:tcW w:w="80" w:type="dxa"/>
            <w:vAlign w:val="bottom"/>
          </w:tcPr>
          <w:p>
            <w:pPr>
              <w:spacing w:after="0"/>
              <w:rPr>
                <w:sz w:val="19"/>
                <w:szCs w:val="19"/>
                <w:color w:val="auto"/>
              </w:rPr>
            </w:pPr>
          </w:p>
        </w:tc>
      </w:tr>
      <w:tr>
        <w:trPr>
          <w:trHeight w:val="223"/>
        </w:trPr>
        <w:tc>
          <w:tcPr>
            <w:tcW w:w="4760" w:type="dxa"/>
            <w:vAlign w:val="bottom"/>
            <w:tcBorders>
              <w:top w:val="single" w:sz="8" w:color="DEDEDE"/>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33,719,629</w:t>
            </w: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(4,957,506</w:t>
            </w:r>
          </w:p>
        </w:tc>
        <w:tc>
          <w:tcPr>
            <w:tcW w:w="160" w:type="dxa"/>
            <w:vAlign w:val="bottom"/>
            <w:tcBorders>
              <w:top w:val="single" w:sz="8" w:color="DEDEDE"/>
              <w:bottom w:val="single" w:sz="8" w:color="DEDEDE"/>
            </w:tcBorders>
            <w:shd w:val="clear" w:color="auto" w:fill="DEDEDE"/>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28,762,123</w:t>
            </w:r>
          </w:p>
        </w:tc>
        <w:tc>
          <w:tcPr>
            <w:tcW w:w="80" w:type="dxa"/>
            <w:vAlign w:val="bottom"/>
            <w:tcBorders>
              <w:top w:val="single" w:sz="8" w:color="DEDEDE"/>
              <w:bottom w:val="single" w:sz="8" w:color="DEDEDE"/>
            </w:tcBorders>
            <w:shd w:val="clear" w:color="auto" w:fill="DEDEDE"/>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(1)  Fixed maturity securities available for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542"/>
        <w:spacing w:after="0"/>
        <w:rPr>
          <w:sz w:val="20"/>
          <w:szCs w:val="20"/>
          <w:color w:val="auto"/>
        </w:rPr>
      </w:pPr>
      <w:r>
        <w:rPr>
          <w:rFonts w:ascii="Times New Roman" w:cs="Times New Roman" w:eastAsia="Times New Roman" w:hAnsi="Times New Roman"/>
          <w:sz w:val="18"/>
          <w:szCs w:val="18"/>
          <w:color w:val="auto"/>
        </w:rPr>
        <w:t>87</w:t>
      </w:r>
    </w:p>
    <w:p>
      <w:pPr>
        <w:sectPr>
          <w:pgSz w:w="12240" w:h="15840" w:orient="portrait"/>
          <w:cols w:equalWidth="0" w:num="1">
            <w:col w:w="10302"/>
          </w:cols>
          <w:pgMar w:left="498" w:top="687" w:right="1440" w:bottom="0" w:gutter="0" w:footer="0" w:header="0"/>
        </w:sectPr>
      </w:pPr>
    </w:p>
    <w:bookmarkStart w:id="115" w:name="page116"/>
    <w:bookmarkEnd w:id="115"/>
    <w:p>
      <w:pPr>
        <w:jc w:val="center"/>
        <w:ind w:right="-1"/>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is the accumulated balances of other comprehensive income (loss) as of December 31, 2024:</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8"/>
              </w:rPr>
              <w:t>Beginning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Ending</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9"/>
              </w:rPr>
              <w:t>Balance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Balance</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color w:val="auto"/>
                <w:w w:val="99"/>
              </w:rPr>
              <w:t>January 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Change for</w:t>
            </w:r>
          </w:p>
        </w:tc>
        <w:tc>
          <w:tcPr>
            <w:tcW w:w="100" w:type="dxa"/>
            <w:vAlign w:val="bottom"/>
          </w:tcPr>
          <w:p>
            <w:pPr>
              <w:spacing w:after="0"/>
              <w:rPr>
                <w:sz w:val="18"/>
                <w:szCs w:val="18"/>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8"/>
              </w:rPr>
              <w:t>December 31,</w:t>
            </w:r>
          </w:p>
        </w:tc>
        <w:tc>
          <w:tcPr>
            <w:tcW w:w="0" w:type="dxa"/>
            <w:vAlign w:val="bottom"/>
          </w:tcPr>
          <w:p>
            <w:pPr>
              <w:spacing w:after="0"/>
              <w:rPr>
                <w:sz w:val="1"/>
                <w:szCs w:val="1"/>
                <w:color w:val="auto"/>
              </w:rPr>
            </w:pPr>
          </w:p>
        </w:tc>
      </w:tr>
      <w:tr>
        <w:trPr>
          <w:trHeight w:val="235"/>
        </w:trPr>
        <w:tc>
          <w:tcPr>
            <w:tcW w:w="6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the period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760" w:type="dxa"/>
            <w:vAlign w:val="bottom"/>
            <w:tcBorders>
              <w:top w:val="single" w:sz="8" w:color="DEDEDE"/>
            </w:tcBorders>
            <w:gridSpan w:val="5"/>
            <w:shd w:val="clear" w:color="auto" w:fill="DEDEDE"/>
          </w:tcPr>
          <w:p>
            <w:pPr>
              <w:spacing w:after="0" w:line="176" w:lineRule="exact"/>
              <w:rPr>
                <w:sz w:val="20"/>
                <w:szCs w:val="20"/>
                <w:color w:val="auto"/>
              </w:rPr>
            </w:pPr>
            <w:r>
              <w:rPr>
                <w:rFonts w:ascii="Times New Roman" w:cs="Times New Roman" w:eastAsia="Times New Roman" w:hAnsi="Times New Roman"/>
                <w:sz w:val="18"/>
                <w:szCs w:val="18"/>
                <w:color w:val="auto"/>
              </w:rPr>
              <w:t>Unrealized gains (losses) on fixed maturity securities available</w:t>
            </w:r>
          </w:p>
        </w:tc>
        <w:tc>
          <w:tcPr>
            <w:tcW w:w="100" w:type="dxa"/>
            <w:vAlign w:val="bottom"/>
            <w:tcBorders>
              <w:top w:val="single" w:sz="8" w:color="DEDEDE"/>
            </w:tcBorders>
            <w:shd w:val="clear" w:color="auto" w:fill="DEDEDE"/>
          </w:tcPr>
          <w:p>
            <w:pPr>
              <w:spacing w:after="0"/>
              <w:rPr>
                <w:sz w:val="15"/>
                <w:szCs w:val="15"/>
                <w:color w:val="auto"/>
              </w:rPr>
            </w:pPr>
          </w:p>
        </w:tc>
        <w:tc>
          <w:tcPr>
            <w:tcW w:w="160" w:type="dxa"/>
            <w:vAlign w:val="bottom"/>
            <w:tcBorders>
              <w:top w:val="single" w:sz="8" w:color="auto"/>
            </w:tcBorders>
            <w:shd w:val="clear" w:color="auto" w:fill="DEDEDE"/>
          </w:tcPr>
          <w:p>
            <w:pPr>
              <w:spacing w:after="0"/>
              <w:rPr>
                <w:sz w:val="15"/>
                <w:szCs w:val="15"/>
                <w:color w:val="auto"/>
              </w:rPr>
            </w:pPr>
          </w:p>
        </w:tc>
        <w:tc>
          <w:tcPr>
            <w:tcW w:w="1020" w:type="dxa"/>
            <w:vAlign w:val="bottom"/>
            <w:tcBorders>
              <w:top w:val="single" w:sz="8" w:color="auto"/>
            </w:tcBorders>
            <w:shd w:val="clear" w:color="auto" w:fill="DEDEDE"/>
          </w:tcPr>
          <w:p>
            <w:pPr>
              <w:spacing w:after="0"/>
              <w:rPr>
                <w:sz w:val="15"/>
                <w:szCs w:val="15"/>
                <w:color w:val="auto"/>
              </w:rPr>
            </w:pPr>
          </w:p>
        </w:tc>
        <w:tc>
          <w:tcPr>
            <w:tcW w:w="180" w:type="dxa"/>
            <w:vAlign w:val="bottom"/>
            <w:tcBorders>
              <w:top w:val="single" w:sz="8" w:color="DEDEDE"/>
            </w:tcBorders>
            <w:shd w:val="clear" w:color="auto" w:fill="DEDEDE"/>
          </w:tcPr>
          <w:p>
            <w:pPr>
              <w:spacing w:after="0"/>
              <w:rPr>
                <w:sz w:val="15"/>
                <w:szCs w:val="15"/>
                <w:color w:val="auto"/>
              </w:rPr>
            </w:pPr>
          </w:p>
        </w:tc>
        <w:tc>
          <w:tcPr>
            <w:tcW w:w="100" w:type="dxa"/>
            <w:vAlign w:val="bottom"/>
            <w:tcBorders>
              <w:top w:val="single" w:sz="8" w:color="DEDEDE"/>
            </w:tcBorders>
            <w:shd w:val="clear" w:color="auto" w:fill="DEDEDE"/>
          </w:tcPr>
          <w:p>
            <w:pPr>
              <w:spacing w:after="0"/>
              <w:rPr>
                <w:sz w:val="15"/>
                <w:szCs w:val="15"/>
                <w:color w:val="auto"/>
              </w:rPr>
            </w:pPr>
          </w:p>
        </w:tc>
        <w:tc>
          <w:tcPr>
            <w:tcW w:w="140" w:type="dxa"/>
            <w:vAlign w:val="bottom"/>
            <w:tcBorders>
              <w:top w:val="single" w:sz="8" w:color="auto"/>
            </w:tcBorders>
            <w:shd w:val="clear" w:color="auto" w:fill="DEDEDE"/>
          </w:tcPr>
          <w:p>
            <w:pPr>
              <w:spacing w:after="0"/>
              <w:rPr>
                <w:sz w:val="15"/>
                <w:szCs w:val="15"/>
                <w:color w:val="auto"/>
              </w:rPr>
            </w:pPr>
          </w:p>
        </w:tc>
        <w:tc>
          <w:tcPr>
            <w:tcW w:w="1020" w:type="dxa"/>
            <w:vAlign w:val="bottom"/>
            <w:tcBorders>
              <w:top w:val="single" w:sz="8" w:color="auto"/>
            </w:tcBorders>
            <w:shd w:val="clear" w:color="auto" w:fill="DEDEDE"/>
          </w:tcPr>
          <w:p>
            <w:pPr>
              <w:spacing w:after="0"/>
              <w:rPr>
                <w:sz w:val="15"/>
                <w:szCs w:val="15"/>
                <w:color w:val="auto"/>
              </w:rPr>
            </w:pPr>
          </w:p>
        </w:tc>
        <w:tc>
          <w:tcPr>
            <w:tcW w:w="160" w:type="dxa"/>
            <w:vAlign w:val="bottom"/>
            <w:tcBorders>
              <w:top w:val="single" w:sz="8" w:color="DEDEDE"/>
            </w:tcBorders>
            <w:shd w:val="clear" w:color="auto" w:fill="DEDEDE"/>
          </w:tcPr>
          <w:p>
            <w:pPr>
              <w:spacing w:after="0"/>
              <w:rPr>
                <w:sz w:val="15"/>
                <w:szCs w:val="15"/>
                <w:color w:val="auto"/>
              </w:rPr>
            </w:pPr>
          </w:p>
        </w:tc>
        <w:tc>
          <w:tcPr>
            <w:tcW w:w="100" w:type="dxa"/>
            <w:vAlign w:val="bottom"/>
            <w:tcBorders>
              <w:top w:val="single" w:sz="8" w:color="DEDEDE"/>
            </w:tcBorders>
            <w:shd w:val="clear" w:color="auto" w:fill="DEDEDE"/>
          </w:tcPr>
          <w:p>
            <w:pPr>
              <w:spacing w:after="0"/>
              <w:rPr>
                <w:sz w:val="15"/>
                <w:szCs w:val="15"/>
                <w:color w:val="auto"/>
              </w:rPr>
            </w:pPr>
          </w:p>
        </w:tc>
        <w:tc>
          <w:tcPr>
            <w:tcW w:w="180" w:type="dxa"/>
            <w:vAlign w:val="bottom"/>
            <w:tcBorders>
              <w:top w:val="single" w:sz="8" w:color="auto"/>
            </w:tcBorders>
            <w:shd w:val="clear" w:color="auto" w:fill="DEDEDE"/>
          </w:tcPr>
          <w:p>
            <w:pPr>
              <w:spacing w:after="0"/>
              <w:rPr>
                <w:sz w:val="15"/>
                <w:szCs w:val="15"/>
                <w:color w:val="auto"/>
              </w:rPr>
            </w:pPr>
          </w:p>
        </w:tc>
        <w:tc>
          <w:tcPr>
            <w:tcW w:w="980" w:type="dxa"/>
            <w:vAlign w:val="bottom"/>
            <w:tcBorders>
              <w:top w:val="single" w:sz="8" w:color="auto"/>
            </w:tcBorders>
            <w:shd w:val="clear" w:color="auto" w:fill="DEDEDE"/>
          </w:tcPr>
          <w:p>
            <w:pPr>
              <w:spacing w:after="0"/>
              <w:rPr>
                <w:sz w:val="15"/>
                <w:szCs w:val="15"/>
                <w:color w:val="auto"/>
              </w:rPr>
            </w:pPr>
          </w:p>
        </w:tc>
        <w:tc>
          <w:tcPr>
            <w:tcW w:w="80" w:type="dxa"/>
            <w:vAlign w:val="bottom"/>
            <w:tcBorders>
              <w:top w:val="single" w:sz="8" w:color="DEDEDE"/>
            </w:tcBorders>
            <w:shd w:val="clear" w:color="auto" w:fill="DEDEDE"/>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for sale</w:t>
            </w:r>
          </w:p>
        </w:tc>
        <w:tc>
          <w:tcPr>
            <w:tcW w:w="740" w:type="dxa"/>
            <w:vAlign w:val="bottom"/>
            <w:shd w:val="clear" w:color="auto" w:fill="DEDEDE"/>
          </w:tcPr>
          <w:p>
            <w:pPr>
              <w:spacing w:after="0"/>
              <w:rPr>
                <w:sz w:val="20"/>
                <w:szCs w:val="20"/>
                <w:color w:val="auto"/>
              </w:rPr>
            </w:pPr>
          </w:p>
        </w:tc>
        <w:tc>
          <w:tcPr>
            <w:tcW w:w="680" w:type="dxa"/>
            <w:vAlign w:val="bottom"/>
            <w:shd w:val="clear" w:color="auto" w:fill="DEDEDE"/>
          </w:tcPr>
          <w:p>
            <w:pPr>
              <w:spacing w:after="0"/>
              <w:rPr>
                <w:sz w:val="20"/>
                <w:szCs w:val="20"/>
                <w:color w:val="auto"/>
              </w:rPr>
            </w:pPr>
          </w:p>
        </w:tc>
        <w:tc>
          <w:tcPr>
            <w:tcW w:w="780" w:type="dxa"/>
            <w:vAlign w:val="bottom"/>
            <w:shd w:val="clear" w:color="auto" w:fill="DEDEDE"/>
          </w:tcPr>
          <w:p>
            <w:pPr>
              <w:spacing w:after="0"/>
              <w:rPr>
                <w:sz w:val="20"/>
                <w:szCs w:val="20"/>
                <w:color w:val="auto"/>
              </w:rPr>
            </w:pPr>
          </w:p>
        </w:tc>
        <w:tc>
          <w:tcPr>
            <w:tcW w:w="1960" w:type="dxa"/>
            <w:vAlign w:val="bottom"/>
            <w:shd w:val="clear" w:color="auto" w:fill="DEDEDE"/>
          </w:tcPr>
          <w:p>
            <w:pPr>
              <w:spacing w:after="0"/>
              <w:rPr>
                <w:sz w:val="20"/>
                <w:szCs w:val="20"/>
                <w:color w:val="auto"/>
              </w:rPr>
            </w:pPr>
          </w:p>
        </w:tc>
        <w:tc>
          <w:tcPr>
            <w:tcW w:w="26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DEDEDE"/>
          </w:tcPr>
          <w:p>
            <w:pPr>
              <w:jc w:val="right"/>
              <w:ind w:right="41"/>
              <w:spacing w:after="0"/>
              <w:rPr>
                <w:sz w:val="20"/>
                <w:szCs w:val="20"/>
                <w:color w:val="auto"/>
              </w:rPr>
            </w:pPr>
            <w:r>
              <w:rPr>
                <w:rFonts w:ascii="Times New Roman" w:cs="Times New Roman" w:eastAsia="Times New Roman" w:hAnsi="Times New Roman"/>
                <w:sz w:val="18"/>
                <w:szCs w:val="18"/>
                <w:color w:val="auto"/>
              </w:rPr>
              <w:t>(7,135,965)</w:t>
            </w:r>
          </w:p>
        </w:tc>
        <w:tc>
          <w:tcPr>
            <w:tcW w:w="24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(11,419)</w:t>
            </w:r>
          </w:p>
        </w:tc>
        <w:tc>
          <w:tcPr>
            <w:tcW w:w="280" w:type="dxa"/>
            <w:vAlign w:val="bottom"/>
            <w:gridSpan w:val="2"/>
            <w:shd w:val="clear" w:color="auto" w:fill="DEDED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(7,147,384)</w:t>
            </w:r>
          </w:p>
        </w:tc>
        <w:tc>
          <w:tcPr>
            <w:tcW w:w="0" w:type="dxa"/>
            <w:vAlign w:val="bottom"/>
          </w:tcPr>
          <w:p>
            <w:pPr>
              <w:spacing w:after="0"/>
              <w:rPr>
                <w:sz w:val="1"/>
                <w:szCs w:val="1"/>
                <w:color w:val="auto"/>
              </w:rPr>
            </w:pPr>
          </w:p>
        </w:tc>
      </w:tr>
      <w:tr>
        <w:trPr>
          <w:trHeight w:val="216"/>
        </w:trPr>
        <w:tc>
          <w:tcPr>
            <w:tcW w:w="4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Unrealized gains (losses) on restricted assets (1)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(4,757)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(4,126)</w:t>
            </w:r>
          </w:p>
        </w:tc>
        <w:tc>
          <w:tcPr>
            <w:tcW w:w="0" w:type="dxa"/>
            <w:vAlign w:val="bottom"/>
          </w:tcPr>
          <w:p>
            <w:pPr>
              <w:spacing w:after="0"/>
              <w:rPr>
                <w:sz w:val="1"/>
                <w:szCs w:val="1"/>
                <w:color w:val="auto"/>
              </w:rPr>
            </w:pPr>
          </w:p>
        </w:tc>
      </w:tr>
      <w:tr>
        <w:trPr>
          <w:trHeight w:val="196"/>
        </w:trPr>
        <w:tc>
          <w:tcPr>
            <w:tcW w:w="4760" w:type="dxa"/>
            <w:vAlign w:val="bottom"/>
            <w:gridSpan w:val="5"/>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Unrealized  gains  (losses)  on  cemetery  perpetual  care  trust</w:t>
            </w:r>
          </w:p>
        </w:tc>
        <w:tc>
          <w:tcPr>
            <w:tcW w:w="1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0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0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02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0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98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60" w:type="dxa"/>
            <w:vAlign w:val="bottom"/>
            <w:gridSpan w:val="5"/>
            <w:shd w:val="clear" w:color="auto" w:fill="DEDEDE"/>
          </w:tcPr>
          <w:p>
            <w:pPr>
              <w:spacing w:after="0"/>
              <w:rPr>
                <w:sz w:val="20"/>
                <w:szCs w:val="20"/>
                <w:color w:val="auto"/>
              </w:rPr>
            </w:pPr>
            <w:r>
              <w:rPr>
                <w:rFonts w:ascii="Times New Roman" w:cs="Times New Roman" w:eastAsia="Times New Roman" w:hAnsi="Times New Roman"/>
                <w:sz w:val="18"/>
                <w:szCs w:val="18"/>
                <w:color w:val="auto"/>
              </w:rPr>
              <w:t>investments (1)</w:t>
            </w:r>
          </w:p>
        </w:tc>
        <w:tc>
          <w:tcPr>
            <w:tcW w:w="10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200" w:type="dxa"/>
            <w:vAlign w:val="bottom"/>
            <w:gridSpan w:val="2"/>
            <w:shd w:val="clear" w:color="auto" w:fill="DEDEDE"/>
          </w:tcPr>
          <w:p>
            <w:pPr>
              <w:jc w:val="right"/>
              <w:ind w:right="41"/>
              <w:spacing w:after="0"/>
              <w:rPr>
                <w:sz w:val="20"/>
                <w:szCs w:val="20"/>
                <w:color w:val="auto"/>
              </w:rPr>
            </w:pPr>
            <w:r>
              <w:rPr>
                <w:rFonts w:ascii="Times New Roman" w:cs="Times New Roman" w:eastAsia="Times New Roman" w:hAnsi="Times New Roman"/>
                <w:sz w:val="18"/>
                <w:szCs w:val="18"/>
                <w:color w:val="auto"/>
              </w:rPr>
              <w:t>(4,172)</w:t>
            </w:r>
          </w:p>
        </w:tc>
        <w:tc>
          <w:tcPr>
            <w:tcW w:w="10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118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06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(5,225)</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DEDEDE"/>
            </w:tcBorders>
            <w:gridSpan w:val="5"/>
          </w:tcPr>
          <w:p>
            <w:pPr>
              <w:spacing w:after="0"/>
              <w:rPr>
                <w:sz w:val="20"/>
                <w:szCs w:val="20"/>
                <w:color w:val="auto"/>
              </w:rPr>
            </w:pPr>
            <w:r>
              <w:rPr>
                <w:rFonts w:ascii="Times New Roman" w:cs="Times New Roman" w:eastAsia="Times New Roman" w:hAnsi="Times New Roman"/>
                <w:sz w:val="18"/>
                <w:szCs w:val="18"/>
                <w:color w:val="auto"/>
              </w:rPr>
              <w:t>Interest rate remeasurement of future policy benefits</w:t>
            </w:r>
          </w:p>
        </w:tc>
        <w:tc>
          <w:tcPr>
            <w:tcW w:w="100" w:type="dxa"/>
            <w:vAlign w:val="bottom"/>
            <w:tcBorders>
              <w:bottom w:val="single" w:sz="8" w:color="DEDED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5,353,038</w:t>
            </w:r>
          </w:p>
        </w:tc>
        <w:tc>
          <w:tcPr>
            <w:tcW w:w="180" w:type="dxa"/>
            <w:vAlign w:val="bottom"/>
            <w:tcBorders>
              <w:bottom w:val="single" w:sz="8" w:color="DEDEDE"/>
            </w:tcBorders>
          </w:tcPr>
          <w:p>
            <w:pPr>
              <w:spacing w:after="0"/>
              <w:rPr>
                <w:sz w:val="19"/>
                <w:szCs w:val="19"/>
                <w:color w:val="auto"/>
              </w:rPr>
            </w:pPr>
          </w:p>
        </w:tc>
        <w:tc>
          <w:tcPr>
            <w:tcW w:w="100" w:type="dxa"/>
            <w:vAlign w:val="bottom"/>
            <w:tcBorders>
              <w:bottom w:val="single" w:sz="8" w:color="DEDED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35,523,326</w:t>
            </w:r>
          </w:p>
        </w:tc>
        <w:tc>
          <w:tcPr>
            <w:tcW w:w="160" w:type="dxa"/>
            <w:vAlign w:val="bottom"/>
            <w:tcBorders>
              <w:bottom w:val="single" w:sz="8" w:color="DEDEDE"/>
            </w:tcBorders>
          </w:tcPr>
          <w:p>
            <w:pPr>
              <w:spacing w:after="0"/>
              <w:rPr>
                <w:sz w:val="19"/>
                <w:szCs w:val="19"/>
                <w:color w:val="auto"/>
              </w:rPr>
            </w:pPr>
          </w:p>
        </w:tc>
        <w:tc>
          <w:tcPr>
            <w:tcW w:w="100" w:type="dxa"/>
            <w:vAlign w:val="bottom"/>
            <w:tcBorders>
              <w:bottom w:val="single" w:sz="8" w:color="DEDEDE"/>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40,876,364</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760" w:type="dxa"/>
            <w:vAlign w:val="bottom"/>
            <w:gridSpan w:val="5"/>
            <w:shd w:val="clear" w:color="auto" w:fill="DEDEDE"/>
          </w:tcPr>
          <w:p>
            <w:pPr>
              <w:spacing w:after="0" w:line="169"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260" w:type="dxa"/>
            <w:vAlign w:val="bottom"/>
            <w:gridSpan w:val="2"/>
            <w:vMerge w:val="restart"/>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(1,791,856</w:t>
            </w:r>
          </w:p>
        </w:tc>
        <w:tc>
          <w:tcPr>
            <w:tcW w:w="180" w:type="dxa"/>
            <w:vAlign w:val="bottom"/>
            <w:shd w:val="clear" w:color="auto" w:fill="DEDEDE"/>
          </w:tcPr>
          <w:p>
            <w:pPr>
              <w:jc w:val="right"/>
              <w:ind w:right="41"/>
              <w:spacing w:after="0" w:line="168"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vMerge w:val="restart"/>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35,511,485</w:t>
            </w:r>
          </w:p>
        </w:tc>
        <w:tc>
          <w:tcPr>
            <w:tcW w:w="160" w:type="dxa"/>
            <w:vAlign w:val="bottom"/>
            <w:shd w:val="clear" w:color="auto" w:fill="DEDEDE"/>
          </w:tcPr>
          <w:p>
            <w:pPr>
              <w:spacing w:after="0"/>
              <w:rPr>
                <w:sz w:val="14"/>
                <w:szCs w:val="14"/>
                <w:color w:val="auto"/>
              </w:rPr>
            </w:pPr>
          </w:p>
        </w:tc>
        <w:tc>
          <w:tcPr>
            <w:tcW w:w="280" w:type="dxa"/>
            <w:vAlign w:val="bottom"/>
            <w:gridSpan w:val="2"/>
            <w:vMerge w:val="restart"/>
            <w:shd w:val="clear" w:color="auto" w:fill="DEDED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33,719,629</w:t>
            </w:r>
          </w:p>
        </w:tc>
        <w:tc>
          <w:tcPr>
            <w:tcW w:w="80" w:type="dxa"/>
            <w:vAlign w:val="bottom"/>
            <w:shd w:val="clear" w:color="auto" w:fill="DEDEDE"/>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600" w:type="dxa"/>
            <w:vAlign w:val="bottom"/>
            <w:shd w:val="clear" w:color="auto" w:fill="DEDEDE"/>
          </w:tcPr>
          <w:p>
            <w:pPr>
              <w:spacing w:after="0"/>
              <w:rPr>
                <w:sz w:val="4"/>
                <w:szCs w:val="4"/>
                <w:color w:val="auto"/>
              </w:rPr>
            </w:pPr>
          </w:p>
        </w:tc>
        <w:tc>
          <w:tcPr>
            <w:tcW w:w="740" w:type="dxa"/>
            <w:vAlign w:val="bottom"/>
            <w:shd w:val="clear" w:color="auto" w:fill="DEDEDE"/>
          </w:tcPr>
          <w:p>
            <w:pPr>
              <w:spacing w:after="0"/>
              <w:rPr>
                <w:sz w:val="4"/>
                <w:szCs w:val="4"/>
                <w:color w:val="auto"/>
              </w:rPr>
            </w:pPr>
          </w:p>
        </w:tc>
        <w:tc>
          <w:tcPr>
            <w:tcW w:w="680" w:type="dxa"/>
            <w:vAlign w:val="bottom"/>
            <w:shd w:val="clear" w:color="auto" w:fill="DEDEDE"/>
          </w:tcPr>
          <w:p>
            <w:pPr>
              <w:spacing w:after="0"/>
              <w:rPr>
                <w:sz w:val="4"/>
                <w:szCs w:val="4"/>
                <w:color w:val="auto"/>
              </w:rPr>
            </w:pPr>
          </w:p>
        </w:tc>
        <w:tc>
          <w:tcPr>
            <w:tcW w:w="780" w:type="dxa"/>
            <w:vAlign w:val="bottom"/>
            <w:shd w:val="clear" w:color="auto" w:fill="DEDEDE"/>
          </w:tcPr>
          <w:p>
            <w:pPr>
              <w:spacing w:after="0"/>
              <w:rPr>
                <w:sz w:val="4"/>
                <w:szCs w:val="4"/>
                <w:color w:val="auto"/>
              </w:rPr>
            </w:pPr>
          </w:p>
        </w:tc>
        <w:tc>
          <w:tcPr>
            <w:tcW w:w="1960" w:type="dxa"/>
            <w:vAlign w:val="bottom"/>
            <w:shd w:val="clear" w:color="auto" w:fill="DEDEDE"/>
          </w:tcPr>
          <w:p>
            <w:pPr>
              <w:spacing w:after="0"/>
              <w:rPr>
                <w:sz w:val="4"/>
                <w:szCs w:val="4"/>
                <w:color w:val="auto"/>
              </w:rPr>
            </w:pPr>
          </w:p>
        </w:tc>
        <w:tc>
          <w:tcPr>
            <w:tcW w:w="260" w:type="dxa"/>
            <w:vAlign w:val="bottom"/>
            <w:gridSpan w:val="2"/>
            <w:vMerge w:val="continue"/>
            <w:shd w:val="clear" w:color="auto" w:fill="DEDEDE"/>
          </w:tcPr>
          <w:p>
            <w:pPr>
              <w:spacing w:after="0"/>
              <w:rPr>
                <w:sz w:val="4"/>
                <w:szCs w:val="4"/>
                <w:color w:val="auto"/>
              </w:rPr>
            </w:pPr>
          </w:p>
        </w:tc>
        <w:tc>
          <w:tcPr>
            <w:tcW w:w="1020" w:type="dxa"/>
            <w:vAlign w:val="bottom"/>
            <w:vMerge w:val="continue"/>
            <w:shd w:val="clear" w:color="auto" w:fill="DEDEDE"/>
          </w:tcPr>
          <w:p>
            <w:pPr>
              <w:spacing w:after="0"/>
              <w:rPr>
                <w:sz w:val="4"/>
                <w:szCs w:val="4"/>
                <w:color w:val="auto"/>
              </w:rPr>
            </w:pPr>
          </w:p>
        </w:tc>
        <w:tc>
          <w:tcPr>
            <w:tcW w:w="180" w:type="dxa"/>
            <w:vAlign w:val="bottom"/>
            <w:shd w:val="clear" w:color="auto" w:fill="DEDEDE"/>
          </w:tcPr>
          <w:p>
            <w:pPr>
              <w:spacing w:after="0"/>
              <w:rPr>
                <w:sz w:val="4"/>
                <w:szCs w:val="4"/>
                <w:color w:val="auto"/>
              </w:rPr>
            </w:pPr>
          </w:p>
        </w:tc>
        <w:tc>
          <w:tcPr>
            <w:tcW w:w="240" w:type="dxa"/>
            <w:vAlign w:val="bottom"/>
            <w:gridSpan w:val="2"/>
            <w:vMerge w:val="continue"/>
            <w:shd w:val="clear" w:color="auto" w:fill="DEDEDE"/>
          </w:tcPr>
          <w:p>
            <w:pPr>
              <w:spacing w:after="0"/>
              <w:rPr>
                <w:sz w:val="4"/>
                <w:szCs w:val="4"/>
                <w:color w:val="auto"/>
              </w:rPr>
            </w:pPr>
          </w:p>
        </w:tc>
        <w:tc>
          <w:tcPr>
            <w:tcW w:w="1020" w:type="dxa"/>
            <w:vAlign w:val="bottom"/>
            <w:vMerge w:val="continue"/>
            <w:shd w:val="clear" w:color="auto" w:fill="DEDEDE"/>
          </w:tcPr>
          <w:p>
            <w:pPr>
              <w:spacing w:after="0"/>
              <w:rPr>
                <w:sz w:val="4"/>
                <w:szCs w:val="4"/>
                <w:color w:val="auto"/>
              </w:rPr>
            </w:pPr>
          </w:p>
        </w:tc>
        <w:tc>
          <w:tcPr>
            <w:tcW w:w="160" w:type="dxa"/>
            <w:vAlign w:val="bottom"/>
            <w:shd w:val="clear" w:color="auto" w:fill="DEDEDE"/>
          </w:tcPr>
          <w:p>
            <w:pPr>
              <w:spacing w:after="0"/>
              <w:rPr>
                <w:sz w:val="4"/>
                <w:szCs w:val="4"/>
                <w:color w:val="auto"/>
              </w:rPr>
            </w:pPr>
          </w:p>
        </w:tc>
        <w:tc>
          <w:tcPr>
            <w:tcW w:w="280" w:type="dxa"/>
            <w:vAlign w:val="bottom"/>
            <w:gridSpan w:val="2"/>
            <w:vMerge w:val="continue"/>
            <w:shd w:val="clear" w:color="auto" w:fill="DEDEDE"/>
          </w:tcPr>
          <w:p>
            <w:pPr>
              <w:spacing w:after="0"/>
              <w:rPr>
                <w:sz w:val="4"/>
                <w:szCs w:val="4"/>
                <w:color w:val="auto"/>
              </w:rPr>
            </w:pPr>
          </w:p>
        </w:tc>
        <w:tc>
          <w:tcPr>
            <w:tcW w:w="980" w:type="dxa"/>
            <w:vAlign w:val="bottom"/>
            <w:vMerge w:val="continue"/>
            <w:shd w:val="clear" w:color="auto" w:fill="DEDEDE"/>
          </w:tcPr>
          <w:p>
            <w:pPr>
              <w:spacing w:after="0"/>
              <w:rPr>
                <w:sz w:val="4"/>
                <w:szCs w:val="4"/>
                <w:color w:val="auto"/>
              </w:rPr>
            </w:pPr>
          </w:p>
        </w:tc>
        <w:tc>
          <w:tcPr>
            <w:tcW w:w="80" w:type="dxa"/>
            <w:vAlign w:val="bottom"/>
            <w:shd w:val="clear" w:color="auto" w:fill="DEDED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340" w:type="dxa"/>
            <w:vAlign w:val="bottom"/>
            <w:tcBorders>
              <w:top w:val="single" w:sz="8" w:color="DEDEDE"/>
            </w:tcBorders>
            <w:gridSpan w:val="2"/>
          </w:tcPr>
          <w:p>
            <w:pPr>
              <w:spacing w:after="0" w:line="20" w:lineRule="exact"/>
              <w:rPr>
                <w:sz w:val="1"/>
                <w:szCs w:val="1"/>
                <w:color w:val="auto"/>
              </w:rPr>
            </w:pPr>
          </w:p>
        </w:tc>
        <w:tc>
          <w:tcPr>
            <w:tcW w:w="680" w:type="dxa"/>
            <w:vAlign w:val="bottom"/>
            <w:tcBorders>
              <w:top w:val="single" w:sz="8" w:color="DEDEDE"/>
            </w:tcBorders>
          </w:tcPr>
          <w:p>
            <w:pPr>
              <w:spacing w:after="0" w:line="20" w:lineRule="exact"/>
              <w:rPr>
                <w:sz w:val="1"/>
                <w:szCs w:val="1"/>
                <w:color w:val="auto"/>
              </w:rPr>
            </w:pPr>
          </w:p>
        </w:tc>
        <w:tc>
          <w:tcPr>
            <w:tcW w:w="780" w:type="dxa"/>
            <w:vAlign w:val="bottom"/>
            <w:tcBorders>
              <w:top w:val="single" w:sz="8" w:color="DEDEDE"/>
            </w:tcBorders>
          </w:tcPr>
          <w:p>
            <w:pPr>
              <w:spacing w:after="0" w:line="20" w:lineRule="exact"/>
              <w:rPr>
                <w:sz w:val="1"/>
                <w:szCs w:val="1"/>
                <w:color w:val="auto"/>
              </w:rPr>
            </w:pPr>
          </w:p>
        </w:tc>
        <w:tc>
          <w:tcPr>
            <w:tcW w:w="19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0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(1)  Fixed maturity securities available</w:t>
            </w:r>
          </w:p>
        </w:tc>
        <w:tc>
          <w:tcPr>
            <w:tcW w:w="1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 sale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4160" w:type="dxa"/>
            <w:vAlign w:val="bottom"/>
            <w:gridSpan w:val="4"/>
          </w:tcPr>
          <w:p>
            <w:pPr>
              <w:ind w:left="40"/>
              <w:spacing w:after="0"/>
              <w:rPr>
                <w:sz w:val="20"/>
                <w:szCs w:val="20"/>
                <w:color w:val="auto"/>
              </w:rPr>
            </w:pPr>
            <w:r>
              <w:rPr>
                <w:rFonts w:ascii="Times New Roman" w:cs="Times New Roman" w:eastAsia="Times New Roman" w:hAnsi="Times New Roman"/>
                <w:sz w:val="18"/>
                <w:szCs w:val="18"/>
                <w:u w:val="single" w:color="auto"/>
                <w:color w:val="auto"/>
              </w:rPr>
              <w:t>Earnings</w:t>
            </w:r>
            <w:r>
              <w:rPr>
                <w:rFonts w:ascii="Times New Roman" w:cs="Times New Roman" w:eastAsia="Times New Roman" w:hAnsi="Times New Roman"/>
                <w:sz w:val="18"/>
                <w:szCs w:val="18"/>
                <w:color w:val="auto"/>
              </w:rPr>
              <w:t xml:space="preserve"> Per Share</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both"/>
        <w:ind w:left="2"/>
        <w:spacing w:after="0" w:line="283" w:lineRule="auto"/>
        <w:rPr>
          <w:sz w:val="20"/>
          <w:szCs w:val="20"/>
          <w:color w:val="auto"/>
        </w:rPr>
      </w:pPr>
      <w:r>
        <w:rPr>
          <w:rFonts w:ascii="Times New Roman" w:cs="Times New Roman" w:eastAsia="Times New Roman" w:hAnsi="Times New Roman"/>
          <w:sz w:val="18"/>
          <w:szCs w:val="18"/>
          <w:color w:val="auto"/>
        </w:rPr>
        <w:t>Earnings per share have been retroactively adjusted for the effect of annual stock dividends. In accordance with GAAP, the basic and diluted earnings per share were calculated as follows:</w:t>
      </w:r>
    </w:p>
    <w:p>
      <w:pPr>
        <w:spacing w:after="0" w:line="173" w:lineRule="exact"/>
        <w:rPr>
          <w:sz w:val="20"/>
          <w:szCs w:val="20"/>
          <w:color w:val="auto"/>
        </w:rPr>
      </w:pPr>
    </w:p>
    <w:tbl>
      <w:tblPr>
        <w:tblLayout w:type="fixed"/>
        <w:tblInd w:w="2"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6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Years 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Borders>
              <w:bottom w:val="single" w:sz="8" w:color="DEDEDE"/>
            </w:tcBorders>
          </w:tcPr>
          <w:p>
            <w:pPr>
              <w:spacing w:after="0"/>
              <w:rPr>
                <w:sz w:val="19"/>
                <w:szCs w:val="19"/>
                <w:color w:val="auto"/>
              </w:rPr>
            </w:pPr>
          </w:p>
        </w:tc>
        <w:tc>
          <w:tcPr>
            <w:tcW w:w="160" w:type="dxa"/>
            <w:vAlign w:val="bottom"/>
            <w:tcBorders>
              <w:bottom w:val="single" w:sz="8" w:color="DEDED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40" w:type="dxa"/>
            <w:vAlign w:val="bottom"/>
            <w:tcBorders>
              <w:top w:val="single" w:sz="8" w:color="auto"/>
              <w:bottom w:val="single" w:sz="8" w:color="DEDEDE"/>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Numerator:</w:t>
            </w:r>
          </w:p>
        </w:tc>
        <w:tc>
          <w:tcPr>
            <w:tcW w:w="16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earnings</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32,152,330</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29,119,165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340" w:type="dxa"/>
            <w:vAlign w:val="bottom"/>
            <w:tcBorders>
              <w:top w:val="single" w:sz="8" w:color="auto"/>
            </w:tcBorders>
            <w:shd w:val="clear" w:color="auto" w:fill="DEDEDE"/>
          </w:tcPr>
          <w:p>
            <w:pPr>
              <w:spacing w:after="0"/>
              <w:rPr>
                <w:sz w:val="17"/>
                <w:szCs w:val="17"/>
                <w:color w:val="auto"/>
              </w:rPr>
            </w:pPr>
          </w:p>
        </w:tc>
        <w:tc>
          <w:tcPr>
            <w:tcW w:w="1200" w:type="dxa"/>
            <w:vAlign w:val="bottom"/>
            <w:tcBorders>
              <w:top w:val="single" w:sz="8" w:color="auto"/>
            </w:tcBorders>
            <w:shd w:val="clear" w:color="auto" w:fill="DEDEDE"/>
          </w:tcPr>
          <w:p>
            <w:pPr>
              <w:spacing w:after="0"/>
              <w:rPr>
                <w:sz w:val="17"/>
                <w:szCs w:val="17"/>
                <w:color w:val="auto"/>
              </w:rPr>
            </w:pPr>
          </w:p>
        </w:tc>
        <w:tc>
          <w:tcPr>
            <w:tcW w:w="240" w:type="dxa"/>
            <w:vAlign w:val="bottom"/>
            <w:tcBorders>
              <w:top w:val="single" w:sz="8" w:color="DEDEDE"/>
            </w:tcBorders>
            <w:shd w:val="clear" w:color="auto" w:fill="DEDEDE"/>
          </w:tcPr>
          <w:p>
            <w:pPr>
              <w:spacing w:after="0"/>
              <w:rPr>
                <w:sz w:val="17"/>
                <w:szCs w:val="17"/>
                <w:color w:val="auto"/>
              </w:rPr>
            </w:pPr>
          </w:p>
        </w:tc>
        <w:tc>
          <w:tcPr>
            <w:tcW w:w="340" w:type="dxa"/>
            <w:vAlign w:val="bottom"/>
            <w:tcBorders>
              <w:top w:val="single" w:sz="8" w:color="auto"/>
            </w:tcBorders>
            <w:shd w:val="clear" w:color="auto" w:fill="DEDEDE"/>
          </w:tcPr>
          <w:p>
            <w:pPr>
              <w:spacing w:after="0"/>
              <w:rPr>
                <w:sz w:val="17"/>
                <w:szCs w:val="17"/>
                <w:color w:val="auto"/>
              </w:rPr>
            </w:pPr>
          </w:p>
        </w:tc>
        <w:tc>
          <w:tcPr>
            <w:tcW w:w="1200" w:type="dxa"/>
            <w:vAlign w:val="bottom"/>
            <w:tcBorders>
              <w:top w:val="single" w:sz="8" w:color="auto"/>
            </w:tcBorders>
            <w:shd w:val="clear" w:color="auto" w:fill="DEDEDE"/>
          </w:tcPr>
          <w:p>
            <w:pPr>
              <w:spacing w:after="0"/>
              <w:rPr>
                <w:sz w:val="17"/>
                <w:szCs w:val="17"/>
                <w:color w:val="auto"/>
              </w:rPr>
            </w:pPr>
          </w:p>
        </w:tc>
        <w:tc>
          <w:tcPr>
            <w:tcW w:w="8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0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Denominator for basic earnings per share-weighted-average shares</w:t>
            </w:r>
          </w:p>
        </w:tc>
        <w:tc>
          <w:tcPr>
            <w:tcW w:w="160" w:type="dxa"/>
            <w:vAlign w:val="bottom"/>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24,727,498</w:t>
            </w:r>
          </w:p>
        </w:tc>
        <w:tc>
          <w:tcPr>
            <w:tcW w:w="240" w:type="dxa"/>
            <w:vAlign w:val="bottom"/>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24,492,597</w:t>
            </w:r>
          </w:p>
        </w:tc>
        <w:tc>
          <w:tcPr>
            <w:tcW w:w="8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Employee stock options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756,696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693,877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60" w:type="dxa"/>
            <w:vAlign w:val="bottom"/>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DEDEDE"/>
          </w:tcPr>
          <w:p>
            <w:pPr>
              <w:spacing w:after="0"/>
              <w:rPr>
                <w:sz w:val="19"/>
                <w:szCs w:val="19"/>
                <w:color w:val="auto"/>
              </w:rPr>
            </w:pPr>
          </w:p>
        </w:tc>
        <w:tc>
          <w:tcPr>
            <w:tcW w:w="340" w:type="dxa"/>
            <w:vAlign w:val="bottom"/>
            <w:tcBorders>
              <w:bottom w:val="single" w:sz="8" w:color="auto"/>
            </w:tcBorders>
            <w:shd w:val="clear" w:color="auto" w:fill="DEDEDE"/>
          </w:tcPr>
          <w:p>
            <w:pPr>
              <w:spacing w:after="0"/>
              <w:rPr>
                <w:sz w:val="19"/>
                <w:szCs w:val="19"/>
                <w:color w:val="auto"/>
              </w:rPr>
            </w:pPr>
          </w:p>
        </w:tc>
        <w:tc>
          <w:tcPr>
            <w:tcW w:w="12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160" w:type="dxa"/>
            <w:vAlign w:val="bottom"/>
            <w:tcBorders>
              <w:bottom w:val="single" w:sz="8" w:color="DEDEDE"/>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756,814</w:t>
            </w:r>
          </w:p>
        </w:tc>
        <w:tc>
          <w:tcPr>
            <w:tcW w:w="240" w:type="dxa"/>
            <w:vAlign w:val="bottom"/>
            <w:tcBorders>
              <w:bottom w:val="single" w:sz="8" w:color="DEDEDE"/>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693,908</w:t>
            </w:r>
          </w:p>
        </w:tc>
        <w:tc>
          <w:tcPr>
            <w:tcW w:w="80" w:type="dxa"/>
            <w:vAlign w:val="bottom"/>
            <w:tcBorders>
              <w:bottom w:val="single" w:sz="8" w:color="DEDEDE"/>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200" w:type="dxa"/>
            <w:vAlign w:val="bottom"/>
            <w:shd w:val="clear" w:color="auto" w:fill="DEDEDE"/>
          </w:tcPr>
          <w:p>
            <w:pPr>
              <w:spacing w:after="0"/>
              <w:rPr>
                <w:sz w:val="18"/>
                <w:szCs w:val="18"/>
                <w:color w:val="auto"/>
              </w:rPr>
            </w:pPr>
          </w:p>
        </w:tc>
        <w:tc>
          <w:tcPr>
            <w:tcW w:w="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00" w:type="dxa"/>
            <w:vAlign w:val="bottom"/>
          </w:tcPr>
          <w:p>
            <w:pPr>
              <w:ind w:left="160"/>
              <w:spacing w:after="0" w:line="196" w:lineRule="exact"/>
              <w:rPr>
                <w:sz w:val="20"/>
                <w:szCs w:val="20"/>
                <w:color w:val="auto"/>
              </w:rPr>
            </w:pPr>
            <w:r>
              <w:rPr>
                <w:rFonts w:ascii="Times New Roman" w:cs="Times New Roman" w:eastAsia="Times New Roman" w:hAnsi="Times New Roman"/>
                <w:sz w:val="18"/>
                <w:szCs w:val="18"/>
                <w:color w:val="auto"/>
              </w:rPr>
              <w:t>Denominator for diluted earnings per share-adjusted weighted-average</w:t>
            </w: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5400" w:type="dxa"/>
            <w:vAlign w:val="bottom"/>
            <w:tcBorders>
              <w:bottom w:val="single" w:sz="8" w:color="DEDEDE"/>
            </w:tcBorders>
          </w:tcPr>
          <w:p>
            <w:pPr>
              <w:ind w:left="160"/>
              <w:spacing w:after="0"/>
              <w:rPr>
                <w:sz w:val="20"/>
                <w:szCs w:val="20"/>
                <w:color w:val="auto"/>
              </w:rPr>
            </w:pPr>
            <w:r>
              <w:rPr>
                <w:rFonts w:ascii="Times New Roman" w:cs="Times New Roman" w:eastAsia="Times New Roman" w:hAnsi="Times New Roman"/>
                <w:sz w:val="18"/>
                <w:szCs w:val="18"/>
                <w:color w:val="auto"/>
              </w:rPr>
              <w:t>shares and assumed conversions</w:t>
            </w:r>
          </w:p>
        </w:tc>
        <w:tc>
          <w:tcPr>
            <w:tcW w:w="160" w:type="dxa"/>
            <w:vAlign w:val="bottom"/>
            <w:tcBorders>
              <w:bottom w:val="single" w:sz="8" w:color="DEDEDE"/>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25,484,312</w:t>
            </w:r>
          </w:p>
        </w:tc>
        <w:tc>
          <w:tcPr>
            <w:tcW w:w="240" w:type="dxa"/>
            <w:vAlign w:val="bottom"/>
            <w:tcBorders>
              <w:bottom w:val="single" w:sz="8" w:color="DEDEDE"/>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25,186,505</w:t>
            </w:r>
          </w:p>
        </w:tc>
        <w:tc>
          <w:tcPr>
            <w:tcW w:w="80" w:type="dxa"/>
            <w:vAlign w:val="bottom"/>
            <w:tcBorders>
              <w:bottom w:val="single" w:sz="8" w:color="DEDEDE"/>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34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240" w:type="dxa"/>
            <w:vAlign w:val="bottom"/>
            <w:shd w:val="clear" w:color="auto" w:fill="DEDEDE"/>
          </w:tcPr>
          <w:p>
            <w:pPr>
              <w:spacing w:after="0"/>
              <w:rPr>
                <w:sz w:val="17"/>
                <w:szCs w:val="17"/>
                <w:color w:val="auto"/>
              </w:rPr>
            </w:pPr>
          </w:p>
        </w:tc>
        <w:tc>
          <w:tcPr>
            <w:tcW w:w="340" w:type="dxa"/>
            <w:vAlign w:val="bottom"/>
            <w:shd w:val="clear" w:color="auto" w:fill="DEDEDE"/>
          </w:tcPr>
          <w:p>
            <w:pPr>
              <w:spacing w:after="0"/>
              <w:rPr>
                <w:sz w:val="17"/>
                <w:szCs w:val="17"/>
                <w:color w:val="auto"/>
              </w:rPr>
            </w:pPr>
          </w:p>
        </w:tc>
        <w:tc>
          <w:tcPr>
            <w:tcW w:w="1200" w:type="dxa"/>
            <w:vAlign w:val="bottom"/>
            <w:shd w:val="clear" w:color="auto" w:fill="DEDEDE"/>
          </w:tcPr>
          <w:p>
            <w:pPr>
              <w:spacing w:after="0"/>
              <w:rPr>
                <w:sz w:val="17"/>
                <w:szCs w:val="17"/>
                <w:color w:val="auto"/>
              </w:rPr>
            </w:pPr>
          </w:p>
        </w:tc>
        <w:tc>
          <w:tcPr>
            <w:tcW w:w="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20" w:type="dxa"/>
            <w:vAlign w:val="bottom"/>
            <w:vMerge w:val="continue"/>
          </w:tcPr>
          <w:p>
            <w:pPr>
              <w:spacing w:after="0"/>
              <w:rPr>
                <w:sz w:val="24"/>
                <w:szCs w:val="24"/>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5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Borders>
              <w:top w:val="single" w:sz="8" w:color="DEDEDE"/>
              <w:bottom w:val="single" w:sz="8" w:color="DEDEDE"/>
            </w:tcBorders>
            <w:shd w:val="clear" w:color="auto" w:fill="DEDEDE"/>
          </w:tcPr>
          <w:p>
            <w:pPr>
              <w:spacing w:after="0" w:line="195" w:lineRule="exact"/>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tcBorders>
              <w:top w:val="single" w:sz="8" w:color="DEDEDE"/>
              <w:bottom w:val="single" w:sz="8" w:color="DEDEDE"/>
            </w:tcBorders>
            <w:shd w:val="clear" w:color="auto" w:fill="DEDEDE"/>
          </w:tcPr>
          <w:p>
            <w:pPr>
              <w:spacing w:after="0"/>
              <w:rPr>
                <w:sz w:val="17"/>
                <w:szCs w:val="17"/>
                <w:color w:val="auto"/>
              </w:rPr>
            </w:pPr>
          </w:p>
        </w:tc>
        <w:tc>
          <w:tcPr>
            <w:tcW w:w="340" w:type="dxa"/>
            <w:vAlign w:val="bottom"/>
            <w:tcBorders>
              <w:top w:val="single" w:sz="8" w:color="auto"/>
              <w:bottom w:val="single" w:sz="8" w:color="auto"/>
            </w:tcBorders>
            <w:shd w:val="clear" w:color="auto" w:fill="DEDEDE"/>
          </w:tcPr>
          <w:p>
            <w:pPr>
              <w:jc w:val="right"/>
              <w:ind w:right="15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line="197" w:lineRule="exact"/>
              <w:rPr>
                <w:sz w:val="20"/>
                <w:szCs w:val="20"/>
                <w:color w:val="auto"/>
              </w:rPr>
            </w:pPr>
            <w:r>
              <w:rPr>
                <w:rFonts w:ascii="Times New Roman" w:cs="Times New Roman" w:eastAsia="Times New Roman" w:hAnsi="Times New Roman"/>
                <w:sz w:val="18"/>
                <w:szCs w:val="18"/>
                <w:color w:val="auto"/>
              </w:rPr>
              <w:t>1.26</w:t>
            </w:r>
          </w:p>
        </w:tc>
        <w:tc>
          <w:tcPr>
            <w:tcW w:w="240" w:type="dxa"/>
            <w:vAlign w:val="bottom"/>
            <w:tcBorders>
              <w:top w:val="single" w:sz="8" w:color="DEDEDE"/>
              <w:bottom w:val="single" w:sz="8" w:color="DEDEDE"/>
            </w:tcBorders>
            <w:shd w:val="clear" w:color="auto" w:fill="DEDEDE"/>
          </w:tcPr>
          <w:p>
            <w:pPr>
              <w:spacing w:after="0"/>
              <w:rPr>
                <w:sz w:val="17"/>
                <w:szCs w:val="17"/>
                <w:color w:val="auto"/>
              </w:rPr>
            </w:pPr>
          </w:p>
        </w:tc>
        <w:tc>
          <w:tcPr>
            <w:tcW w:w="340" w:type="dxa"/>
            <w:vAlign w:val="bottom"/>
            <w:tcBorders>
              <w:top w:val="single" w:sz="8" w:color="auto"/>
              <w:bottom w:val="single" w:sz="8" w:color="auto"/>
            </w:tcBorders>
            <w:shd w:val="clear" w:color="auto" w:fill="DEDEDE"/>
          </w:tcPr>
          <w:p>
            <w:pPr>
              <w:jc w:val="right"/>
              <w:ind w:right="150"/>
              <w:spacing w:after="0" w:line="197"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DEDEDE"/>
          </w:tcPr>
          <w:p>
            <w:pPr>
              <w:jc w:val="right"/>
              <w:spacing w:after="0" w:line="197" w:lineRule="exact"/>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top w:val="single" w:sz="8" w:color="DEDEDE"/>
              <w:bottom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For 2025 and 2024, there were 435,485 and 363,700 of anti-dilutive employee stock option shares, respectively, that were not included in the computation of diluted net earnings per common share as their effect would be anti-dilutive. Basic and diluted earnings per share are the same for each class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88</w:t>
      </w:r>
    </w:p>
    <w:p>
      <w:pPr>
        <w:sectPr>
          <w:pgSz w:w="12240" w:h="15840" w:orient="portrait"/>
          <w:cols w:equalWidth="0" w:num="1">
            <w:col w:w="11222"/>
          </w:cols>
          <w:pgMar w:left="498" w:top="687" w:right="520" w:bottom="0" w:gutter="0" w:footer="0" w:header="0"/>
        </w:sectPr>
      </w:pPr>
    </w:p>
    <w:bookmarkStart w:id="116" w:name="page117"/>
    <w:bookmarkEnd w:id="116"/>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Segment Information</w:t>
      </w:r>
    </w:p>
    <w:p>
      <w:pPr>
        <w:spacing w:after="0" w:line="2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Description of Products and Services by Segment</w:t>
      </w:r>
    </w:p>
    <w:p>
      <w:pPr>
        <w:spacing w:after="0" w:line="228" w:lineRule="exact"/>
        <w:rPr>
          <w:sz w:val="20"/>
          <w:szCs w:val="20"/>
          <w:color w:val="auto"/>
        </w:rPr>
      </w:pPr>
    </w:p>
    <w:p>
      <w:pPr>
        <w:jc w:val="both"/>
        <w:ind w:left="2" w:right="20"/>
        <w:spacing w:after="0" w:line="254" w:lineRule="auto"/>
        <w:rPr>
          <w:sz w:val="20"/>
          <w:szCs w:val="20"/>
          <w:color w:val="auto"/>
        </w:rPr>
      </w:pPr>
      <w:r>
        <w:rPr>
          <w:rFonts w:ascii="Times New Roman" w:cs="Times New Roman" w:eastAsia="Times New Roman" w:hAnsi="Times New Roman"/>
          <w:sz w:val="18"/>
          <w:szCs w:val="18"/>
          <w:color w:val="auto"/>
        </w:rPr>
        <w:t>The Company has identified three operating and reportable business segments: life insurance, cemetery and mortuary, and mortgage. The Company’s life insurance segment revenue consists of life insurance premiums; fees earned on insurance assignment funding and net investment income derived from investing policyholder and surplus funds. Its expenses include operating expenses to collect insurance premiums and insurance policy receivables, and administer claims, and commissions payable related to the sale of insurance products sold by the Company’s independent agency force. The Company’s cemetery and mortuary segment revenue consists of fees from the sale of at-need cemetery and mortuary merchandise, services at its mortuaries and cemeteries, pre-need sales of cemetery spaces and the net investment income from investing surplus cash. Its expenses include operating expenses to maintain mortuary and cemetery operations and commissions related to the sale of insurance products sold by the Company’s agents. The Company’s mortgage segment revenue consists of residential mortgage origination fee income and mortgage interest income. Its expenses include normal operating expenses related to the origination and sale of residential mortgage loans, loan servicing, and warehouse interest and fee expenses.</w:t>
      </w:r>
    </w:p>
    <w:p>
      <w:pPr>
        <w:spacing w:after="0" w:line="18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Services and Cost Sharing Policies</w:t>
      </w:r>
    </w:p>
    <w:p>
      <w:pPr>
        <w:spacing w:after="0" w:line="228"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The accounting policies of the Company’s operating and reportable segments are the same as those described in the Significant Accounting Principles. Intersegment revenues are recorded at cost plus an agreed upon intercompany profit and are eliminated upon consolidation. In addition to revenues, the reportable segments share in business services and costs including personnel expenses, rent, information technology, software, interest expense, and other similar operating costs. These shared services and costs are allocated between the segments using prevailing market rates and other agreed upon allocation methods.</w:t>
      </w:r>
    </w:p>
    <w:p>
      <w:pPr>
        <w:spacing w:after="0" w:line="18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Factors Management Used to Identify the Company’s Operating and Reportable Segments</w:t>
      </w:r>
    </w:p>
    <w:p>
      <w:pPr>
        <w:spacing w:after="0" w:line="228"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Company’s operating and reportable segments are business units that are managed separately due to the different products provided and the need to report separately to the various regulatory jurisdictions.</w:t>
      </w:r>
    </w:p>
    <w:p>
      <w:pPr>
        <w:spacing w:after="0" w:line="15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Chief Operating Decision Maker (“CODM”)</w:t>
      </w:r>
    </w:p>
    <w:p>
      <w:pPr>
        <w:spacing w:after="0" w:line="228"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The Company’s CODM is the Chief Executive Officer. The following table summarizes significant segment expenses. The significant expenses are based on the information that the CODM is regularly provided to assess segment performance. The CODM reviews the regularly provided information for each segment monthly and gives added emphasis on month-over-month and year-over-year comparative results. The CODM considers these comparative results when making decisions about the allocation of the Company’s resources to each segment. The measure of segment profit or loss for the Company’s three operating and reportable business segments is net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89</w:t>
      </w:r>
    </w:p>
    <w:p>
      <w:pPr>
        <w:sectPr>
          <w:pgSz w:w="12240" w:h="15840" w:orient="portrait"/>
          <w:cols w:equalWidth="0" w:num="1">
            <w:col w:w="11242"/>
          </w:cols>
          <w:pgMar w:left="498" w:top="687" w:right="500" w:bottom="0" w:gutter="0" w:footer="0" w:header="0"/>
        </w:sectPr>
      </w:pPr>
    </w:p>
    <w:bookmarkStart w:id="117" w:name="page118"/>
    <w:bookmarkEnd w:id="117"/>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13"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Business </w:t>
            </w:r>
            <w:r>
              <w:rPr>
                <w:rFonts w:ascii="Times New Roman" w:cs="Times New Roman" w:eastAsia="Times New Roman" w:hAnsi="Times New Roman"/>
                <w:sz w:val="18"/>
                <w:szCs w:val="18"/>
                <w:u w:val="single" w:color="auto"/>
                <w:color w:val="auto"/>
              </w:rPr>
              <w:t>Segment Information</w:t>
            </w:r>
            <w:r>
              <w:rPr>
                <w:rFonts w:ascii="Times New Roman" w:cs="Times New Roman" w:eastAsia="Times New Roman" w:hAnsi="Times New Roman"/>
                <w:sz w:val="18"/>
                <w:szCs w:val="18"/>
                <w:color w:val="auto"/>
              </w:rPr>
              <w:t xml:space="preserve"> (Continued)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8"/>
                <w:szCs w:val="18"/>
                <w:color w:val="auto"/>
              </w:rPr>
              <w:t>Year Ended December 31, 2025</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340"/>
              <w:spacing w:after="0" w:line="204" w:lineRule="exact"/>
              <w:rPr>
                <w:sz w:val="20"/>
                <w:szCs w:val="20"/>
                <w:color w:val="auto"/>
              </w:rPr>
            </w:pPr>
            <w:r>
              <w:rPr>
                <w:rFonts w:ascii="Times New Roman" w:cs="Times New Roman" w:eastAsia="Times New Roman" w:hAnsi="Times New Roman"/>
                <w:sz w:val="18"/>
                <w:szCs w:val="18"/>
                <w:color w:val="auto"/>
                <w:w w:val="99"/>
              </w:rPr>
              <w:t>Life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50"/>
              <w:spacing w:after="0" w:line="204" w:lineRule="exact"/>
              <w:rPr>
                <w:sz w:val="20"/>
                <w:szCs w:val="20"/>
                <w:color w:val="auto"/>
              </w:rPr>
            </w:pPr>
            <w:r>
              <w:rPr>
                <w:rFonts w:ascii="Times New Roman" w:cs="Times New Roman" w:eastAsia="Times New Roman" w:hAnsi="Times New Roman"/>
                <w:sz w:val="18"/>
                <w:szCs w:val="18"/>
                <w:color w:val="auto"/>
              </w:rPr>
              <w:t>Cemetery/</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Insurance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Mortuary</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DEDEDE"/>
            </w:tcBorders>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1100" w:type="dxa"/>
            <w:vAlign w:val="bottom"/>
            <w:tcBorders>
              <w:top w:val="single" w:sz="8" w:color="auto"/>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108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spacing w:after="0"/>
              <w:rPr>
                <w:sz w:val="18"/>
                <w:szCs w:val="18"/>
                <w:color w:val="auto"/>
              </w:rPr>
            </w:pPr>
          </w:p>
        </w:tc>
        <w:tc>
          <w:tcPr>
            <w:tcW w:w="104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18"/>
                <w:szCs w:val="18"/>
                <w:color w:val="auto"/>
              </w:rPr>
            </w:pPr>
          </w:p>
        </w:tc>
        <w:tc>
          <w:tcPr>
            <w:tcW w:w="108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34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119,757,103</w:t>
            </w:r>
          </w:p>
        </w:tc>
        <w:tc>
          <w:tcPr>
            <w:tcW w:w="32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28,704,450</w:t>
            </w:r>
          </w:p>
        </w:tc>
        <w:tc>
          <w:tcPr>
            <w:tcW w:w="5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108,209,319</w:t>
            </w:r>
          </w:p>
        </w:tc>
        <w:tc>
          <w:tcPr>
            <w:tcW w:w="200" w:type="dxa"/>
            <w:vAlign w:val="bottom"/>
            <w:shd w:val="clear" w:color="auto" w:fill="DEDEDE"/>
          </w:tcPr>
          <w:p>
            <w:pPr>
              <w:spacing w:after="0"/>
              <w:rPr>
                <w:sz w:val="18"/>
                <w:szCs w:val="18"/>
                <w:color w:val="auto"/>
              </w:rPr>
            </w:pPr>
          </w:p>
        </w:tc>
        <w:tc>
          <w:tcPr>
            <w:tcW w:w="2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256,670,872</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76,379,023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2,345,283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79,338,512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Gains on investments and other assets</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3,229,181</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1,347,054</w:t>
            </w: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60,142</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4,636,377</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1,903,939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920,325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1,117,513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DEDEDE"/>
          </w:tcPr>
          <w:p>
            <w:pPr>
              <w:spacing w:after="0"/>
              <w:rPr>
                <w:sz w:val="19"/>
                <w:szCs w:val="19"/>
                <w:color w:val="auto"/>
              </w:rPr>
            </w:pPr>
          </w:p>
        </w:tc>
        <w:tc>
          <w:tcPr>
            <w:tcW w:w="160" w:type="dxa"/>
            <w:vAlign w:val="bottom"/>
            <w:tcBorders>
              <w:bottom w:val="single" w:sz="8" w:color="auto"/>
            </w:tcBorders>
            <w:shd w:val="clear" w:color="auto" w:fill="DEDEDE"/>
          </w:tcPr>
          <w:p>
            <w:pPr>
              <w:spacing w:after="0"/>
              <w:rPr>
                <w:sz w:val="19"/>
                <w:szCs w:val="19"/>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6,995,959</w:t>
            </w:r>
          </w:p>
        </w:tc>
        <w:tc>
          <w:tcPr>
            <w:tcW w:w="18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60" w:type="dxa"/>
            <w:vAlign w:val="bottom"/>
            <w:tcBorders>
              <w:bottom w:val="single" w:sz="8" w:color="auto"/>
            </w:tcBorders>
            <w:shd w:val="clear" w:color="auto" w:fill="DEDEDE"/>
          </w:tcPr>
          <w:p>
            <w:pPr>
              <w:spacing w:after="0"/>
              <w:rPr>
                <w:sz w:val="19"/>
                <w:szCs w:val="19"/>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340,001</w:t>
            </w:r>
          </w:p>
        </w:tc>
        <w:tc>
          <w:tcPr>
            <w:tcW w:w="320" w:type="dxa"/>
            <w:vAlign w:val="bottom"/>
            <w:shd w:val="clear" w:color="auto" w:fill="DEDEDE"/>
          </w:tcPr>
          <w:p>
            <w:pPr>
              <w:spacing w:after="0"/>
              <w:rPr>
                <w:sz w:val="19"/>
                <w:szCs w:val="19"/>
                <w:color w:val="auto"/>
              </w:rPr>
            </w:pPr>
          </w:p>
        </w:tc>
        <w:tc>
          <w:tcPr>
            <w:tcW w:w="180" w:type="dxa"/>
            <w:vAlign w:val="bottom"/>
            <w:tcBorders>
              <w:bottom w:val="single" w:sz="8" w:color="auto"/>
            </w:tcBorders>
            <w:shd w:val="clear" w:color="auto" w:fill="DEDEDE"/>
          </w:tcPr>
          <w:p>
            <w:pPr>
              <w:spacing w:after="0"/>
              <w:rPr>
                <w:sz w:val="19"/>
                <w:szCs w:val="19"/>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353,929</w:t>
            </w:r>
          </w:p>
        </w:tc>
        <w:tc>
          <w:tcPr>
            <w:tcW w:w="20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40" w:type="dxa"/>
            <w:vAlign w:val="bottom"/>
            <w:tcBorders>
              <w:bottom w:val="single" w:sz="8" w:color="auto"/>
            </w:tcBorders>
            <w:shd w:val="clear" w:color="auto" w:fill="DEDEDE"/>
          </w:tcPr>
          <w:p>
            <w:pPr>
              <w:spacing w:after="0"/>
              <w:rPr>
                <w:sz w:val="19"/>
                <w:szCs w:val="19"/>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7,689,889</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DEDEDE"/>
            </w:tcBorders>
            <w:gridSpan w:val="3"/>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bottom w:val="single" w:sz="8" w:color="DEDED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208,265,205</w:t>
            </w:r>
          </w:p>
        </w:tc>
        <w:tc>
          <w:tcPr>
            <w:tcW w:w="180" w:type="dxa"/>
            <w:vAlign w:val="bottom"/>
            <w:tcBorders>
              <w:bottom w:val="single" w:sz="8" w:color="DEDEDE"/>
            </w:tcBorders>
          </w:tcPr>
          <w:p>
            <w:pPr>
              <w:spacing w:after="0"/>
              <w:rPr>
                <w:sz w:val="18"/>
                <w:szCs w:val="18"/>
                <w:color w:val="auto"/>
              </w:rPr>
            </w:pPr>
          </w:p>
        </w:tc>
        <w:tc>
          <w:tcPr>
            <w:tcW w:w="160" w:type="dxa"/>
            <w:vAlign w:val="bottom"/>
            <w:tcBorders>
              <w:bottom w:val="single" w:sz="8" w:color="DEDED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33,657,113</w:t>
            </w:r>
          </w:p>
        </w:tc>
        <w:tc>
          <w:tcPr>
            <w:tcW w:w="320" w:type="dxa"/>
            <w:vAlign w:val="bottom"/>
            <w:tcBorders>
              <w:bottom w:val="single" w:sz="8" w:color="DEDED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110,355,109</w:t>
            </w:r>
          </w:p>
        </w:tc>
        <w:tc>
          <w:tcPr>
            <w:tcW w:w="200" w:type="dxa"/>
            <w:vAlign w:val="bottom"/>
            <w:tcBorders>
              <w:bottom w:val="single" w:sz="8" w:color="DEDEDE"/>
            </w:tcBorders>
          </w:tcPr>
          <w:p>
            <w:pPr>
              <w:spacing w:after="0"/>
              <w:rPr>
                <w:sz w:val="18"/>
                <w:szCs w:val="18"/>
                <w:color w:val="auto"/>
              </w:rPr>
            </w:pPr>
          </w:p>
        </w:tc>
        <w:tc>
          <w:tcPr>
            <w:tcW w:w="140" w:type="dxa"/>
            <w:vAlign w:val="bottom"/>
            <w:tcBorders>
              <w:bottom w:val="single" w:sz="8" w:color="DEDEDE"/>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352,277,427</w:t>
            </w:r>
          </w:p>
        </w:tc>
        <w:tc>
          <w:tcPr>
            <w:tcW w:w="120" w:type="dxa"/>
            <w:vAlign w:val="bottom"/>
            <w:tcBorders>
              <w:bottom w:val="single" w:sz="8" w:color="DEDE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 w:type="dxa"/>
            <w:vAlign w:val="bottom"/>
            <w:shd w:val="clear" w:color="auto" w:fill="DEDEDE"/>
          </w:tcPr>
          <w:p>
            <w:pPr>
              <w:spacing w:after="0"/>
              <w:rPr>
                <w:sz w:val="18"/>
                <w:szCs w:val="18"/>
                <w:color w:val="auto"/>
              </w:rPr>
            </w:pPr>
          </w:p>
        </w:tc>
        <w:tc>
          <w:tcPr>
            <w:tcW w:w="700" w:type="dxa"/>
            <w:vAlign w:val="bottom"/>
            <w:shd w:val="clear" w:color="auto" w:fill="DEDEDE"/>
          </w:tcPr>
          <w:p>
            <w:pPr>
              <w:spacing w:after="0"/>
              <w:rPr>
                <w:sz w:val="18"/>
                <w:szCs w:val="18"/>
                <w:color w:val="auto"/>
              </w:rPr>
            </w:pPr>
          </w:p>
        </w:tc>
        <w:tc>
          <w:tcPr>
            <w:tcW w:w="36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(7,689,889)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DEDEDE"/>
            </w:tcBorders>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10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080" w:type="dxa"/>
            <w:vAlign w:val="bottom"/>
            <w:tcBorders>
              <w:top w:val="single" w:sz="8" w:color="DEDEDE"/>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040" w:type="dxa"/>
            <w:vAlign w:val="bottom"/>
            <w:tcBorders>
              <w:top w:val="single" w:sz="8" w:color="DEDEDE"/>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bottom w:val="single" w:sz="8" w:color="auto"/>
            </w:tcBorders>
            <w:shd w:val="clear" w:color="auto" w:fill="DEDEDE"/>
          </w:tcPr>
          <w:p>
            <w:pPr>
              <w:spacing w:after="0"/>
              <w:rPr>
                <w:sz w:val="18"/>
                <w:szCs w:val="18"/>
                <w:color w:val="auto"/>
              </w:rPr>
            </w:pPr>
          </w:p>
        </w:tc>
        <w:tc>
          <w:tcPr>
            <w:tcW w:w="10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344,587,538</w:t>
            </w: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Less:</w:t>
            </w:r>
          </w:p>
        </w:tc>
        <w:tc>
          <w:tcPr>
            <w:tcW w:w="700" w:type="dxa"/>
            <w:vAlign w:val="bottom"/>
            <w:shd w:val="clear" w:color="auto" w:fill="DEDEDE"/>
          </w:tcPr>
          <w:p>
            <w:pPr>
              <w:spacing w:after="0"/>
              <w:rPr>
                <w:sz w:val="18"/>
                <w:szCs w:val="18"/>
                <w:color w:val="auto"/>
              </w:rPr>
            </w:pPr>
          </w:p>
        </w:tc>
        <w:tc>
          <w:tcPr>
            <w:tcW w:w="36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Policyholder benefits and claims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100,817,674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gridSpan w:val="3"/>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w:t>
            </w:r>
          </w:p>
        </w:tc>
        <w:tc>
          <w:tcPr>
            <w:tcW w:w="18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10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0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04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0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8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10,946,671</w:t>
            </w:r>
          </w:p>
        </w:tc>
        <w:tc>
          <w:tcPr>
            <w:tcW w:w="18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714,037</w:t>
            </w:r>
          </w:p>
        </w:tc>
        <w:tc>
          <w:tcPr>
            <w:tcW w:w="32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24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108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Commissions</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3,412,729</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1,191,548</w:t>
            </w: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42,444,319</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Personnel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34,946,951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10,808,207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41,396,645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443,079</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601,283</w:t>
            </w: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2,470,279</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Rent and rent related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3,251,019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896,227</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913,037</w:t>
            </w: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615,921</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6,622,489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1,191,834</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300,271</w:t>
            </w: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3,640,818</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gridSpan w:val="3"/>
          </w:tcPr>
          <w:p>
            <w:pPr>
              <w:ind w:left="160"/>
              <w:spacing w:after="0" w:line="197" w:lineRule="exact"/>
              <w:rPr>
                <w:sz w:val="20"/>
                <w:szCs w:val="20"/>
                <w:color w:val="auto"/>
              </w:rPr>
            </w:pPr>
            <w:r>
              <w:rPr>
                <w:rFonts w:ascii="Times New Roman" w:cs="Times New Roman" w:eastAsia="Times New Roman" w:hAnsi="Times New Roman"/>
                <w:sz w:val="18"/>
                <w:szCs w:val="18"/>
                <w:color w:val="auto"/>
              </w:rPr>
              <w:t>Premium taxes on insurance premiums and other considerations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2,957,328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Other segment items (1)(2)</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10,509,380</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5,163,619</w:t>
            </w: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7,234,014</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693,716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336,863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6,659,310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3,735,224</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781,423</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4,660,090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7,912,489</w:t>
            </w:r>
          </w:p>
        </w:tc>
        <w:tc>
          <w:tcPr>
            <w:tcW w:w="18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2,235,035</w:t>
            </w:r>
          </w:p>
        </w:tc>
        <w:tc>
          <w:tcPr>
            <w:tcW w:w="32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24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(890,250)</w:t>
            </w: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08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DEDEDE"/>
            </w:tcBorders>
            <w:gridSpan w:val="3"/>
          </w:tcPr>
          <w:p>
            <w:pPr>
              <w:spacing w:after="0"/>
              <w:rPr>
                <w:sz w:val="20"/>
                <w:szCs w:val="20"/>
                <w:color w:val="auto"/>
              </w:rPr>
            </w:pPr>
            <w:r>
              <w:rPr>
                <w:rFonts w:ascii="Times New Roman" w:cs="Times New Roman" w:eastAsia="Times New Roman" w:hAnsi="Times New Roman"/>
                <w:sz w:val="18"/>
                <w:szCs w:val="18"/>
                <w:color w:val="auto"/>
              </w:rPr>
              <w:t>Segment net earnings (loss)</w:t>
            </w:r>
          </w:p>
        </w:tc>
        <w:tc>
          <w:tcPr>
            <w:tcW w:w="180" w:type="dxa"/>
            <w:vAlign w:val="bottom"/>
            <w:tcBorders>
              <w:bottom w:val="single" w:sz="8" w:color="DEDEDE"/>
            </w:tcBorders>
          </w:tcPr>
          <w:p>
            <w:pPr>
              <w:spacing w:after="0"/>
              <w:rPr>
                <w:sz w:val="19"/>
                <w:szCs w:val="19"/>
                <w:color w:val="auto"/>
              </w:rPr>
            </w:pPr>
          </w:p>
        </w:tc>
        <w:tc>
          <w:tcPr>
            <w:tcW w:w="160" w:type="dxa"/>
            <w:vAlign w:val="bottom"/>
            <w:tcBorders>
              <w:top w:val="single" w:sz="8" w:color="auto"/>
              <w:bottom w:val="single" w:sz="8" w:color="DEDEDE"/>
            </w:tcBorders>
          </w:tcPr>
          <w:p>
            <w:pPr>
              <w:spacing w:after="0"/>
              <w:rPr>
                <w:sz w:val="19"/>
                <w:szCs w:val="19"/>
                <w:color w:val="auto"/>
              </w:rPr>
            </w:pPr>
          </w:p>
        </w:tc>
        <w:tc>
          <w:tcPr>
            <w:tcW w:w="1100" w:type="dxa"/>
            <w:vAlign w:val="bottom"/>
            <w:tcBorders>
              <w:top w:val="single" w:sz="8" w:color="auto"/>
              <w:bottom w:val="single" w:sz="8" w:color="DEDEDE"/>
            </w:tcBorders>
          </w:tcPr>
          <w:p>
            <w:pPr>
              <w:jc w:val="right"/>
              <w:spacing w:after="0"/>
              <w:rPr>
                <w:sz w:val="20"/>
                <w:szCs w:val="20"/>
                <w:color w:val="auto"/>
              </w:rPr>
            </w:pPr>
            <w:r>
              <w:rPr>
                <w:rFonts w:ascii="Times New Roman" w:cs="Times New Roman" w:eastAsia="Times New Roman" w:hAnsi="Times New Roman"/>
                <w:sz w:val="18"/>
                <w:szCs w:val="18"/>
                <w:color w:val="auto"/>
              </w:rPr>
              <w:t>29,439,253</w:t>
            </w:r>
          </w:p>
        </w:tc>
        <w:tc>
          <w:tcPr>
            <w:tcW w:w="180" w:type="dxa"/>
            <w:vAlign w:val="bottom"/>
            <w:tcBorders>
              <w:bottom w:val="single" w:sz="8" w:color="DEDEDE"/>
            </w:tcBorders>
          </w:tcPr>
          <w:p>
            <w:pPr>
              <w:spacing w:after="0"/>
              <w:rPr>
                <w:sz w:val="19"/>
                <w:szCs w:val="19"/>
                <w:color w:val="auto"/>
              </w:rPr>
            </w:pPr>
          </w:p>
        </w:tc>
        <w:tc>
          <w:tcPr>
            <w:tcW w:w="160" w:type="dxa"/>
            <w:vAlign w:val="bottom"/>
            <w:tcBorders>
              <w:bottom w:val="single" w:sz="8" w:color="DEDEDE"/>
            </w:tcBorders>
          </w:tcPr>
          <w:p>
            <w:pPr>
              <w:spacing w:after="0"/>
              <w:rPr>
                <w:sz w:val="19"/>
                <w:szCs w:val="19"/>
                <w:color w:val="auto"/>
              </w:rPr>
            </w:pPr>
          </w:p>
        </w:tc>
        <w:tc>
          <w:tcPr>
            <w:tcW w:w="160" w:type="dxa"/>
            <w:vAlign w:val="bottom"/>
            <w:tcBorders>
              <w:top w:val="single" w:sz="8" w:color="auto"/>
              <w:bottom w:val="single" w:sz="8" w:color="DEDEDE"/>
            </w:tcBorders>
          </w:tcPr>
          <w:p>
            <w:pPr>
              <w:spacing w:after="0"/>
              <w:rPr>
                <w:sz w:val="19"/>
                <w:szCs w:val="19"/>
                <w:color w:val="auto"/>
              </w:rPr>
            </w:pPr>
          </w:p>
        </w:tc>
        <w:tc>
          <w:tcPr>
            <w:tcW w:w="1080" w:type="dxa"/>
            <w:vAlign w:val="bottom"/>
            <w:tcBorders>
              <w:top w:val="single" w:sz="8" w:color="auto"/>
              <w:bottom w:val="single" w:sz="8" w:color="DEDEDE"/>
            </w:tcBorders>
          </w:tcPr>
          <w:p>
            <w:pPr>
              <w:jc w:val="right"/>
              <w:spacing w:after="0"/>
              <w:rPr>
                <w:sz w:val="20"/>
                <w:szCs w:val="20"/>
                <w:color w:val="auto"/>
              </w:rPr>
            </w:pPr>
            <w:r>
              <w:rPr>
                <w:rFonts w:ascii="Times New Roman" w:cs="Times New Roman" w:eastAsia="Times New Roman" w:hAnsi="Times New Roman"/>
                <w:sz w:val="18"/>
                <w:szCs w:val="18"/>
                <w:color w:val="auto"/>
              </w:rPr>
              <w:t>6,583,955</w:t>
            </w:r>
          </w:p>
        </w:tc>
        <w:tc>
          <w:tcPr>
            <w:tcW w:w="320" w:type="dxa"/>
            <w:vAlign w:val="bottom"/>
            <w:tcBorders>
              <w:bottom w:val="single" w:sz="8" w:color="DEDEDE"/>
            </w:tcBorders>
          </w:tcPr>
          <w:p>
            <w:pPr>
              <w:spacing w:after="0"/>
              <w:rPr>
                <w:sz w:val="19"/>
                <w:szCs w:val="19"/>
                <w:color w:val="auto"/>
              </w:rPr>
            </w:pPr>
          </w:p>
        </w:tc>
        <w:tc>
          <w:tcPr>
            <w:tcW w:w="180" w:type="dxa"/>
            <w:vAlign w:val="bottom"/>
            <w:tcBorders>
              <w:top w:val="single" w:sz="8" w:color="auto"/>
              <w:bottom w:val="single" w:sz="8" w:color="DEDEDE"/>
            </w:tcBorders>
          </w:tcPr>
          <w:p>
            <w:pPr>
              <w:spacing w:after="0"/>
              <w:rPr>
                <w:sz w:val="19"/>
                <w:szCs w:val="19"/>
                <w:color w:val="auto"/>
              </w:rPr>
            </w:pPr>
          </w:p>
        </w:tc>
        <w:tc>
          <w:tcPr>
            <w:tcW w:w="1040" w:type="dxa"/>
            <w:vAlign w:val="bottom"/>
            <w:tcBorders>
              <w:top w:val="single" w:sz="8" w:color="auto"/>
              <w:bottom w:val="single" w:sz="8" w:color="DEDEDE"/>
            </w:tcBorders>
          </w:tcPr>
          <w:p>
            <w:pPr>
              <w:jc w:val="right"/>
              <w:spacing w:after="0"/>
              <w:rPr>
                <w:sz w:val="20"/>
                <w:szCs w:val="20"/>
                <w:color w:val="auto"/>
              </w:rPr>
            </w:pPr>
            <w:r>
              <w:rPr>
                <w:rFonts w:ascii="Times New Roman" w:cs="Times New Roman" w:eastAsia="Times New Roman" w:hAnsi="Times New Roman"/>
                <w:sz w:val="18"/>
                <w:szCs w:val="18"/>
                <w:color w:val="auto"/>
              </w:rPr>
              <w:t>(3,870,878)</w:t>
            </w:r>
          </w:p>
        </w:tc>
        <w:tc>
          <w:tcPr>
            <w:tcW w:w="200" w:type="dxa"/>
            <w:vAlign w:val="bottom"/>
            <w:tcBorders>
              <w:bottom w:val="single" w:sz="8" w:color="DEDEDE"/>
            </w:tcBorders>
          </w:tcPr>
          <w:p>
            <w:pPr>
              <w:spacing w:after="0"/>
              <w:rPr>
                <w:sz w:val="19"/>
                <w:szCs w:val="19"/>
                <w:color w:val="auto"/>
              </w:rPr>
            </w:pPr>
          </w:p>
        </w:tc>
        <w:tc>
          <w:tcPr>
            <w:tcW w:w="140" w:type="dxa"/>
            <w:vAlign w:val="bottom"/>
            <w:tcBorders>
              <w:bottom w:val="single" w:sz="8" w:color="DEDED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32,152,330</w:t>
            </w:r>
          </w:p>
        </w:tc>
        <w:tc>
          <w:tcPr>
            <w:tcW w:w="12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 w:type="dxa"/>
            <w:vAlign w:val="bottom"/>
            <w:shd w:val="clear" w:color="auto" w:fill="DEDEDE"/>
          </w:tcPr>
          <w:p>
            <w:pPr>
              <w:spacing w:after="0"/>
              <w:rPr>
                <w:sz w:val="18"/>
                <w:szCs w:val="18"/>
                <w:color w:val="auto"/>
              </w:rPr>
            </w:pPr>
          </w:p>
        </w:tc>
        <w:tc>
          <w:tcPr>
            <w:tcW w:w="700" w:type="dxa"/>
            <w:vAlign w:val="bottom"/>
            <w:shd w:val="clear" w:color="auto" w:fill="DEDEDE"/>
          </w:tcPr>
          <w:p>
            <w:pPr>
              <w:spacing w:after="0"/>
              <w:rPr>
                <w:sz w:val="18"/>
                <w:szCs w:val="18"/>
                <w:color w:val="auto"/>
              </w:rPr>
            </w:pPr>
          </w:p>
        </w:tc>
        <w:tc>
          <w:tcPr>
            <w:tcW w:w="36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32,152,330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Borders>
              <w:top w:val="single" w:sz="8" w:color="DEDEDE"/>
            </w:tcBorders>
            <w:shd w:val="clear" w:color="auto" w:fill="DEDEDE"/>
          </w:tcPr>
          <w:p>
            <w:pPr>
              <w:spacing w:after="0"/>
              <w:rPr>
                <w:sz w:val="17"/>
                <w:szCs w:val="17"/>
                <w:color w:val="auto"/>
              </w:rPr>
            </w:pPr>
          </w:p>
        </w:tc>
        <w:tc>
          <w:tcPr>
            <w:tcW w:w="700" w:type="dxa"/>
            <w:vAlign w:val="bottom"/>
            <w:tcBorders>
              <w:top w:val="single" w:sz="8" w:color="DEDEDE"/>
            </w:tcBorders>
            <w:shd w:val="clear" w:color="auto" w:fill="DEDEDE"/>
          </w:tcPr>
          <w:p>
            <w:pPr>
              <w:spacing w:after="0"/>
              <w:rPr>
                <w:sz w:val="17"/>
                <w:szCs w:val="17"/>
                <w:color w:val="auto"/>
              </w:rPr>
            </w:pPr>
          </w:p>
        </w:tc>
        <w:tc>
          <w:tcPr>
            <w:tcW w:w="36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10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080" w:type="dxa"/>
            <w:vAlign w:val="bottom"/>
            <w:tcBorders>
              <w:top w:val="single" w:sz="8" w:color="DEDEDE"/>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04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auto"/>
            </w:tcBorders>
            <w:shd w:val="clear" w:color="auto" w:fill="DEDEDE"/>
          </w:tcPr>
          <w:p>
            <w:pPr>
              <w:spacing w:after="0"/>
              <w:rPr>
                <w:sz w:val="17"/>
                <w:szCs w:val="17"/>
                <w:color w:val="auto"/>
              </w:rPr>
            </w:pPr>
          </w:p>
        </w:tc>
        <w:tc>
          <w:tcPr>
            <w:tcW w:w="1080" w:type="dxa"/>
            <w:vAlign w:val="bottom"/>
            <w:tcBorders>
              <w:top w:val="single" w:sz="8" w:color="auto"/>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1,409,753,605</w:t>
            </w:r>
          </w:p>
        </w:tc>
        <w:tc>
          <w:tcPr>
            <w:tcW w:w="180" w:type="dxa"/>
            <w:vAlign w:val="bottom"/>
          </w:tcPr>
          <w:p>
            <w:pPr>
              <w:spacing w:after="0"/>
              <w:rPr>
                <w:sz w:val="24"/>
                <w:szCs w:val="24"/>
                <w:color w:val="auto"/>
              </w:rPr>
            </w:pP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105,970,868</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72,460,214</w:t>
            </w:r>
          </w:p>
        </w:tc>
        <w:tc>
          <w:tcPr>
            <w:tcW w:w="2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1,588,184,687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Borders>
              <w:top w:val="single" w:sz="8" w:color="DEDEDE"/>
            </w:tcBorders>
            <w:shd w:val="clear" w:color="auto" w:fill="DEDEDE"/>
          </w:tcPr>
          <w:p>
            <w:pPr>
              <w:spacing w:after="0"/>
              <w:rPr>
                <w:sz w:val="17"/>
                <w:szCs w:val="17"/>
                <w:color w:val="auto"/>
              </w:rPr>
            </w:pPr>
          </w:p>
        </w:tc>
        <w:tc>
          <w:tcPr>
            <w:tcW w:w="700" w:type="dxa"/>
            <w:vAlign w:val="bottom"/>
            <w:tcBorders>
              <w:top w:val="single" w:sz="8" w:color="DEDEDE"/>
            </w:tcBorders>
            <w:shd w:val="clear" w:color="auto" w:fill="DEDEDE"/>
          </w:tcPr>
          <w:p>
            <w:pPr>
              <w:spacing w:after="0"/>
              <w:rPr>
                <w:sz w:val="17"/>
                <w:szCs w:val="17"/>
                <w:color w:val="auto"/>
              </w:rPr>
            </w:pPr>
          </w:p>
        </w:tc>
        <w:tc>
          <w:tcPr>
            <w:tcW w:w="36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auto"/>
            </w:tcBorders>
            <w:shd w:val="clear" w:color="auto" w:fill="DEDEDE"/>
          </w:tcPr>
          <w:p>
            <w:pPr>
              <w:spacing w:after="0"/>
              <w:rPr>
                <w:sz w:val="17"/>
                <w:szCs w:val="17"/>
                <w:color w:val="auto"/>
              </w:rPr>
            </w:pPr>
          </w:p>
        </w:tc>
        <w:tc>
          <w:tcPr>
            <w:tcW w:w="1100" w:type="dxa"/>
            <w:vAlign w:val="bottom"/>
            <w:tcBorders>
              <w:top w:val="single" w:sz="8" w:color="auto"/>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auto"/>
            </w:tcBorders>
            <w:shd w:val="clear" w:color="auto" w:fill="DEDEDE"/>
          </w:tcPr>
          <w:p>
            <w:pPr>
              <w:spacing w:after="0"/>
              <w:rPr>
                <w:sz w:val="17"/>
                <w:szCs w:val="17"/>
                <w:color w:val="auto"/>
              </w:rPr>
            </w:pPr>
          </w:p>
        </w:tc>
        <w:tc>
          <w:tcPr>
            <w:tcW w:w="1080" w:type="dxa"/>
            <w:vAlign w:val="bottom"/>
            <w:tcBorders>
              <w:top w:val="single" w:sz="8" w:color="auto"/>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040" w:type="dxa"/>
            <w:vAlign w:val="bottom"/>
            <w:tcBorders>
              <w:top w:val="single" w:sz="8" w:color="auto"/>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auto"/>
            </w:tcBorders>
            <w:shd w:val="clear" w:color="auto" w:fill="DEDEDE"/>
          </w:tcPr>
          <w:p>
            <w:pPr>
              <w:spacing w:after="0"/>
              <w:rPr>
                <w:sz w:val="17"/>
                <w:szCs w:val="17"/>
                <w:color w:val="auto"/>
              </w:rPr>
            </w:pPr>
          </w:p>
        </w:tc>
        <w:tc>
          <w:tcPr>
            <w:tcW w:w="1080" w:type="dxa"/>
            <w:vAlign w:val="bottom"/>
            <w:tcBorders>
              <w:top w:val="single" w:sz="8" w:color="auto"/>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assets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(26,340,083)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DEDEDE"/>
              <w:bottom w:val="single" w:sz="8" w:color="DEDEDE"/>
            </w:tcBorders>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1100" w:type="dxa"/>
            <w:vAlign w:val="bottom"/>
            <w:tcBorders>
              <w:top w:val="single" w:sz="8" w:color="DEDEDE"/>
              <w:bottom w:val="single" w:sz="8" w:color="DEDEDE"/>
            </w:tcBorders>
            <w:shd w:val="clear" w:color="auto" w:fill="DEDEDE"/>
          </w:tcPr>
          <w:p>
            <w:pPr>
              <w:spacing w:after="0"/>
              <w:rPr>
                <w:sz w:val="19"/>
                <w:szCs w:val="19"/>
                <w:color w:val="auto"/>
              </w:rPr>
            </w:pP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1080" w:type="dxa"/>
            <w:vAlign w:val="bottom"/>
            <w:tcBorders>
              <w:top w:val="single" w:sz="8" w:color="DEDEDE"/>
              <w:bottom w:val="single" w:sz="8" w:color="DEDEDE"/>
            </w:tcBorders>
            <w:shd w:val="clear" w:color="auto" w:fill="DEDEDE"/>
          </w:tcPr>
          <w:p>
            <w:pPr>
              <w:spacing w:after="0"/>
              <w:rPr>
                <w:sz w:val="19"/>
                <w:szCs w:val="19"/>
                <w:color w:val="auto"/>
              </w:rPr>
            </w:pP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040" w:type="dxa"/>
            <w:vAlign w:val="bottom"/>
            <w:tcBorders>
              <w:top w:val="single" w:sz="8" w:color="DEDEDE"/>
              <w:bottom w:val="single" w:sz="8" w:color="DEDEDE"/>
            </w:tcBorders>
            <w:shd w:val="clear" w:color="auto" w:fill="DEDEDE"/>
          </w:tcPr>
          <w:p>
            <w:pPr>
              <w:spacing w:after="0"/>
              <w:rPr>
                <w:sz w:val="19"/>
                <w:szCs w:val="19"/>
                <w:color w:val="auto"/>
              </w:rPr>
            </w:pP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1,561,844,604</w:t>
            </w: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3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64,060,800</w:t>
            </w:r>
          </w:p>
        </w:tc>
        <w:tc>
          <w:tcPr>
            <w:tcW w:w="180" w:type="dxa"/>
            <w:vAlign w:val="bottom"/>
            <w:shd w:val="clear" w:color="auto" w:fill="DEDEDE"/>
          </w:tcPr>
          <w:p>
            <w:pPr>
              <w:spacing w:after="0"/>
              <w:rPr>
                <w:sz w:val="21"/>
                <w:szCs w:val="21"/>
                <w:color w:val="auto"/>
              </w:rPr>
            </w:pPr>
          </w:p>
        </w:tc>
        <w:tc>
          <w:tcPr>
            <w:tcW w:w="32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1,244,003</w:t>
            </w:r>
          </w:p>
        </w:tc>
        <w:tc>
          <w:tcPr>
            <w:tcW w:w="50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314,557</w:t>
            </w:r>
          </w:p>
        </w:tc>
        <w:tc>
          <w:tcPr>
            <w:tcW w:w="200" w:type="dxa"/>
            <w:vAlign w:val="bottom"/>
            <w:shd w:val="clear" w:color="auto" w:fill="DEDEDE"/>
          </w:tcPr>
          <w:p>
            <w:pPr>
              <w:spacing w:after="0"/>
              <w:rPr>
                <w:sz w:val="21"/>
                <w:szCs w:val="21"/>
                <w:color w:val="auto"/>
              </w:rPr>
            </w:pPr>
          </w:p>
        </w:tc>
        <w:tc>
          <w:tcPr>
            <w:tcW w:w="2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65,619,360</w:t>
            </w: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DEDEDE"/>
            </w:tcBorders>
          </w:tcPr>
          <w:p>
            <w:pPr>
              <w:spacing w:after="0" w:line="20" w:lineRule="exact"/>
              <w:rPr>
                <w:sz w:val="1"/>
                <w:szCs w:val="1"/>
                <w:color w:val="auto"/>
              </w:rPr>
            </w:pPr>
          </w:p>
        </w:tc>
        <w:tc>
          <w:tcPr>
            <w:tcW w:w="700" w:type="dxa"/>
            <w:vAlign w:val="bottom"/>
            <w:tcBorders>
              <w:top w:val="single" w:sz="8" w:color="DEDEDE"/>
            </w:tcBorders>
          </w:tcPr>
          <w:p>
            <w:pPr>
              <w:spacing w:after="0" w:line="20" w:lineRule="exact"/>
              <w:rPr>
                <w:sz w:val="1"/>
                <w:szCs w:val="1"/>
                <w:color w:val="auto"/>
              </w:rPr>
            </w:pPr>
          </w:p>
        </w:tc>
        <w:tc>
          <w:tcPr>
            <w:tcW w:w="366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322" w:right="20" w:hanging="322"/>
        <w:spacing w:after="0" w:line="250" w:lineRule="auto"/>
        <w:tabs>
          <w:tab w:leader="none" w:pos="32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consolidated statements of earnings. Data processing and IT related expenses includes various software subscriptions, maintenance, consulting, support and storage fees.</w:t>
      </w:r>
    </w:p>
    <w:p>
      <w:pPr>
        <w:ind w:left="322" w:hanging="322"/>
        <w:spacing w:after="0"/>
        <w:tabs>
          <w:tab w:leader="none" w:pos="32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9" w:lineRule="exact"/>
        <w:rPr>
          <w:sz w:val="20"/>
          <w:szCs w:val="20"/>
          <w:color w:val="auto"/>
        </w:rPr>
      </w:pPr>
    </w:p>
    <w:p>
      <w:pPr>
        <w:ind w:left="582" w:right="20"/>
        <w:spacing w:after="0" w:line="250"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spacing w:after="0" w:line="1" w:lineRule="exact"/>
        <w:rPr>
          <w:sz w:val="20"/>
          <w:szCs w:val="20"/>
          <w:color w:val="auto"/>
        </w:rPr>
      </w:pPr>
    </w:p>
    <w:p>
      <w:pPr>
        <w:ind w:left="582"/>
        <w:spacing w:after="0" w:line="250" w:lineRule="auto"/>
        <w:rPr>
          <w:sz w:val="20"/>
          <w:szCs w:val="20"/>
          <w:color w:val="auto"/>
        </w:rPr>
      </w:pPr>
      <w:r>
        <w:rPr>
          <w:rFonts w:ascii="Times New Roman" w:cs="Times New Roman" w:eastAsia="Times New Roman" w:hAnsi="Times New Roman"/>
          <w:sz w:val="18"/>
          <w:szCs w:val="18"/>
          <w:color w:val="auto"/>
        </w:rPr>
        <w:t>Cemetery/Mortuary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582" w:right="20"/>
        <w:spacing w:after="0" w:line="250" w:lineRule="auto"/>
        <w:rPr>
          <w:sz w:val="20"/>
          <w:szCs w:val="20"/>
          <w:color w:val="auto"/>
        </w:rPr>
      </w:pPr>
      <w:r>
        <w:rPr>
          <w:rFonts w:ascii="Times New Roman" w:cs="Times New Roman" w:eastAsia="Times New Roman" w:hAnsi="Times New Roman"/>
          <w:sz w:val="18"/>
          <w:szCs w:val="18"/>
          <w:color w:val="auto"/>
        </w:rPr>
        <w:t>Mortgage - bad debt, insurance expenses, professional service expenses, business license and registration fees, dues and subscriptions, amortization expense of mortgage servicing rights, and certain overhead expenses.</w:t>
      </w:r>
    </w:p>
    <w:p>
      <w:pPr>
        <w:spacing w:after="0" w:line="1" w:lineRule="exact"/>
        <w:rPr>
          <w:sz w:val="20"/>
          <w:szCs w:val="20"/>
          <w:color w:val="auto"/>
        </w:rPr>
      </w:pPr>
    </w:p>
    <w:p>
      <w:pPr>
        <w:ind w:left="582" w:right="6200" w:hanging="582"/>
        <w:spacing w:after="0" w:line="265" w:lineRule="auto"/>
        <w:tabs>
          <w:tab w:leader="none" w:pos="323"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intersegment expenses includes: Life Insurance - mortgage servicing fees and interest expense.</w:t>
      </w:r>
    </w:p>
    <w:p>
      <w:pPr>
        <w:ind w:left="582" w:right="3620"/>
        <w:spacing w:after="0" w:line="28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Cemetery/Mortuary - rent expense, data processing and IT related expenses, and interest expense. Mortgage - rent expense and interest expense.</w:t>
      </w:r>
    </w:p>
    <w:p>
      <w:pPr>
        <w:spacing w:after="0" w:line="6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90</w:t>
      </w:r>
    </w:p>
    <w:p>
      <w:pPr>
        <w:sectPr>
          <w:pgSz w:w="12240" w:h="15840" w:orient="portrait"/>
          <w:cols w:equalWidth="0" w:num="1">
            <w:col w:w="11242"/>
          </w:cols>
          <w:pgMar w:left="498" w:top="687" w:right="500" w:bottom="0" w:gutter="0" w:footer="0" w:header="0"/>
        </w:sectPr>
      </w:pPr>
    </w:p>
    <w:bookmarkStart w:id="118" w:name="page119"/>
    <w:bookmarkEnd w:id="118"/>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13"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Business </w:t>
            </w:r>
            <w:r>
              <w:rPr>
                <w:rFonts w:ascii="Times New Roman" w:cs="Times New Roman" w:eastAsia="Times New Roman" w:hAnsi="Times New Roman"/>
                <w:sz w:val="18"/>
                <w:szCs w:val="18"/>
                <w:u w:val="single" w:color="auto"/>
                <w:color w:val="auto"/>
              </w:rPr>
              <w:t>Segment Information</w:t>
            </w:r>
            <w:r>
              <w:rPr>
                <w:rFonts w:ascii="Times New Roman" w:cs="Times New Roman" w:eastAsia="Times New Roman" w:hAnsi="Times New Roman"/>
                <w:sz w:val="18"/>
                <w:szCs w:val="18"/>
                <w:color w:val="auto"/>
              </w:rPr>
              <w:t xml:space="preserve"> (Continued)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460"/>
              <w:spacing w:after="0"/>
              <w:rPr>
                <w:sz w:val="20"/>
                <w:szCs w:val="20"/>
                <w:color w:val="auto"/>
              </w:rPr>
            </w:pPr>
            <w:r>
              <w:rPr>
                <w:rFonts w:ascii="Times New Roman" w:cs="Times New Roman" w:eastAsia="Times New Roman" w:hAnsi="Times New Roman"/>
                <w:sz w:val="18"/>
                <w:szCs w:val="18"/>
                <w:color w:val="auto"/>
              </w:rPr>
              <w:t>Year Ended December 31, 2024</w:t>
            </w: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320"/>
              <w:spacing w:after="0" w:line="204" w:lineRule="exact"/>
              <w:rPr>
                <w:sz w:val="20"/>
                <w:szCs w:val="20"/>
                <w:color w:val="auto"/>
              </w:rPr>
            </w:pPr>
            <w:r>
              <w:rPr>
                <w:rFonts w:ascii="Times New Roman" w:cs="Times New Roman" w:eastAsia="Times New Roman" w:hAnsi="Times New Roman"/>
                <w:sz w:val="18"/>
                <w:szCs w:val="18"/>
                <w:color w:val="auto"/>
                <w:w w:val="99"/>
              </w:rPr>
              <w:t>Life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50"/>
              <w:spacing w:after="0" w:line="204" w:lineRule="exact"/>
              <w:rPr>
                <w:sz w:val="20"/>
                <w:szCs w:val="20"/>
                <w:color w:val="auto"/>
              </w:rPr>
            </w:pPr>
            <w:r>
              <w:rPr>
                <w:rFonts w:ascii="Times New Roman" w:cs="Times New Roman" w:eastAsia="Times New Roman" w:hAnsi="Times New Roman"/>
                <w:sz w:val="18"/>
                <w:szCs w:val="18"/>
                <w:color w:val="auto"/>
              </w:rPr>
              <w:t>Cemetery/</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Insurance</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Mortuary</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Mortgage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DEDEDE"/>
            </w:tcBorders>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Revenues:</w:t>
            </w:r>
          </w:p>
        </w:tc>
        <w:tc>
          <w:tcPr>
            <w:tcW w:w="18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1100" w:type="dxa"/>
            <w:vAlign w:val="bottom"/>
            <w:tcBorders>
              <w:top w:val="single" w:sz="8" w:color="auto"/>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108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spacing w:after="0"/>
              <w:rPr>
                <w:sz w:val="18"/>
                <w:szCs w:val="18"/>
                <w:color w:val="auto"/>
              </w:rPr>
            </w:pPr>
          </w:p>
        </w:tc>
        <w:tc>
          <w:tcPr>
            <w:tcW w:w="104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18"/>
                <w:szCs w:val="18"/>
                <w:color w:val="auto"/>
              </w:rPr>
            </w:pPr>
          </w:p>
        </w:tc>
        <w:tc>
          <w:tcPr>
            <w:tcW w:w="108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From external sources: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Revenue from external customers</w:t>
            </w:r>
          </w:p>
        </w:tc>
        <w:tc>
          <w:tcPr>
            <w:tcW w:w="34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8"/>
                <w:szCs w:val="18"/>
                <w:color w:val="auto"/>
              </w:rPr>
              <w:t>119,655,745</w:t>
            </w:r>
          </w:p>
        </w:tc>
        <w:tc>
          <w:tcPr>
            <w:tcW w:w="34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29,037,173</w:t>
            </w:r>
          </w:p>
        </w:tc>
        <w:tc>
          <w:tcPr>
            <w:tcW w:w="5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107,558,640</w:t>
            </w:r>
          </w:p>
        </w:tc>
        <w:tc>
          <w:tcPr>
            <w:tcW w:w="200" w:type="dxa"/>
            <w:vAlign w:val="bottom"/>
            <w:shd w:val="clear" w:color="auto" w:fill="DEDEDE"/>
          </w:tcPr>
          <w:p>
            <w:pPr>
              <w:spacing w:after="0"/>
              <w:rPr>
                <w:sz w:val="18"/>
                <w:szCs w:val="18"/>
                <w:color w:val="auto"/>
              </w:rPr>
            </w:pPr>
          </w:p>
        </w:tc>
        <w:tc>
          <w:tcPr>
            <w:tcW w:w="2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256,251,558</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68,254,989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2,568,511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901,749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71,725,249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Gains (losses) on investments and other assets</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2,054,994</w:t>
            </w: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873,166</w:t>
            </w: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4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(986,262)</w:t>
            </w: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1,941,898</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1,563,812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543,354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2,496,797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4,603,963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shd w:val="clear" w:color="auto" w:fill="DEDEDE"/>
          </w:tcPr>
          <w:p>
            <w:pPr>
              <w:spacing w:after="0"/>
              <w:rPr>
                <w:sz w:val="19"/>
                <w:szCs w:val="19"/>
                <w:color w:val="auto"/>
              </w:rPr>
            </w:pPr>
          </w:p>
        </w:tc>
        <w:tc>
          <w:tcPr>
            <w:tcW w:w="160" w:type="dxa"/>
            <w:vAlign w:val="bottom"/>
            <w:tcBorders>
              <w:bottom w:val="single" w:sz="8" w:color="auto"/>
            </w:tcBorders>
            <w:shd w:val="clear" w:color="auto" w:fill="DEDEDE"/>
          </w:tcPr>
          <w:p>
            <w:pPr>
              <w:spacing w:after="0"/>
              <w:rPr>
                <w:sz w:val="19"/>
                <w:szCs w:val="19"/>
                <w:color w:val="auto"/>
              </w:rPr>
            </w:pPr>
          </w:p>
        </w:tc>
        <w:tc>
          <w:tcPr>
            <w:tcW w:w="11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7,272,110</w:t>
            </w:r>
          </w:p>
        </w:tc>
        <w:tc>
          <w:tcPr>
            <w:tcW w:w="16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60" w:type="dxa"/>
            <w:vAlign w:val="bottom"/>
            <w:tcBorders>
              <w:bottom w:val="single" w:sz="8" w:color="auto"/>
            </w:tcBorders>
            <w:shd w:val="clear" w:color="auto" w:fill="DEDEDE"/>
          </w:tcPr>
          <w:p>
            <w:pPr>
              <w:spacing w:after="0"/>
              <w:rPr>
                <w:sz w:val="19"/>
                <w:szCs w:val="19"/>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340,933</w:t>
            </w:r>
          </w:p>
        </w:tc>
        <w:tc>
          <w:tcPr>
            <w:tcW w:w="320" w:type="dxa"/>
            <w:vAlign w:val="bottom"/>
            <w:shd w:val="clear" w:color="auto" w:fill="DEDEDE"/>
          </w:tcPr>
          <w:p>
            <w:pPr>
              <w:spacing w:after="0"/>
              <w:rPr>
                <w:sz w:val="19"/>
                <w:szCs w:val="19"/>
                <w:color w:val="auto"/>
              </w:rPr>
            </w:pPr>
          </w:p>
        </w:tc>
        <w:tc>
          <w:tcPr>
            <w:tcW w:w="180" w:type="dxa"/>
            <w:vAlign w:val="bottom"/>
            <w:tcBorders>
              <w:bottom w:val="single" w:sz="8" w:color="auto"/>
            </w:tcBorders>
            <w:shd w:val="clear" w:color="auto" w:fill="DEDEDE"/>
          </w:tcPr>
          <w:p>
            <w:pPr>
              <w:spacing w:after="0"/>
              <w:rPr>
                <w:sz w:val="19"/>
                <w:szCs w:val="19"/>
                <w:color w:val="auto"/>
              </w:rPr>
            </w:pPr>
          </w:p>
        </w:tc>
        <w:tc>
          <w:tcPr>
            <w:tcW w:w="10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573,449</w:t>
            </w:r>
          </w:p>
        </w:tc>
        <w:tc>
          <w:tcPr>
            <w:tcW w:w="20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40" w:type="dxa"/>
            <w:vAlign w:val="bottom"/>
            <w:tcBorders>
              <w:bottom w:val="single" w:sz="8" w:color="auto"/>
            </w:tcBorders>
            <w:shd w:val="clear" w:color="auto" w:fill="DEDEDE"/>
          </w:tcPr>
          <w:p>
            <w:pPr>
              <w:spacing w:after="0"/>
              <w:rPr>
                <w:sz w:val="19"/>
                <w:szCs w:val="19"/>
                <w:color w:val="auto"/>
              </w:rPr>
            </w:pPr>
          </w:p>
        </w:tc>
        <w:tc>
          <w:tcPr>
            <w:tcW w:w="10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8,186,492</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DEDEDE"/>
            </w:tcBorders>
            <w:gridSpan w:val="3"/>
          </w:tcPr>
          <w:p>
            <w:pPr>
              <w:spacing w:after="0"/>
              <w:rPr>
                <w:sz w:val="20"/>
                <w:szCs w:val="20"/>
                <w:color w:val="auto"/>
              </w:rPr>
            </w:pPr>
            <w:r>
              <w:rPr>
                <w:rFonts w:ascii="Times New Roman" w:cs="Times New Roman" w:eastAsia="Times New Roman" w:hAnsi="Times New Roman"/>
                <w:sz w:val="18"/>
                <w:szCs w:val="18"/>
                <w:color w:val="auto"/>
              </w:rPr>
              <w:t>Total segment revenues</w:t>
            </w:r>
          </w:p>
        </w:tc>
        <w:tc>
          <w:tcPr>
            <w:tcW w:w="180" w:type="dxa"/>
            <w:vAlign w:val="bottom"/>
            <w:tcBorders>
              <w:bottom w:val="single" w:sz="8" w:color="DEDED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198,801,650</w:t>
            </w:r>
          </w:p>
        </w:tc>
        <w:tc>
          <w:tcPr>
            <w:tcW w:w="160" w:type="dxa"/>
            <w:vAlign w:val="bottom"/>
            <w:tcBorders>
              <w:bottom w:val="single" w:sz="8" w:color="DEDEDE"/>
            </w:tcBorders>
          </w:tcPr>
          <w:p>
            <w:pPr>
              <w:spacing w:after="0"/>
              <w:rPr>
                <w:sz w:val="18"/>
                <w:szCs w:val="18"/>
                <w:color w:val="auto"/>
              </w:rPr>
            </w:pPr>
          </w:p>
        </w:tc>
        <w:tc>
          <w:tcPr>
            <w:tcW w:w="180" w:type="dxa"/>
            <w:vAlign w:val="bottom"/>
            <w:tcBorders>
              <w:bottom w:val="single" w:sz="8" w:color="DEDED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33,363,137</w:t>
            </w:r>
          </w:p>
        </w:tc>
        <w:tc>
          <w:tcPr>
            <w:tcW w:w="320" w:type="dxa"/>
            <w:vAlign w:val="bottom"/>
            <w:tcBorders>
              <w:bottom w:val="single" w:sz="8" w:color="DEDEDE"/>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110,544,373</w:t>
            </w:r>
          </w:p>
        </w:tc>
        <w:tc>
          <w:tcPr>
            <w:tcW w:w="200" w:type="dxa"/>
            <w:vAlign w:val="bottom"/>
            <w:tcBorders>
              <w:bottom w:val="single" w:sz="8" w:color="DEDEDE"/>
            </w:tcBorders>
          </w:tcPr>
          <w:p>
            <w:pPr>
              <w:spacing w:after="0"/>
              <w:rPr>
                <w:sz w:val="18"/>
                <w:szCs w:val="18"/>
                <w:color w:val="auto"/>
              </w:rPr>
            </w:pPr>
          </w:p>
        </w:tc>
        <w:tc>
          <w:tcPr>
            <w:tcW w:w="140" w:type="dxa"/>
            <w:vAlign w:val="bottom"/>
            <w:tcBorders>
              <w:bottom w:val="single" w:sz="8" w:color="DEDEDE"/>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342,709,160</w:t>
            </w:r>
          </w:p>
        </w:tc>
        <w:tc>
          <w:tcPr>
            <w:tcW w:w="120" w:type="dxa"/>
            <w:vAlign w:val="bottom"/>
            <w:tcBorders>
              <w:bottom w:val="single" w:sz="8" w:color="DEDED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 w:type="dxa"/>
            <w:vAlign w:val="bottom"/>
            <w:shd w:val="clear" w:color="auto" w:fill="DEDEDE"/>
          </w:tcPr>
          <w:p>
            <w:pPr>
              <w:spacing w:after="0"/>
              <w:rPr>
                <w:sz w:val="18"/>
                <w:szCs w:val="18"/>
                <w:color w:val="auto"/>
              </w:rPr>
            </w:pPr>
          </w:p>
        </w:tc>
        <w:tc>
          <w:tcPr>
            <w:tcW w:w="700" w:type="dxa"/>
            <w:vAlign w:val="bottom"/>
            <w:shd w:val="clear" w:color="auto" w:fill="DEDEDE"/>
          </w:tcPr>
          <w:p>
            <w:pPr>
              <w:spacing w:after="0"/>
              <w:rPr>
                <w:sz w:val="18"/>
                <w:szCs w:val="18"/>
                <w:color w:val="auto"/>
              </w:rPr>
            </w:pPr>
          </w:p>
        </w:tc>
        <w:tc>
          <w:tcPr>
            <w:tcW w:w="36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revenues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(8,186,492)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DEDEDE"/>
            </w:tcBorders>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consolidated revenues</w:t>
            </w:r>
          </w:p>
        </w:tc>
        <w:tc>
          <w:tcPr>
            <w:tcW w:w="18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10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080" w:type="dxa"/>
            <w:vAlign w:val="bottom"/>
            <w:tcBorders>
              <w:top w:val="single" w:sz="8" w:color="DEDEDE"/>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040" w:type="dxa"/>
            <w:vAlign w:val="bottom"/>
            <w:tcBorders>
              <w:top w:val="single" w:sz="8" w:color="DEDEDE"/>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bottom w:val="single" w:sz="8" w:color="auto"/>
            </w:tcBorders>
            <w:shd w:val="clear" w:color="auto" w:fill="DEDEDE"/>
          </w:tcPr>
          <w:p>
            <w:pPr>
              <w:spacing w:after="0"/>
              <w:rPr>
                <w:sz w:val="18"/>
                <w:szCs w:val="18"/>
                <w:color w:val="auto"/>
              </w:rPr>
            </w:pPr>
          </w:p>
        </w:tc>
        <w:tc>
          <w:tcPr>
            <w:tcW w:w="10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334,522,668</w:t>
            </w: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Less:</w:t>
            </w:r>
          </w:p>
        </w:tc>
        <w:tc>
          <w:tcPr>
            <w:tcW w:w="700" w:type="dxa"/>
            <w:vAlign w:val="bottom"/>
            <w:shd w:val="clear" w:color="auto" w:fill="DEDEDE"/>
          </w:tcPr>
          <w:p>
            <w:pPr>
              <w:spacing w:after="0"/>
              <w:rPr>
                <w:sz w:val="18"/>
                <w:szCs w:val="18"/>
                <w:color w:val="auto"/>
              </w:rPr>
            </w:pPr>
          </w:p>
        </w:tc>
        <w:tc>
          <w:tcPr>
            <w:tcW w:w="36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Policyholder benefits and claims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100,613,091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gridSpan w:val="3"/>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Amortization of deferred policy and pre-need acquisition costs and</w:t>
            </w:r>
          </w:p>
        </w:tc>
        <w:tc>
          <w:tcPr>
            <w:tcW w:w="18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1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0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04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08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value of business acquired</w:t>
            </w:r>
          </w:p>
        </w:tc>
        <w:tc>
          <w:tcPr>
            <w:tcW w:w="18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10,235,240</w:t>
            </w:r>
          </w:p>
        </w:tc>
        <w:tc>
          <w:tcPr>
            <w:tcW w:w="16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777,376</w:t>
            </w:r>
          </w:p>
        </w:tc>
        <w:tc>
          <w:tcPr>
            <w:tcW w:w="32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24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DEDEDE"/>
          </w:tcPr>
          <w:p>
            <w:pPr>
              <w:spacing w:after="0"/>
              <w:rPr>
                <w:sz w:val="20"/>
                <w:szCs w:val="20"/>
                <w:color w:val="auto"/>
              </w:rPr>
            </w:pPr>
          </w:p>
        </w:tc>
        <w:tc>
          <w:tcPr>
            <w:tcW w:w="140" w:type="dxa"/>
            <w:vAlign w:val="bottom"/>
            <w:shd w:val="clear" w:color="auto" w:fill="DEDEDE"/>
          </w:tcPr>
          <w:p>
            <w:pPr>
              <w:spacing w:after="0"/>
              <w:rPr>
                <w:sz w:val="20"/>
                <w:szCs w:val="20"/>
                <w:color w:val="auto"/>
              </w:rPr>
            </w:pPr>
          </w:p>
        </w:tc>
        <w:tc>
          <w:tcPr>
            <w:tcW w:w="1080" w:type="dxa"/>
            <w:vAlign w:val="bottom"/>
            <w:shd w:val="clear" w:color="auto" w:fill="DEDEDE"/>
          </w:tcPr>
          <w:p>
            <w:pPr>
              <w:spacing w:after="0"/>
              <w:rPr>
                <w:sz w:val="20"/>
                <w:szCs w:val="20"/>
                <w:color w:val="auto"/>
              </w:rPr>
            </w:pPr>
          </w:p>
        </w:tc>
        <w:tc>
          <w:tcPr>
            <w:tcW w:w="12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Commissions</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3,809,118</w:t>
            </w: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1,564,426</w:t>
            </w: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41,599,365</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Personnel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30,396,560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10,215,565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44,472,677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Advertising</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466,821</w:t>
            </w: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568,597</w:t>
            </w: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2,079,702</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Rent and rent related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434,604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4,553,515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Depreciation on property and equipment</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923,365</w:t>
            </w: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830,855</w:t>
            </w: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629,401</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Cost related to funding mortgage loans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6,134,709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Data processing and IT related (1)</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847,845</w:t>
            </w: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240,946</w:t>
            </w: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3,453,741</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gridSpan w:val="3"/>
          </w:tcPr>
          <w:p>
            <w:pPr>
              <w:ind w:left="160"/>
              <w:spacing w:after="0" w:line="197" w:lineRule="exact"/>
              <w:rPr>
                <w:sz w:val="20"/>
                <w:szCs w:val="20"/>
                <w:color w:val="auto"/>
              </w:rPr>
            </w:pPr>
            <w:r>
              <w:rPr>
                <w:rFonts w:ascii="Times New Roman" w:cs="Times New Roman" w:eastAsia="Times New Roman" w:hAnsi="Times New Roman"/>
                <w:sz w:val="18"/>
                <w:szCs w:val="18"/>
                <w:color w:val="auto"/>
              </w:rPr>
              <w:t>Premium taxes on insurance premiums and other considerations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3,067,467</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Other segment items (1)(2)</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8,640,857</w:t>
            </w: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4,975,269</w:t>
            </w: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6,401,085</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Intersegment expenses (3)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913,279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365,635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6,907,578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3,727,514</w:t>
            </w: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525,759</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Costs of goods and services sold-mortuaries and cemeteries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4,803,528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8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7,291,246</w:t>
            </w:r>
          </w:p>
        </w:tc>
        <w:tc>
          <w:tcPr>
            <w:tcW w:w="16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2,227,353</w:t>
            </w:r>
          </w:p>
        </w:tc>
        <w:tc>
          <w:tcPr>
            <w:tcW w:w="32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24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(1,263,871)</w:t>
            </w: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080" w:type="dxa"/>
            <w:vAlign w:val="bottom"/>
            <w:shd w:val="clear" w:color="auto" w:fill="DEDEDE"/>
          </w:tcPr>
          <w:p>
            <w:pPr>
              <w:spacing w:after="0"/>
              <w:rPr>
                <w:sz w:val="19"/>
                <w:szCs w:val="19"/>
                <w:color w:val="auto"/>
              </w:rPr>
            </w:pP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DEDEDE"/>
            </w:tcBorders>
            <w:gridSpan w:val="3"/>
          </w:tcPr>
          <w:p>
            <w:pPr>
              <w:spacing w:after="0"/>
              <w:rPr>
                <w:sz w:val="20"/>
                <w:szCs w:val="20"/>
                <w:color w:val="auto"/>
              </w:rPr>
            </w:pPr>
            <w:r>
              <w:rPr>
                <w:rFonts w:ascii="Times New Roman" w:cs="Times New Roman" w:eastAsia="Times New Roman" w:hAnsi="Times New Roman"/>
                <w:sz w:val="18"/>
                <w:szCs w:val="18"/>
                <w:color w:val="auto"/>
              </w:rPr>
              <w:t>Segment net earnings (loss)</w:t>
            </w:r>
          </w:p>
        </w:tc>
        <w:tc>
          <w:tcPr>
            <w:tcW w:w="180" w:type="dxa"/>
            <w:vAlign w:val="bottom"/>
            <w:tcBorders>
              <w:bottom w:val="single" w:sz="8" w:color="DEDEDE"/>
            </w:tcBorders>
          </w:tcPr>
          <w:p>
            <w:pPr>
              <w:spacing w:after="0"/>
              <w:rPr>
                <w:sz w:val="19"/>
                <w:szCs w:val="19"/>
                <w:color w:val="auto"/>
              </w:rPr>
            </w:pPr>
          </w:p>
        </w:tc>
        <w:tc>
          <w:tcPr>
            <w:tcW w:w="160" w:type="dxa"/>
            <w:vAlign w:val="bottom"/>
            <w:tcBorders>
              <w:top w:val="single" w:sz="8" w:color="auto"/>
              <w:bottom w:val="single" w:sz="8" w:color="DEDEDE"/>
            </w:tcBorders>
          </w:tcPr>
          <w:p>
            <w:pPr>
              <w:spacing w:after="0"/>
              <w:rPr>
                <w:sz w:val="19"/>
                <w:szCs w:val="19"/>
                <w:color w:val="auto"/>
              </w:rPr>
            </w:pPr>
          </w:p>
        </w:tc>
        <w:tc>
          <w:tcPr>
            <w:tcW w:w="1100" w:type="dxa"/>
            <w:vAlign w:val="bottom"/>
            <w:tcBorders>
              <w:top w:val="single" w:sz="8" w:color="auto"/>
              <w:bottom w:val="single" w:sz="8" w:color="DEDEDE"/>
            </w:tcBorders>
          </w:tcPr>
          <w:p>
            <w:pPr>
              <w:jc w:val="right"/>
              <w:spacing w:after="0"/>
              <w:rPr>
                <w:sz w:val="20"/>
                <w:szCs w:val="20"/>
                <w:color w:val="auto"/>
              </w:rPr>
            </w:pPr>
            <w:r>
              <w:rPr>
                <w:rFonts w:ascii="Times New Roman" w:cs="Times New Roman" w:eastAsia="Times New Roman" w:hAnsi="Times New Roman"/>
                <w:sz w:val="18"/>
                <w:szCs w:val="18"/>
                <w:color w:val="auto"/>
              </w:rPr>
              <w:t>27,434,643</w:t>
            </w:r>
          </w:p>
        </w:tc>
        <w:tc>
          <w:tcPr>
            <w:tcW w:w="160" w:type="dxa"/>
            <w:vAlign w:val="bottom"/>
            <w:tcBorders>
              <w:bottom w:val="single" w:sz="8" w:color="DEDEDE"/>
            </w:tcBorders>
          </w:tcPr>
          <w:p>
            <w:pPr>
              <w:spacing w:after="0"/>
              <w:rPr>
                <w:sz w:val="19"/>
                <w:szCs w:val="19"/>
                <w:color w:val="auto"/>
              </w:rPr>
            </w:pPr>
          </w:p>
        </w:tc>
        <w:tc>
          <w:tcPr>
            <w:tcW w:w="180" w:type="dxa"/>
            <w:vAlign w:val="bottom"/>
            <w:tcBorders>
              <w:bottom w:val="single" w:sz="8" w:color="DEDEDE"/>
            </w:tcBorders>
          </w:tcPr>
          <w:p>
            <w:pPr>
              <w:spacing w:after="0"/>
              <w:rPr>
                <w:sz w:val="19"/>
                <w:szCs w:val="19"/>
                <w:color w:val="auto"/>
              </w:rPr>
            </w:pPr>
          </w:p>
        </w:tc>
        <w:tc>
          <w:tcPr>
            <w:tcW w:w="160" w:type="dxa"/>
            <w:vAlign w:val="bottom"/>
            <w:tcBorders>
              <w:top w:val="single" w:sz="8" w:color="auto"/>
              <w:bottom w:val="single" w:sz="8" w:color="DEDEDE"/>
            </w:tcBorders>
          </w:tcPr>
          <w:p>
            <w:pPr>
              <w:spacing w:after="0"/>
              <w:rPr>
                <w:sz w:val="19"/>
                <w:szCs w:val="19"/>
                <w:color w:val="auto"/>
              </w:rPr>
            </w:pPr>
          </w:p>
        </w:tc>
        <w:tc>
          <w:tcPr>
            <w:tcW w:w="1080" w:type="dxa"/>
            <w:vAlign w:val="bottom"/>
            <w:tcBorders>
              <w:top w:val="single" w:sz="8" w:color="auto"/>
              <w:bottom w:val="single" w:sz="8" w:color="DEDEDE"/>
            </w:tcBorders>
          </w:tcPr>
          <w:p>
            <w:pPr>
              <w:jc w:val="right"/>
              <w:spacing w:after="0"/>
              <w:rPr>
                <w:sz w:val="20"/>
                <w:szCs w:val="20"/>
                <w:color w:val="auto"/>
              </w:rPr>
            </w:pPr>
            <w:r>
              <w:rPr>
                <w:rFonts w:ascii="Times New Roman" w:cs="Times New Roman" w:eastAsia="Times New Roman" w:hAnsi="Times New Roman"/>
                <w:sz w:val="18"/>
                <w:szCs w:val="18"/>
                <w:color w:val="auto"/>
              </w:rPr>
              <w:t>6,633,810</w:t>
            </w:r>
          </w:p>
        </w:tc>
        <w:tc>
          <w:tcPr>
            <w:tcW w:w="320" w:type="dxa"/>
            <w:vAlign w:val="bottom"/>
            <w:tcBorders>
              <w:bottom w:val="single" w:sz="8" w:color="DEDEDE"/>
            </w:tcBorders>
          </w:tcPr>
          <w:p>
            <w:pPr>
              <w:spacing w:after="0"/>
              <w:rPr>
                <w:sz w:val="19"/>
                <w:szCs w:val="19"/>
                <w:color w:val="auto"/>
              </w:rPr>
            </w:pPr>
          </w:p>
        </w:tc>
        <w:tc>
          <w:tcPr>
            <w:tcW w:w="180" w:type="dxa"/>
            <w:vAlign w:val="bottom"/>
            <w:tcBorders>
              <w:top w:val="single" w:sz="8" w:color="auto"/>
              <w:bottom w:val="single" w:sz="8" w:color="DEDEDE"/>
            </w:tcBorders>
          </w:tcPr>
          <w:p>
            <w:pPr>
              <w:spacing w:after="0"/>
              <w:rPr>
                <w:sz w:val="19"/>
                <w:szCs w:val="19"/>
                <w:color w:val="auto"/>
              </w:rPr>
            </w:pPr>
          </w:p>
        </w:tc>
        <w:tc>
          <w:tcPr>
            <w:tcW w:w="1040" w:type="dxa"/>
            <w:vAlign w:val="bottom"/>
            <w:tcBorders>
              <w:top w:val="single" w:sz="8" w:color="auto"/>
              <w:bottom w:val="single" w:sz="8" w:color="DEDEDE"/>
            </w:tcBorders>
          </w:tcPr>
          <w:p>
            <w:pPr>
              <w:jc w:val="right"/>
              <w:spacing w:after="0"/>
              <w:rPr>
                <w:sz w:val="20"/>
                <w:szCs w:val="20"/>
                <w:color w:val="auto"/>
              </w:rPr>
            </w:pPr>
            <w:r>
              <w:rPr>
                <w:rFonts w:ascii="Times New Roman" w:cs="Times New Roman" w:eastAsia="Times New Roman" w:hAnsi="Times New Roman"/>
                <w:sz w:val="18"/>
                <w:szCs w:val="18"/>
                <w:color w:val="auto"/>
              </w:rPr>
              <w:t>(4,949,288)</w:t>
            </w:r>
          </w:p>
        </w:tc>
        <w:tc>
          <w:tcPr>
            <w:tcW w:w="200" w:type="dxa"/>
            <w:vAlign w:val="bottom"/>
            <w:tcBorders>
              <w:bottom w:val="single" w:sz="8" w:color="DEDEDE"/>
            </w:tcBorders>
          </w:tcPr>
          <w:p>
            <w:pPr>
              <w:spacing w:after="0"/>
              <w:rPr>
                <w:sz w:val="19"/>
                <w:szCs w:val="19"/>
                <w:color w:val="auto"/>
              </w:rPr>
            </w:pPr>
          </w:p>
        </w:tc>
        <w:tc>
          <w:tcPr>
            <w:tcW w:w="140" w:type="dxa"/>
            <w:vAlign w:val="bottom"/>
            <w:tcBorders>
              <w:bottom w:val="single" w:sz="8" w:color="DEDEDE"/>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29,119,165</w:t>
            </w:r>
          </w:p>
        </w:tc>
        <w:tc>
          <w:tcPr>
            <w:tcW w:w="120" w:type="dxa"/>
            <w:vAlign w:val="bottom"/>
            <w:tcBorders>
              <w:bottom w:val="single" w:sz="8" w:color="DEDED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0" w:type="dxa"/>
            <w:vAlign w:val="bottom"/>
            <w:shd w:val="clear" w:color="auto" w:fill="DEDEDE"/>
          </w:tcPr>
          <w:p>
            <w:pPr>
              <w:spacing w:after="0"/>
              <w:rPr>
                <w:sz w:val="18"/>
                <w:szCs w:val="18"/>
                <w:color w:val="auto"/>
              </w:rPr>
            </w:pPr>
          </w:p>
        </w:tc>
        <w:tc>
          <w:tcPr>
            <w:tcW w:w="700" w:type="dxa"/>
            <w:vAlign w:val="bottom"/>
            <w:shd w:val="clear" w:color="auto" w:fill="DEDEDE"/>
          </w:tcPr>
          <w:p>
            <w:pPr>
              <w:spacing w:after="0"/>
              <w:rPr>
                <w:sz w:val="18"/>
                <w:szCs w:val="18"/>
                <w:color w:val="auto"/>
              </w:rPr>
            </w:pPr>
          </w:p>
        </w:tc>
        <w:tc>
          <w:tcPr>
            <w:tcW w:w="36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10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29,119,165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Borders>
              <w:top w:val="single" w:sz="8" w:color="DEDEDE"/>
            </w:tcBorders>
            <w:shd w:val="clear" w:color="auto" w:fill="DEDEDE"/>
          </w:tcPr>
          <w:p>
            <w:pPr>
              <w:spacing w:after="0"/>
              <w:rPr>
                <w:sz w:val="17"/>
                <w:szCs w:val="17"/>
                <w:color w:val="auto"/>
              </w:rPr>
            </w:pPr>
          </w:p>
        </w:tc>
        <w:tc>
          <w:tcPr>
            <w:tcW w:w="700" w:type="dxa"/>
            <w:vAlign w:val="bottom"/>
            <w:tcBorders>
              <w:top w:val="single" w:sz="8" w:color="DEDEDE"/>
            </w:tcBorders>
            <w:shd w:val="clear" w:color="auto" w:fill="DEDEDE"/>
          </w:tcPr>
          <w:p>
            <w:pPr>
              <w:spacing w:after="0"/>
              <w:rPr>
                <w:sz w:val="17"/>
                <w:szCs w:val="17"/>
                <w:color w:val="auto"/>
              </w:rPr>
            </w:pPr>
          </w:p>
        </w:tc>
        <w:tc>
          <w:tcPr>
            <w:tcW w:w="36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10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080" w:type="dxa"/>
            <w:vAlign w:val="bottom"/>
            <w:tcBorders>
              <w:top w:val="single" w:sz="8" w:color="DEDEDE"/>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040" w:type="dxa"/>
            <w:vAlign w:val="bottom"/>
            <w:tcBorders>
              <w:top w:val="single" w:sz="8" w:color="DEDEDE"/>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auto"/>
            </w:tcBorders>
            <w:shd w:val="clear" w:color="auto" w:fill="DEDEDE"/>
          </w:tcPr>
          <w:p>
            <w:pPr>
              <w:spacing w:after="0"/>
              <w:rPr>
                <w:sz w:val="17"/>
                <w:szCs w:val="17"/>
                <w:color w:val="auto"/>
              </w:rPr>
            </w:pPr>
          </w:p>
        </w:tc>
        <w:tc>
          <w:tcPr>
            <w:tcW w:w="1080" w:type="dxa"/>
            <w:vAlign w:val="bottom"/>
            <w:tcBorders>
              <w:top w:val="single" w:sz="8" w:color="auto"/>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1,344,932,334</w:t>
            </w:r>
          </w:p>
        </w:tc>
        <w:tc>
          <w:tcPr>
            <w:tcW w:w="160" w:type="dxa"/>
            <w:vAlign w:val="bottom"/>
          </w:tcPr>
          <w:p>
            <w:pPr>
              <w:spacing w:after="0"/>
              <w:rPr>
                <w:sz w:val="24"/>
                <w:szCs w:val="24"/>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95,565,758</w:t>
            </w: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90,459,481</w:t>
            </w:r>
          </w:p>
        </w:tc>
        <w:tc>
          <w:tcPr>
            <w:tcW w:w="20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1,530,957,573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20" w:type="dxa"/>
            <w:vAlign w:val="bottom"/>
            <w:tcBorders>
              <w:top w:val="single" w:sz="8" w:color="DEDEDE"/>
            </w:tcBorders>
            <w:shd w:val="clear" w:color="auto" w:fill="DEDEDE"/>
          </w:tcPr>
          <w:p>
            <w:pPr>
              <w:spacing w:after="0"/>
              <w:rPr>
                <w:sz w:val="17"/>
                <w:szCs w:val="17"/>
                <w:color w:val="auto"/>
              </w:rPr>
            </w:pPr>
          </w:p>
        </w:tc>
        <w:tc>
          <w:tcPr>
            <w:tcW w:w="700" w:type="dxa"/>
            <w:vAlign w:val="bottom"/>
            <w:tcBorders>
              <w:top w:val="single" w:sz="8" w:color="DEDEDE"/>
            </w:tcBorders>
            <w:shd w:val="clear" w:color="auto" w:fill="DEDEDE"/>
          </w:tcPr>
          <w:p>
            <w:pPr>
              <w:spacing w:after="0"/>
              <w:rPr>
                <w:sz w:val="17"/>
                <w:szCs w:val="17"/>
                <w:color w:val="auto"/>
              </w:rPr>
            </w:pPr>
          </w:p>
        </w:tc>
        <w:tc>
          <w:tcPr>
            <w:tcW w:w="36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auto"/>
            </w:tcBorders>
            <w:shd w:val="clear" w:color="auto" w:fill="DEDEDE"/>
          </w:tcPr>
          <w:p>
            <w:pPr>
              <w:spacing w:after="0"/>
              <w:rPr>
                <w:sz w:val="17"/>
                <w:szCs w:val="17"/>
                <w:color w:val="auto"/>
              </w:rPr>
            </w:pPr>
          </w:p>
        </w:tc>
        <w:tc>
          <w:tcPr>
            <w:tcW w:w="1100" w:type="dxa"/>
            <w:vAlign w:val="bottom"/>
            <w:tcBorders>
              <w:top w:val="single" w:sz="8" w:color="auto"/>
            </w:tcBorders>
            <w:shd w:val="clear" w:color="auto" w:fill="DEDEDE"/>
          </w:tcPr>
          <w:p>
            <w:pPr>
              <w:spacing w:after="0"/>
              <w:rPr>
                <w:sz w:val="17"/>
                <w:szCs w:val="17"/>
                <w:color w:val="auto"/>
              </w:rPr>
            </w:pPr>
          </w:p>
        </w:tc>
        <w:tc>
          <w:tcPr>
            <w:tcW w:w="16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DEDEDE"/>
            </w:tcBorders>
            <w:shd w:val="clear" w:color="auto" w:fill="DEDEDE"/>
          </w:tcPr>
          <w:p>
            <w:pPr>
              <w:spacing w:after="0"/>
              <w:rPr>
                <w:sz w:val="17"/>
                <w:szCs w:val="17"/>
                <w:color w:val="auto"/>
              </w:rPr>
            </w:pPr>
          </w:p>
        </w:tc>
        <w:tc>
          <w:tcPr>
            <w:tcW w:w="160" w:type="dxa"/>
            <w:vAlign w:val="bottom"/>
            <w:tcBorders>
              <w:top w:val="single" w:sz="8" w:color="auto"/>
            </w:tcBorders>
            <w:shd w:val="clear" w:color="auto" w:fill="DEDEDE"/>
          </w:tcPr>
          <w:p>
            <w:pPr>
              <w:spacing w:after="0"/>
              <w:rPr>
                <w:sz w:val="17"/>
                <w:szCs w:val="17"/>
                <w:color w:val="auto"/>
              </w:rPr>
            </w:pPr>
          </w:p>
        </w:tc>
        <w:tc>
          <w:tcPr>
            <w:tcW w:w="1080" w:type="dxa"/>
            <w:vAlign w:val="bottom"/>
            <w:tcBorders>
              <w:top w:val="single" w:sz="8" w:color="auto"/>
            </w:tcBorders>
            <w:shd w:val="clear" w:color="auto" w:fill="DEDEDE"/>
          </w:tcPr>
          <w:p>
            <w:pPr>
              <w:spacing w:after="0"/>
              <w:rPr>
                <w:sz w:val="17"/>
                <w:szCs w:val="17"/>
                <w:color w:val="auto"/>
              </w:rPr>
            </w:pPr>
          </w:p>
        </w:tc>
        <w:tc>
          <w:tcPr>
            <w:tcW w:w="320" w:type="dxa"/>
            <w:vAlign w:val="bottom"/>
            <w:tcBorders>
              <w:top w:val="single" w:sz="8" w:color="DEDEDE"/>
            </w:tcBorders>
            <w:shd w:val="clear" w:color="auto" w:fill="DEDEDE"/>
          </w:tcPr>
          <w:p>
            <w:pPr>
              <w:spacing w:after="0"/>
              <w:rPr>
                <w:sz w:val="17"/>
                <w:szCs w:val="17"/>
                <w:color w:val="auto"/>
              </w:rPr>
            </w:pPr>
          </w:p>
        </w:tc>
        <w:tc>
          <w:tcPr>
            <w:tcW w:w="180" w:type="dxa"/>
            <w:vAlign w:val="bottom"/>
            <w:tcBorders>
              <w:top w:val="single" w:sz="8" w:color="auto"/>
            </w:tcBorders>
            <w:shd w:val="clear" w:color="auto" w:fill="DEDEDE"/>
          </w:tcPr>
          <w:p>
            <w:pPr>
              <w:spacing w:after="0"/>
              <w:rPr>
                <w:sz w:val="17"/>
                <w:szCs w:val="17"/>
                <w:color w:val="auto"/>
              </w:rPr>
            </w:pPr>
          </w:p>
        </w:tc>
        <w:tc>
          <w:tcPr>
            <w:tcW w:w="1040" w:type="dxa"/>
            <w:vAlign w:val="bottom"/>
            <w:tcBorders>
              <w:top w:val="single" w:sz="8" w:color="auto"/>
            </w:tcBorders>
            <w:shd w:val="clear" w:color="auto" w:fill="DEDEDE"/>
          </w:tcPr>
          <w:p>
            <w:pPr>
              <w:spacing w:after="0"/>
              <w:rPr>
                <w:sz w:val="17"/>
                <w:szCs w:val="17"/>
                <w:color w:val="auto"/>
              </w:rPr>
            </w:pPr>
          </w:p>
        </w:tc>
        <w:tc>
          <w:tcPr>
            <w:tcW w:w="20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DEDEDE"/>
            </w:tcBorders>
            <w:shd w:val="clear" w:color="auto" w:fill="DEDEDE"/>
          </w:tcPr>
          <w:p>
            <w:pPr>
              <w:spacing w:after="0"/>
              <w:rPr>
                <w:sz w:val="17"/>
                <w:szCs w:val="17"/>
                <w:color w:val="auto"/>
              </w:rPr>
            </w:pPr>
          </w:p>
        </w:tc>
        <w:tc>
          <w:tcPr>
            <w:tcW w:w="140" w:type="dxa"/>
            <w:vAlign w:val="bottom"/>
            <w:tcBorders>
              <w:top w:val="single" w:sz="8" w:color="auto"/>
            </w:tcBorders>
            <w:shd w:val="clear" w:color="auto" w:fill="DEDEDE"/>
          </w:tcPr>
          <w:p>
            <w:pPr>
              <w:spacing w:after="0"/>
              <w:rPr>
                <w:sz w:val="17"/>
                <w:szCs w:val="17"/>
                <w:color w:val="auto"/>
              </w:rPr>
            </w:pPr>
          </w:p>
        </w:tc>
        <w:tc>
          <w:tcPr>
            <w:tcW w:w="1080" w:type="dxa"/>
            <w:vAlign w:val="bottom"/>
            <w:tcBorders>
              <w:top w:val="single" w:sz="8" w:color="auto"/>
            </w:tcBorders>
            <w:shd w:val="clear" w:color="auto" w:fill="DEDEDE"/>
          </w:tcPr>
          <w:p>
            <w:pPr>
              <w:spacing w:after="0"/>
              <w:rPr>
                <w:sz w:val="17"/>
                <w:szCs w:val="17"/>
                <w:color w:val="auto"/>
              </w:rPr>
            </w:pPr>
          </w:p>
        </w:tc>
        <w:tc>
          <w:tcPr>
            <w:tcW w:w="120" w:type="dxa"/>
            <w:vAlign w:val="bottom"/>
            <w:tcBorders>
              <w:top w:val="single" w:sz="8" w:color="DEDEDE"/>
            </w:tcBorders>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Elimination of intersegment assets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(36,495,259)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top w:val="single" w:sz="8" w:color="DEDEDE"/>
              <w:bottom w:val="single" w:sz="8" w:color="DEDEDE"/>
            </w:tcBorders>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110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60" w:type="dxa"/>
            <w:vAlign w:val="bottom"/>
            <w:tcBorders>
              <w:top w:val="single" w:sz="8" w:color="DEDEDE"/>
              <w:bottom w:val="single" w:sz="8" w:color="DEDEDE"/>
            </w:tcBorders>
            <w:shd w:val="clear" w:color="auto" w:fill="DEDEDE"/>
          </w:tcPr>
          <w:p>
            <w:pPr>
              <w:spacing w:after="0"/>
              <w:rPr>
                <w:sz w:val="19"/>
                <w:szCs w:val="19"/>
                <w:color w:val="auto"/>
              </w:rPr>
            </w:pPr>
          </w:p>
        </w:tc>
        <w:tc>
          <w:tcPr>
            <w:tcW w:w="1080" w:type="dxa"/>
            <w:vAlign w:val="bottom"/>
            <w:tcBorders>
              <w:top w:val="single" w:sz="8" w:color="DEDEDE"/>
              <w:bottom w:val="single" w:sz="8" w:color="DEDEDE"/>
            </w:tcBorders>
            <w:shd w:val="clear" w:color="auto" w:fill="DEDEDE"/>
          </w:tcPr>
          <w:p>
            <w:pPr>
              <w:spacing w:after="0"/>
              <w:rPr>
                <w:sz w:val="19"/>
                <w:szCs w:val="19"/>
                <w:color w:val="auto"/>
              </w:rPr>
            </w:pPr>
          </w:p>
        </w:tc>
        <w:tc>
          <w:tcPr>
            <w:tcW w:w="320" w:type="dxa"/>
            <w:vAlign w:val="bottom"/>
            <w:tcBorders>
              <w:top w:val="single" w:sz="8" w:color="DEDEDE"/>
              <w:bottom w:val="single" w:sz="8" w:color="DEDEDE"/>
            </w:tcBorders>
            <w:shd w:val="clear" w:color="auto" w:fill="DEDEDE"/>
          </w:tcPr>
          <w:p>
            <w:pPr>
              <w:spacing w:after="0"/>
              <w:rPr>
                <w:sz w:val="19"/>
                <w:szCs w:val="19"/>
                <w:color w:val="auto"/>
              </w:rPr>
            </w:pPr>
          </w:p>
        </w:tc>
        <w:tc>
          <w:tcPr>
            <w:tcW w:w="180" w:type="dxa"/>
            <w:vAlign w:val="bottom"/>
            <w:tcBorders>
              <w:top w:val="single" w:sz="8" w:color="DEDEDE"/>
              <w:bottom w:val="single" w:sz="8" w:color="DEDEDE"/>
            </w:tcBorders>
            <w:shd w:val="clear" w:color="auto" w:fill="DEDEDE"/>
          </w:tcPr>
          <w:p>
            <w:pPr>
              <w:spacing w:after="0"/>
              <w:rPr>
                <w:sz w:val="19"/>
                <w:szCs w:val="19"/>
                <w:color w:val="auto"/>
              </w:rPr>
            </w:pPr>
          </w:p>
        </w:tc>
        <w:tc>
          <w:tcPr>
            <w:tcW w:w="1040" w:type="dxa"/>
            <w:vAlign w:val="bottom"/>
            <w:tcBorders>
              <w:top w:val="single" w:sz="8" w:color="DEDEDE"/>
              <w:bottom w:val="single" w:sz="8" w:color="DEDEDE"/>
            </w:tcBorders>
            <w:shd w:val="clear" w:color="auto" w:fill="DEDEDE"/>
          </w:tcPr>
          <w:p>
            <w:pPr>
              <w:spacing w:after="0"/>
              <w:rPr>
                <w:sz w:val="19"/>
                <w:szCs w:val="19"/>
                <w:color w:val="auto"/>
              </w:rPr>
            </w:pPr>
          </w:p>
        </w:tc>
        <w:tc>
          <w:tcPr>
            <w:tcW w:w="20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DEDEDE"/>
              <w:bottom w:val="single" w:sz="8" w:color="DEDEDE"/>
            </w:tcBorders>
            <w:shd w:val="clear" w:color="auto" w:fill="DEDEDE"/>
          </w:tcPr>
          <w:p>
            <w:pPr>
              <w:spacing w:after="0"/>
              <w:rPr>
                <w:sz w:val="19"/>
                <w:szCs w:val="19"/>
                <w:color w:val="auto"/>
              </w:rPr>
            </w:pPr>
          </w:p>
        </w:tc>
        <w:tc>
          <w:tcPr>
            <w:tcW w:w="14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1,494,462,314</w:t>
            </w:r>
          </w:p>
        </w:tc>
        <w:tc>
          <w:tcPr>
            <w:tcW w:w="120" w:type="dxa"/>
            <w:vAlign w:val="bottom"/>
            <w:tcBorders>
              <w:top w:val="single" w:sz="8" w:color="DEDEDE"/>
              <w:bottom w:val="single" w:sz="8" w:color="DEDEDE"/>
            </w:tcBorders>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80" w:type="dxa"/>
            <w:vAlign w:val="bottom"/>
            <w:gridSpan w:val="3"/>
            <w:shd w:val="clear" w:color="auto" w:fill="DEDEDE"/>
          </w:tcPr>
          <w:p>
            <w:pPr>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34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52,414,507</w:t>
            </w:r>
          </w:p>
        </w:tc>
        <w:tc>
          <w:tcPr>
            <w:tcW w:w="160" w:type="dxa"/>
            <w:vAlign w:val="bottom"/>
            <w:shd w:val="clear" w:color="auto" w:fill="DEDEDE"/>
          </w:tcPr>
          <w:p>
            <w:pPr>
              <w:spacing w:after="0"/>
              <w:rPr>
                <w:sz w:val="21"/>
                <w:szCs w:val="21"/>
                <w:color w:val="auto"/>
              </w:rPr>
            </w:pPr>
          </w:p>
        </w:tc>
        <w:tc>
          <w:tcPr>
            <w:tcW w:w="34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2,185,269</w:t>
            </w:r>
          </w:p>
        </w:tc>
        <w:tc>
          <w:tcPr>
            <w:tcW w:w="50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219,054</w:t>
            </w:r>
          </w:p>
        </w:tc>
        <w:tc>
          <w:tcPr>
            <w:tcW w:w="200" w:type="dxa"/>
            <w:vAlign w:val="bottom"/>
            <w:shd w:val="clear" w:color="auto" w:fill="DEDEDE"/>
          </w:tcPr>
          <w:p>
            <w:pPr>
              <w:spacing w:after="0"/>
              <w:rPr>
                <w:sz w:val="21"/>
                <w:szCs w:val="21"/>
                <w:color w:val="auto"/>
              </w:rPr>
            </w:pPr>
          </w:p>
        </w:tc>
        <w:tc>
          <w:tcPr>
            <w:tcW w:w="2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54,818,830</w:t>
            </w:r>
          </w:p>
        </w:tc>
        <w:tc>
          <w:tcPr>
            <w:tcW w:w="120" w:type="dxa"/>
            <w:vAlign w:val="bottom"/>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DEDEDE"/>
            </w:tcBorders>
          </w:tcPr>
          <w:p>
            <w:pPr>
              <w:spacing w:after="0" w:line="20" w:lineRule="exact"/>
              <w:rPr>
                <w:sz w:val="1"/>
                <w:szCs w:val="1"/>
                <w:color w:val="auto"/>
              </w:rPr>
            </w:pPr>
          </w:p>
        </w:tc>
        <w:tc>
          <w:tcPr>
            <w:tcW w:w="700" w:type="dxa"/>
            <w:vAlign w:val="bottom"/>
            <w:tcBorders>
              <w:top w:val="single" w:sz="8" w:color="DEDEDE"/>
            </w:tcBorders>
          </w:tcPr>
          <w:p>
            <w:pPr>
              <w:spacing w:after="0" w:line="20" w:lineRule="exact"/>
              <w:rPr>
                <w:sz w:val="1"/>
                <w:szCs w:val="1"/>
                <w:color w:val="auto"/>
              </w:rPr>
            </w:pPr>
          </w:p>
        </w:tc>
        <w:tc>
          <w:tcPr>
            <w:tcW w:w="366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EDED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DEDEDE"/>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322" w:right="20" w:hanging="322"/>
        <w:spacing w:after="0" w:line="250" w:lineRule="auto"/>
        <w:tabs>
          <w:tab w:leader="none" w:pos="32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expenses on the consolidated statements of earnings. Data processing and IT related expenses includes various software subscriptions, maintenance, consulting, support and storage fees.</w:t>
      </w:r>
    </w:p>
    <w:p>
      <w:pPr>
        <w:ind w:left="322" w:hanging="322"/>
        <w:spacing w:after="0"/>
        <w:tabs>
          <w:tab w:leader="none" w:pos="322"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other segment items includes:</w:t>
      </w:r>
    </w:p>
    <w:p>
      <w:pPr>
        <w:spacing w:after="0" w:line="9" w:lineRule="exact"/>
        <w:rPr>
          <w:sz w:val="20"/>
          <w:szCs w:val="20"/>
          <w:color w:val="auto"/>
        </w:rPr>
      </w:pPr>
    </w:p>
    <w:p>
      <w:pPr>
        <w:ind w:left="582" w:right="20"/>
        <w:spacing w:after="0" w:line="250" w:lineRule="auto"/>
        <w:rPr>
          <w:sz w:val="20"/>
          <w:szCs w:val="20"/>
          <w:color w:val="auto"/>
        </w:rPr>
      </w:pPr>
      <w:r>
        <w:rPr>
          <w:rFonts w:ascii="Times New Roman" w:cs="Times New Roman" w:eastAsia="Times New Roman" w:hAnsi="Times New Roman"/>
          <w:sz w:val="18"/>
          <w:szCs w:val="18"/>
          <w:color w:val="auto"/>
        </w:rPr>
        <w:t>Life Insurance - bad debt, insurance expenses, professional service expenses, state insurance department fees, amortization of intangible assets, and certain overhead expenses.</w:t>
      </w:r>
    </w:p>
    <w:p>
      <w:pPr>
        <w:spacing w:after="0" w:line="1" w:lineRule="exact"/>
        <w:rPr>
          <w:sz w:val="20"/>
          <w:szCs w:val="20"/>
          <w:color w:val="auto"/>
        </w:rPr>
      </w:pPr>
    </w:p>
    <w:p>
      <w:pPr>
        <w:ind w:left="582"/>
        <w:spacing w:after="0" w:line="250" w:lineRule="auto"/>
        <w:rPr>
          <w:sz w:val="20"/>
          <w:szCs w:val="20"/>
          <w:color w:val="auto"/>
        </w:rPr>
      </w:pPr>
      <w:r>
        <w:rPr>
          <w:rFonts w:ascii="Times New Roman" w:cs="Times New Roman" w:eastAsia="Times New Roman" w:hAnsi="Times New Roman"/>
          <w:sz w:val="18"/>
          <w:szCs w:val="18"/>
          <w:color w:val="auto"/>
        </w:rPr>
        <w:t>Cemetery/Mortuary - bad debt, insurance expenses, professional service expenses, maintenance and utility expenses, property taxes, amortization of intangible assets, and certain overhead expenses.</w:t>
      </w:r>
    </w:p>
    <w:p>
      <w:pPr>
        <w:spacing w:after="0" w:line="1" w:lineRule="exact"/>
        <w:rPr>
          <w:sz w:val="20"/>
          <w:szCs w:val="20"/>
          <w:color w:val="auto"/>
        </w:rPr>
      </w:pPr>
    </w:p>
    <w:p>
      <w:pPr>
        <w:ind w:left="582" w:right="20"/>
        <w:spacing w:after="0" w:line="250" w:lineRule="auto"/>
        <w:rPr>
          <w:sz w:val="20"/>
          <w:szCs w:val="20"/>
          <w:color w:val="auto"/>
        </w:rPr>
      </w:pPr>
      <w:r>
        <w:rPr>
          <w:rFonts w:ascii="Times New Roman" w:cs="Times New Roman" w:eastAsia="Times New Roman" w:hAnsi="Times New Roman"/>
          <w:sz w:val="18"/>
          <w:szCs w:val="18"/>
          <w:color w:val="auto"/>
        </w:rPr>
        <w:t>Mortgage - bad debt, insurance expenses, professional service expenses, business license and registration fees, dues and subscriptions, amortization expense of mortgage servicing rights, and certain overhead expenses.</w:t>
      </w:r>
    </w:p>
    <w:p>
      <w:pPr>
        <w:spacing w:after="0" w:line="1" w:lineRule="exact"/>
        <w:rPr>
          <w:sz w:val="20"/>
          <w:szCs w:val="20"/>
          <w:color w:val="auto"/>
        </w:rPr>
      </w:pPr>
    </w:p>
    <w:p>
      <w:pPr>
        <w:ind w:left="582" w:right="6200" w:hanging="582"/>
        <w:spacing w:after="0" w:line="265" w:lineRule="auto"/>
        <w:tabs>
          <w:tab w:leader="none" w:pos="323" w:val="left"/>
        </w:tabs>
        <w:numPr>
          <w:ilvl w:val="0"/>
          <w:numId w:val="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reportable segment, intersegment expenses includes: Life Insurance - mortgage servicing fees and interest expense.</w:t>
      </w:r>
    </w:p>
    <w:p>
      <w:pPr>
        <w:ind w:left="582" w:right="3620"/>
        <w:spacing w:after="0" w:line="28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Cemetery/Mortuary - rent expense, data processing and IT related expenses, and interest expense. Mortgage - rent expense and interest expense.</w:t>
      </w:r>
    </w:p>
    <w:p>
      <w:pPr>
        <w:spacing w:after="0" w:line="6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91</w:t>
      </w:r>
    </w:p>
    <w:p>
      <w:pPr>
        <w:sectPr>
          <w:pgSz w:w="12240" w:h="15840" w:orient="portrait"/>
          <w:cols w:equalWidth="0" w:num="1">
            <w:col w:w="11242"/>
          </w:cols>
          <w:pgMar w:left="498" w:top="687" w:right="500" w:bottom="0" w:gutter="0" w:footer="0" w:header="0"/>
        </w:sectPr>
      </w:pPr>
    </w:p>
    <w:bookmarkStart w:id="119" w:name="page120"/>
    <w:bookmarkEnd w:id="119"/>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p>
    <w:p>
      <w:pPr>
        <w:spacing w:after="0" w:line="225"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176" w:lineRule="exact"/>
        <w:rPr>
          <w:sz w:val="20"/>
          <w:szCs w:val="20"/>
          <w:color w:val="auto"/>
        </w:rPr>
      </w:pPr>
    </w:p>
    <w:p>
      <w:pPr>
        <w:jc w:val="both"/>
        <w:ind w:left="2" w:right="2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Financial assets and financial liabilities whose values are based on unadjusted quoted prices for identical assets or liabilities in an active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the Company can access.</w:t>
      </w:r>
    </w:p>
    <w:p>
      <w:pPr>
        <w:spacing w:after="0" w:line="15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Financial assets and financial liabilities whose values are based on the following:</w:t>
      </w:r>
    </w:p>
    <w:p>
      <w:pPr>
        <w:spacing w:after="0" w:line="228" w:lineRule="exact"/>
        <w:rPr>
          <w:sz w:val="20"/>
          <w:szCs w:val="20"/>
          <w:color w:val="auto"/>
        </w:rPr>
      </w:pPr>
    </w:p>
    <w:p>
      <w:pPr>
        <w:ind w:left="1162" w:hanging="190"/>
        <w:spacing w:after="0"/>
        <w:tabs>
          <w:tab w:leader="none" w:pos="116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similar assets or liabilities in active markets;</w:t>
      </w:r>
    </w:p>
    <w:p>
      <w:pPr>
        <w:spacing w:after="0" w:line="224" w:lineRule="exact"/>
        <w:rPr>
          <w:rFonts w:ascii="Times New Roman" w:cs="Times New Roman" w:eastAsia="Times New Roman" w:hAnsi="Times New Roman"/>
          <w:sz w:val="18"/>
          <w:szCs w:val="18"/>
          <w:color w:val="auto"/>
        </w:rPr>
      </w:pPr>
    </w:p>
    <w:p>
      <w:pPr>
        <w:ind w:left="1162" w:hanging="190"/>
        <w:spacing w:after="0"/>
        <w:tabs>
          <w:tab w:leader="none" w:pos="116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Quoted prices for identical or similar assets or liabilities in non-active markets; or</w:t>
      </w:r>
    </w:p>
    <w:p>
      <w:pPr>
        <w:spacing w:after="0" w:line="224" w:lineRule="exact"/>
        <w:rPr>
          <w:rFonts w:ascii="Times New Roman" w:cs="Times New Roman" w:eastAsia="Times New Roman" w:hAnsi="Times New Roman"/>
          <w:sz w:val="18"/>
          <w:szCs w:val="18"/>
          <w:color w:val="auto"/>
        </w:rPr>
      </w:pPr>
    </w:p>
    <w:p>
      <w:pPr>
        <w:ind w:left="1162" w:hanging="190"/>
        <w:spacing w:after="0"/>
        <w:tabs>
          <w:tab w:leader="none" w:pos="116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models whose inputs are observable, directly or indirectly, for substantially the full term of the asset or liability.</w:t>
      </w:r>
    </w:p>
    <w:p>
      <w:pPr>
        <w:spacing w:after="0" w:line="222" w:lineRule="exact"/>
        <w:rPr>
          <w:sz w:val="20"/>
          <w:szCs w:val="20"/>
          <w:color w:val="auto"/>
        </w:rPr>
      </w:pPr>
    </w:p>
    <w:p>
      <w:pPr>
        <w:jc w:val="both"/>
        <w:ind w:left="2"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Financial assets and financial liabilities whose values are based on prices or valuation techniques that require inputs that are both unobservable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 to the overall fair value measurement. These inputs may reflect the Company’s estimates of the assumptions that market participants would use in valuing financial assets and financial liabilities.</w:t>
      </w:r>
    </w:p>
    <w:p>
      <w:pPr>
        <w:spacing w:after="0" w:line="17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utilizes a combination of third-party valuation service providers, brokers, and internal valuation models to determine fair value.</w:t>
      </w:r>
    </w:p>
    <w:p>
      <w:pPr>
        <w:spacing w:after="0" w:line="225"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the fair value presented in its disclosures related to significant financial instruments:</w:t>
      </w:r>
    </w:p>
    <w:p>
      <w:pPr>
        <w:spacing w:after="0" w:line="160"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items shown under Level 1 and Level 2 are valued as follows:</w:t>
      </w:r>
    </w:p>
    <w:p>
      <w:pPr>
        <w:spacing w:after="0" w:line="222" w:lineRule="exact"/>
        <w:rPr>
          <w:sz w:val="20"/>
          <w:szCs w:val="20"/>
          <w:color w:val="auto"/>
        </w:rPr>
      </w:pPr>
    </w:p>
    <w:p>
      <w:pPr>
        <w:jc w:val="both"/>
        <w:ind w:left="2" w:right="20"/>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of fixed maturity securities are based on quoted market prices, (when available). For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maturity securities not actively traded, fair values are estimated using values obtained from independent pricing services, or in the case of private placements (considered Level 3 financial assets), are estimated by discounting expected future cash flows using a current market value applicable to the coupon rate, credit, and maturity of the investments.</w:t>
      </w: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values for equity securities are based on quoted market prices.</w:t>
      </w:r>
    </w:p>
    <w:p>
      <w:pPr>
        <w:spacing w:after="0" w:line="225" w:lineRule="exact"/>
        <w:rPr>
          <w:sz w:val="20"/>
          <w:szCs w:val="20"/>
          <w:color w:val="auto"/>
        </w:rPr>
      </w:pPr>
    </w:p>
    <w:p>
      <w:pPr>
        <w:jc w:val="both"/>
        <w:ind w:left="2" w:right="20"/>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Restricted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available for sale that have quoted market prices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to determine fair value. Also included are cash and cash equivalents and participations in mortgage loans. The carrying amounts reported in the accompanying consolidated balance sheets for these financial instruments approximate their fair values due to their short-term nature.</w:t>
      </w:r>
    </w:p>
    <w:p>
      <w:pPr>
        <w:spacing w:after="0" w:line="171" w:lineRule="exact"/>
        <w:rPr>
          <w:sz w:val="20"/>
          <w:szCs w:val="20"/>
          <w:color w:val="auto"/>
        </w:rPr>
      </w:pPr>
    </w:p>
    <w:p>
      <w:pPr>
        <w:jc w:val="both"/>
        <w:ind w:left="2" w:right="20"/>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Cemetery Perpetual Care Trust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portion of these assets include equity securities and fixed maturity securities available for sale that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market prices that are used to determine fair value. Also included are cash and cash equivalents. The carrying amounts reported in the accompanying consolidated balance sheets for these financial instruments approximate their fair values due to their short-term nature</w:t>
      </w:r>
    </w:p>
    <w:p>
      <w:pPr>
        <w:spacing w:after="0" w:line="173"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Additionally, there were no transfers between Level 1 and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92</w:t>
      </w:r>
    </w:p>
    <w:p>
      <w:pPr>
        <w:sectPr>
          <w:pgSz w:w="12240" w:h="15840" w:orient="portrait"/>
          <w:cols w:equalWidth="0" w:num="1">
            <w:col w:w="11242"/>
          </w:cols>
          <w:pgMar w:left="498" w:top="687" w:right="500" w:bottom="0" w:gutter="0" w:footer="0" w:header="0"/>
        </w:sectPr>
      </w:pPr>
    </w:p>
    <w:bookmarkStart w:id="120" w:name="page121"/>
    <w:bookmarkEnd w:id="120"/>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2" w:right="7120" w:hanging="2"/>
        <w:spacing w:after="0" w:line="528" w:lineRule="auto"/>
        <w:tabs>
          <w:tab w:leader="none" w:pos="65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Fair Value of Financial Instruments</w:t>
      </w:r>
      <w:r>
        <w:rPr>
          <w:rFonts w:ascii="Times New Roman" w:cs="Times New Roman" w:eastAsia="Times New Roman" w:hAnsi="Times New Roman"/>
          <w:sz w:val="17"/>
          <w:szCs w:val="17"/>
          <w:color w:val="auto"/>
        </w:rPr>
        <w:t xml:space="preserve"> (Continued) The items shown under Level 3 are valued as follows:</w:t>
      </w:r>
    </w:p>
    <w:p>
      <w:pPr>
        <w:spacing w:after="0" w:line="1" w:lineRule="exact"/>
        <w:rPr>
          <w:sz w:val="20"/>
          <w:szCs w:val="20"/>
          <w:color w:val="auto"/>
        </w:rPr>
      </w:pPr>
    </w:p>
    <w:p>
      <w:pPr>
        <w:jc w:val="both"/>
        <w:ind w:left="2"/>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Loans Held for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elected the fair value option for loans held for sale. The fair value is based on quoted market prices (when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a quoted market price is not readily available, the Company uses the market price from its last sale of similar assets. Fair value is often difficult to determine and may contain significant unobservable inputs.</w:t>
      </w:r>
    </w:p>
    <w:p>
      <w:pPr>
        <w:spacing w:after="0" w:line="171" w:lineRule="exact"/>
        <w:rPr>
          <w:sz w:val="20"/>
          <w:szCs w:val="20"/>
          <w:color w:val="auto"/>
        </w:rPr>
      </w:pPr>
    </w:p>
    <w:p>
      <w:pPr>
        <w:jc w:val="both"/>
        <w:ind w:left="2" w:right="20"/>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Loan Commitments and Forward Sale Commitments</w:t>
      </w:r>
      <w:r>
        <w:rPr>
          <w:rFonts w:ascii="Times New Roman" w:cs="Times New Roman" w:eastAsia="Times New Roman" w:hAnsi="Times New Roman"/>
          <w:sz w:val="18"/>
          <w:szCs w:val="18"/>
          <w:color w:val="auto"/>
        </w:rPr>
        <w:t>: The Company’s mortgage segment enters into loan commitments with potential borrowers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 sale commitments to sell loans to third-party investors. The Company also uses a hedging strategy for these transactions. A loan commitment binds the Company to lend funds to a qualified borrower at a specified interest rate and within a specified period,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182"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185" w:lineRule="exact"/>
        <w:rPr>
          <w:sz w:val="20"/>
          <w:szCs w:val="20"/>
          <w:color w:val="auto"/>
        </w:rPr>
      </w:pPr>
    </w:p>
    <w:p>
      <w:pPr>
        <w:jc w:val="both"/>
        <w:ind w:left="2" w:right="20"/>
        <w:spacing w:after="0" w:line="259" w:lineRule="auto"/>
        <w:rPr>
          <w:sz w:val="20"/>
          <w:szCs w:val="20"/>
          <w:color w:val="auto"/>
        </w:rPr>
      </w:pPr>
      <w:r>
        <w:rPr>
          <w:rFonts w:ascii="Times New Roman" w:cs="Times New Roman" w:eastAsia="Times New Roman" w:hAnsi="Times New Roman"/>
          <w:sz w:val="18"/>
          <w:szCs w:val="18"/>
          <w:i w:val="1"/>
          <w:iCs w:val="1"/>
          <w:u w:val="single" w:color="auto"/>
          <w:color w:val="auto"/>
        </w:rPr>
        <w:t>Impaired Mortgage Loans Held for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believes that the fair value of these nonperforming loans will approximate the unpaid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balance expected to be recovered based on the fair value of the underlying collateral. For residential and commercial properties, the collateral value is estimated by obtaining an independent appraisal. The appraisal typically considers area comparable properties and property condition as well as potential rental income that could be generated (particularly for commercial properties). For residential construction loans, the collateral is typically incomplete, so fair value is estimated as the replacement cost using data from a provider of building cost information to the real estate construction.</w:t>
      </w:r>
    </w:p>
    <w:p>
      <w:pPr>
        <w:spacing w:after="0" w:line="179" w:lineRule="exact"/>
        <w:rPr>
          <w:sz w:val="20"/>
          <w:szCs w:val="20"/>
          <w:color w:val="auto"/>
        </w:rPr>
      </w:pPr>
    </w:p>
    <w:p>
      <w:pPr>
        <w:jc w:val="both"/>
        <w:ind w:left="2" w:right="2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Impaired Real Estate Held for Investment</w:t>
      </w:r>
      <w:r>
        <w:rPr>
          <w:rFonts w:ascii="Times New Roman" w:cs="Times New Roman" w:eastAsia="Times New Roman" w:hAnsi="Times New Roman"/>
          <w:sz w:val="18"/>
          <w:szCs w:val="18"/>
          <w:color w:val="auto"/>
        </w:rPr>
        <w:t>: Fair value is generally determined by obtaining an independent appraisal, which typically considers area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comparable properties and property conditions. The Company believes that in an orderly market, fair value approximates the replacement cost of a home and will list for sale any foreclosed properties. In a disorderly market, the Company believes the highest and best use of the properties is as income producing assets and will hold the properties as rental properties, matching the income from the investment in rental properties with the funds required for estimated future policy benefits. Accordingly, in addition to an appraisal, the determination of the fair value will generally be weighed more heavily toward the rental analysis.</w:t>
      </w:r>
    </w:p>
    <w:p>
      <w:pPr>
        <w:spacing w:after="0" w:line="185" w:lineRule="exact"/>
        <w:rPr>
          <w:sz w:val="20"/>
          <w:szCs w:val="20"/>
          <w:color w:val="auto"/>
        </w:rPr>
      </w:pPr>
    </w:p>
    <w:p>
      <w:pPr>
        <w:jc w:val="both"/>
        <w:ind w:left="2" w:right="20"/>
        <w:spacing w:after="0" w:line="261" w:lineRule="auto"/>
        <w:rPr>
          <w:sz w:val="20"/>
          <w:szCs w:val="20"/>
          <w:color w:val="auto"/>
        </w:rPr>
      </w:pPr>
      <w:r>
        <w:rPr>
          <w:rFonts w:ascii="Times New Roman" w:cs="Times New Roman" w:eastAsia="Times New Roman" w:hAnsi="Times New Roman"/>
          <w:sz w:val="18"/>
          <w:szCs w:val="18"/>
          <w:color w:val="auto"/>
        </w:rPr>
        <w:t>It should be noted that for replacement cost, when determining the fair value of real estate held for investment, the Company uses a provider of building cost information to the real estate construction industry. For the investment analysis, the Company uses market data based upon its real estate operation experience and projected the present value of net rental income over seven years. The Company also considers comparable properties int the area and property conditions when determining fair value.</w:t>
      </w:r>
    </w:p>
    <w:p>
      <w:pPr>
        <w:spacing w:after="0" w:line="179"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93</w:t>
      </w:r>
    </w:p>
    <w:p>
      <w:pPr>
        <w:sectPr>
          <w:pgSz w:w="12240" w:h="15840" w:orient="portrait"/>
          <w:cols w:equalWidth="0" w:num="1">
            <w:col w:w="11242"/>
          </w:cols>
          <w:pgMar w:left="498" w:top="687" w:right="500" w:bottom="0" w:gutter="0" w:footer="0" w:header="0"/>
        </w:sectPr>
      </w:pPr>
    </w:p>
    <w:bookmarkStart w:id="121" w:name="page122"/>
    <w:bookmarkEnd w:id="121"/>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2" w:lineRule="exact"/>
        <w:rPr>
          <w:sz w:val="20"/>
          <w:szCs w:val="20"/>
          <w:color w:val="auto"/>
        </w:rPr>
      </w:pPr>
    </w:p>
    <w:p>
      <w:pPr>
        <w:ind w:left="2" w:right="20"/>
        <w:spacing w:after="0" w:line="286" w:lineRule="auto"/>
        <w:rPr>
          <w:sz w:val="20"/>
          <w:szCs w:val="20"/>
          <w:color w:val="auto"/>
        </w:rPr>
      </w:pPr>
      <w:r>
        <w:rPr>
          <w:rFonts w:ascii="Times New Roman" w:cs="Times New Roman" w:eastAsia="Times New Roman" w:hAnsi="Times New Roman"/>
          <w:sz w:val="18"/>
          <w:szCs w:val="18"/>
          <w:i w:val="1"/>
          <w:iCs w:val="1"/>
          <w:u w:val="single" w:color="auto"/>
          <w:color w:val="auto"/>
        </w:rPr>
        <w:t>Mortgage Servicing Rights</w:t>
      </w:r>
      <w:r>
        <w:rPr>
          <w:rFonts w:ascii="Times New Roman" w:cs="Times New Roman" w:eastAsia="Times New Roman" w:hAnsi="Times New Roman"/>
          <w:sz w:val="18"/>
          <w:szCs w:val="18"/>
          <w:color w:val="auto"/>
        </w:rPr>
        <w:t>: The Company initially recognizes MSRs at their estimated fair values derived from the net cash flows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servicing contracts, where the Company assumes the obligation to service the loan in the sale transaction.</w:t>
      </w:r>
    </w:p>
    <w:p>
      <w:pPr>
        <w:spacing w:after="0" w:line="157" w:lineRule="exact"/>
        <w:rPr>
          <w:sz w:val="20"/>
          <w:szCs w:val="20"/>
          <w:color w:val="auto"/>
        </w:rPr>
      </w:pPr>
    </w:p>
    <w:p>
      <w:pPr>
        <w:ind w:left="2" w:right="20"/>
        <w:spacing w:after="0" w:line="283" w:lineRule="auto"/>
        <w:rPr>
          <w:sz w:val="20"/>
          <w:szCs w:val="20"/>
          <w:color w:val="auto"/>
        </w:rPr>
      </w:pPr>
      <w:r>
        <w:rPr>
          <w:rFonts w:ascii="Times New Roman" w:cs="Times New Roman" w:eastAsia="Times New Roman" w:hAnsi="Times New Roman"/>
          <w:sz w:val="18"/>
          <w:szCs w:val="18"/>
          <w:color w:val="auto"/>
        </w:rPr>
        <w:t>The following table summarizes Level 1, 2 and 3 financial assets and financial liabilities measured at fair value on a recurring basis by their classification in the consolidated balance sheet as of December 31, 2025.</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Quoted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Prices in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Active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rPr>
              <w:t>Significant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8"/>
                <w:szCs w:val="18"/>
                <w:color w:val="auto"/>
                <w:w w:val="98"/>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Markets for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Identical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Inputs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rPr>
              <w:t>Inputs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(Level 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360" w:type="dxa"/>
            <w:vAlign w:val="bottom"/>
            <w:tcBorders>
              <w:top w:val="single" w:sz="8" w:color="DEDEDE"/>
            </w:tcBorders>
            <w:shd w:val="clear" w:color="auto" w:fill="DEDEDE"/>
          </w:tcPr>
          <w:p>
            <w:pPr>
              <w:spacing w:after="0"/>
              <w:rPr>
                <w:sz w:val="18"/>
                <w:szCs w:val="18"/>
                <w:color w:val="auto"/>
              </w:rPr>
            </w:pPr>
          </w:p>
        </w:tc>
        <w:tc>
          <w:tcPr>
            <w:tcW w:w="220" w:type="dxa"/>
            <w:vAlign w:val="bottom"/>
            <w:tcBorders>
              <w:top w:val="single" w:sz="8" w:color="auto"/>
            </w:tcBorders>
            <w:shd w:val="clear" w:color="auto" w:fill="DEDEDE"/>
          </w:tcPr>
          <w:p>
            <w:pPr>
              <w:spacing w:after="0"/>
              <w:rPr>
                <w:sz w:val="18"/>
                <w:szCs w:val="18"/>
                <w:color w:val="auto"/>
              </w:rPr>
            </w:pPr>
          </w:p>
        </w:tc>
        <w:tc>
          <w:tcPr>
            <w:tcW w:w="104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18"/>
                <w:szCs w:val="18"/>
                <w:color w:val="auto"/>
              </w:rPr>
            </w:pPr>
          </w:p>
        </w:tc>
        <w:tc>
          <w:tcPr>
            <w:tcW w:w="110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18"/>
                <w:szCs w:val="18"/>
                <w:color w:val="auto"/>
              </w:rPr>
            </w:pPr>
          </w:p>
        </w:tc>
        <w:tc>
          <w:tcPr>
            <w:tcW w:w="108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112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5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382,777,918</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382,203,275</w:t>
            </w:r>
          </w:p>
        </w:tc>
        <w:tc>
          <w:tcPr>
            <w:tcW w:w="3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18,050,062</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18,050,062</w:t>
            </w:r>
          </w:p>
        </w:tc>
        <w:tc>
          <w:tcPr>
            <w:tcW w:w="3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0" w:type="dxa"/>
            <w:vAlign w:val="bottom"/>
            <w:gridSpan w:val="2"/>
            <w:shd w:val="clear" w:color="auto" w:fill="DEDED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240" w:type="dxa"/>
            <w:vAlign w:val="bottom"/>
            <w:gridSpan w:val="2"/>
            <w:shd w:val="clear" w:color="auto" w:fill="DEDEDE"/>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155,968,266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155,968,266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36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1,177,251</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1,177,251</w:t>
            </w:r>
          </w:p>
        </w:tc>
        <w:tc>
          <w:tcPr>
            <w:tcW w:w="3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240" w:type="dxa"/>
            <w:vAlign w:val="bottom"/>
            <w:gridSpan w:val="2"/>
            <w:shd w:val="clear" w:color="auto" w:fill="DEDEDE"/>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14,928,917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14,928,917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36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272,012</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272,012</w:t>
            </w:r>
          </w:p>
        </w:tc>
        <w:tc>
          <w:tcPr>
            <w:tcW w:w="3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240" w:type="dxa"/>
            <w:vAlign w:val="bottom"/>
            <w:gridSpan w:val="2"/>
            <w:shd w:val="clear" w:color="auto" w:fill="DEDEDE"/>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6,303,732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6,303,732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360" w:type="dxa"/>
            <w:vAlign w:val="bottom"/>
            <w:shd w:val="clear" w:color="auto" w:fill="DEDEDE"/>
          </w:tcPr>
          <w:p>
            <w:pPr>
              <w:spacing w:after="0"/>
              <w:rPr>
                <w:sz w:val="19"/>
                <w:szCs w:val="19"/>
                <w:color w:val="auto"/>
              </w:rPr>
            </w:pPr>
          </w:p>
        </w:tc>
        <w:tc>
          <w:tcPr>
            <w:tcW w:w="220" w:type="dxa"/>
            <w:vAlign w:val="bottom"/>
            <w:shd w:val="clear" w:color="auto" w:fill="DEDEDE"/>
          </w:tcPr>
          <w:p>
            <w:pPr>
              <w:spacing w:after="0"/>
              <w:rPr>
                <w:sz w:val="19"/>
                <w:szCs w:val="19"/>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1,700,742</w:t>
            </w:r>
          </w:p>
        </w:tc>
        <w:tc>
          <w:tcPr>
            <w:tcW w:w="20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400" w:type="dxa"/>
            <w:vAlign w:val="bottom"/>
            <w:gridSpan w:val="2"/>
            <w:shd w:val="clear" w:color="auto" w:fill="DEDED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1,700,742</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360" w:type="dxa"/>
            <w:vAlign w:val="bottom"/>
            <w:tcBorders>
              <w:bottom w:val="single" w:sz="8" w:color="DEDEDE"/>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581,178,900</w:t>
            </w:r>
          </w:p>
        </w:tc>
        <w:tc>
          <w:tcPr>
            <w:tcW w:w="200" w:type="dxa"/>
            <w:vAlign w:val="bottom"/>
            <w:tcBorders>
              <w:bottom w:val="single" w:sz="8" w:color="DEDEDE"/>
            </w:tcBorders>
          </w:tcPr>
          <w:p>
            <w:pPr>
              <w:spacing w:after="0"/>
              <w:rPr>
                <w:sz w:val="22"/>
                <w:szCs w:val="22"/>
                <w:color w:val="auto"/>
              </w:rPr>
            </w:pPr>
          </w:p>
        </w:tc>
        <w:tc>
          <w:tcPr>
            <w:tcW w:w="140" w:type="dxa"/>
            <w:vAlign w:val="bottom"/>
            <w:tcBorders>
              <w:bottom w:val="single" w:sz="8" w:color="DEDED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39,282,711</w:t>
            </w:r>
          </w:p>
        </w:tc>
        <w:tc>
          <w:tcPr>
            <w:tcW w:w="320" w:type="dxa"/>
            <w:vAlign w:val="bottom"/>
            <w:tcBorders>
              <w:bottom w:val="single" w:sz="8" w:color="DEDED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383,652,538</w:t>
            </w:r>
          </w:p>
        </w:tc>
        <w:tc>
          <w:tcPr>
            <w:tcW w:w="320" w:type="dxa"/>
            <w:vAlign w:val="bottom"/>
            <w:tcBorders>
              <w:bottom w:val="single" w:sz="8" w:color="DEDEDE"/>
            </w:tcBorders>
          </w:tcPr>
          <w:p>
            <w:pPr>
              <w:spacing w:after="0"/>
              <w:rPr>
                <w:sz w:val="22"/>
                <w:szCs w:val="22"/>
                <w:color w:val="auto"/>
              </w:rPr>
            </w:pPr>
          </w:p>
        </w:tc>
        <w:tc>
          <w:tcPr>
            <w:tcW w:w="20" w:type="dxa"/>
            <w:vAlign w:val="bottom"/>
            <w:tcBorders>
              <w:bottom w:val="single" w:sz="8" w:color="DEDED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158,243,651</w:t>
            </w:r>
          </w:p>
        </w:tc>
        <w:tc>
          <w:tcPr>
            <w:tcW w:w="120" w:type="dxa"/>
            <w:vAlign w:val="bottom"/>
            <w:tcBorders>
              <w:bottom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00" w:type="dxa"/>
            <w:vAlign w:val="bottom"/>
            <w:shd w:val="clear" w:color="auto" w:fill="DEDEDE"/>
          </w:tcPr>
          <w:p>
            <w:pPr>
              <w:spacing w:after="0"/>
              <w:rPr>
                <w:sz w:val="17"/>
                <w:szCs w:val="17"/>
                <w:color w:val="auto"/>
              </w:rPr>
            </w:pPr>
          </w:p>
        </w:tc>
        <w:tc>
          <w:tcPr>
            <w:tcW w:w="360" w:type="dxa"/>
            <w:vAlign w:val="bottom"/>
            <w:shd w:val="clear" w:color="auto" w:fill="DEDEDE"/>
          </w:tcPr>
          <w:p>
            <w:pPr>
              <w:spacing w:after="0"/>
              <w:rPr>
                <w:sz w:val="17"/>
                <w:szCs w:val="17"/>
                <w:color w:val="auto"/>
              </w:rPr>
            </w:pPr>
          </w:p>
        </w:tc>
        <w:tc>
          <w:tcPr>
            <w:tcW w:w="220" w:type="dxa"/>
            <w:vAlign w:val="bottom"/>
            <w:shd w:val="clear" w:color="auto" w:fill="DEDEDE"/>
          </w:tcPr>
          <w:p>
            <w:pPr>
              <w:spacing w:after="0"/>
              <w:rPr>
                <w:sz w:val="17"/>
                <w:szCs w:val="17"/>
                <w:color w:val="auto"/>
              </w:rPr>
            </w:pPr>
          </w:p>
        </w:tc>
        <w:tc>
          <w:tcPr>
            <w:tcW w:w="104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10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0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100" w:type="dxa"/>
            <w:vAlign w:val="bottom"/>
            <w:shd w:val="clear" w:color="auto" w:fill="DEDEDE"/>
          </w:tcPr>
          <w:p>
            <w:pPr>
              <w:spacing w:after="0"/>
              <w:rPr>
                <w:sz w:val="17"/>
                <w:szCs w:val="17"/>
                <w:color w:val="auto"/>
              </w:rPr>
            </w:pPr>
          </w:p>
        </w:tc>
        <w:tc>
          <w:tcPr>
            <w:tcW w:w="112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580" w:type="dxa"/>
            <w:vAlign w:val="bottom"/>
            <w:gridSpan w:val="2"/>
            <w:shd w:val="clear" w:color="auto" w:fill="DEDEDE"/>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(220,605)</w:t>
            </w:r>
          </w:p>
        </w:tc>
        <w:tc>
          <w:tcPr>
            <w:tcW w:w="2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DEDED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(220,605)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(220,605</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(220,605</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322" w:hanging="322"/>
        <w:spacing w:after="0"/>
        <w:tabs>
          <w:tab w:leader="none" w:pos="32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94</w:t>
      </w:r>
    </w:p>
    <w:p>
      <w:pPr>
        <w:sectPr>
          <w:pgSz w:w="12240" w:h="15840" w:orient="portrait"/>
          <w:cols w:equalWidth="0" w:num="1">
            <w:col w:w="11242"/>
          </w:cols>
          <w:pgMar w:left="498" w:top="687" w:right="500" w:bottom="0" w:gutter="0" w:footer="0" w:header="0"/>
        </w:sectPr>
      </w:pPr>
    </w:p>
    <w:bookmarkStart w:id="122" w:name="page123"/>
    <w:bookmarkEnd w:id="122"/>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right="20"/>
        <w:spacing w:after="0" w:line="283" w:lineRule="auto"/>
        <w:rPr>
          <w:sz w:val="20"/>
          <w:szCs w:val="20"/>
          <w:color w:val="auto"/>
        </w:rPr>
      </w:pPr>
      <w:r>
        <w:rPr>
          <w:rFonts w:ascii="Times New Roman" w:cs="Times New Roman" w:eastAsia="Times New Roman" w:hAnsi="Times New Roman"/>
          <w:sz w:val="18"/>
          <w:szCs w:val="18"/>
          <w:color w:val="auto"/>
        </w:rPr>
        <w:t>The following table summarizes Level 1, 2 and 3 financial assets and financial liabilities measured at fair value on a recurring basis by their classification in the consolidated balance sheet as of December 31, 2024.</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Quoted</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Prices in</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Active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8"/>
                <w:szCs w:val="18"/>
                <w:color w:val="auto"/>
              </w:rPr>
              <w:t>Significant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restart"/>
          </w:tcPr>
          <w:p>
            <w:pPr>
              <w:jc w:val="center"/>
              <w:ind w:right="141"/>
              <w:spacing w:after="0"/>
              <w:rPr>
                <w:sz w:val="20"/>
                <w:szCs w:val="20"/>
                <w:color w:val="auto"/>
              </w:rPr>
            </w:pPr>
            <w:r>
              <w:rPr>
                <w:rFonts w:ascii="Times New Roman" w:cs="Times New Roman" w:eastAsia="Times New Roman" w:hAnsi="Times New Roman"/>
                <w:sz w:val="18"/>
                <w:szCs w:val="18"/>
                <w:color w:val="auto"/>
                <w:w w:val="98"/>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Markets for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Identical</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Observable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w w:val="99"/>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Inputs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rPr>
              <w:t>Inputs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(Level 1)</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(Level 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color w:val="auto"/>
                <w:w w:val="99"/>
              </w:rPr>
              <w:t>(Level 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Assets accounted for at fair value on a recurring basis</w:t>
            </w:r>
          </w:p>
        </w:tc>
        <w:tc>
          <w:tcPr>
            <w:tcW w:w="360" w:type="dxa"/>
            <w:vAlign w:val="bottom"/>
            <w:tcBorders>
              <w:top w:val="single" w:sz="8" w:color="DEDEDE"/>
            </w:tcBorders>
            <w:shd w:val="clear" w:color="auto" w:fill="DEDEDE"/>
          </w:tcPr>
          <w:p>
            <w:pPr>
              <w:spacing w:after="0"/>
              <w:rPr>
                <w:sz w:val="18"/>
                <w:szCs w:val="18"/>
                <w:color w:val="auto"/>
              </w:rPr>
            </w:pPr>
          </w:p>
        </w:tc>
        <w:tc>
          <w:tcPr>
            <w:tcW w:w="220" w:type="dxa"/>
            <w:vAlign w:val="bottom"/>
            <w:tcBorders>
              <w:top w:val="single" w:sz="8" w:color="auto"/>
            </w:tcBorders>
            <w:shd w:val="clear" w:color="auto" w:fill="DEDEDE"/>
          </w:tcPr>
          <w:p>
            <w:pPr>
              <w:spacing w:after="0"/>
              <w:rPr>
                <w:sz w:val="18"/>
                <w:szCs w:val="18"/>
                <w:color w:val="auto"/>
              </w:rPr>
            </w:pPr>
          </w:p>
        </w:tc>
        <w:tc>
          <w:tcPr>
            <w:tcW w:w="104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18"/>
                <w:szCs w:val="18"/>
                <w:color w:val="auto"/>
              </w:rPr>
            </w:pPr>
          </w:p>
        </w:tc>
        <w:tc>
          <w:tcPr>
            <w:tcW w:w="110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18"/>
                <w:szCs w:val="18"/>
                <w:color w:val="auto"/>
              </w:rPr>
            </w:pPr>
          </w:p>
        </w:tc>
        <w:tc>
          <w:tcPr>
            <w:tcW w:w="108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2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112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Fixed maturity securities available for sale</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366,546,129</w:t>
            </w:r>
          </w:p>
        </w:tc>
        <w:tc>
          <w:tcPr>
            <w:tcW w:w="2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365,396,203</w:t>
            </w:r>
          </w:p>
        </w:tc>
        <w:tc>
          <w:tcPr>
            <w:tcW w:w="3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15,771,681</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15,771,681</w:t>
            </w:r>
          </w:p>
        </w:tc>
        <w:tc>
          <w:tcPr>
            <w:tcW w:w="3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0" w:type="dxa"/>
            <w:vAlign w:val="bottom"/>
            <w:gridSpan w:val="2"/>
            <w:shd w:val="clear" w:color="auto" w:fill="DEDED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240" w:type="dxa"/>
            <w:vAlign w:val="bottom"/>
            <w:gridSpan w:val="2"/>
            <w:shd w:val="clear" w:color="auto" w:fill="DEDEDE"/>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131,181,148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131,181,148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Restricted assets (1)</w:t>
            </w:r>
          </w:p>
        </w:tc>
        <w:tc>
          <w:tcPr>
            <w:tcW w:w="36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2,351,369</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2,351,369</w:t>
            </w:r>
          </w:p>
        </w:tc>
        <w:tc>
          <w:tcPr>
            <w:tcW w:w="3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240" w:type="dxa"/>
            <w:vAlign w:val="bottom"/>
            <w:gridSpan w:val="2"/>
            <w:shd w:val="clear" w:color="auto" w:fill="DEDEDE"/>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9,972,166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9,972,166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(1)</w:t>
            </w:r>
          </w:p>
        </w:tc>
        <w:tc>
          <w:tcPr>
            <w:tcW w:w="360" w:type="dxa"/>
            <w:vAlign w:val="bottom"/>
            <w:shd w:val="clear" w:color="auto" w:fill="DEDEDE"/>
          </w:tcPr>
          <w:p>
            <w:pPr>
              <w:spacing w:after="0"/>
              <w:rPr>
                <w:sz w:val="18"/>
                <w:szCs w:val="18"/>
                <w:color w:val="auto"/>
              </w:rPr>
            </w:pPr>
          </w:p>
        </w:tc>
        <w:tc>
          <w:tcPr>
            <w:tcW w:w="220" w:type="dxa"/>
            <w:vAlign w:val="bottom"/>
            <w:shd w:val="clear" w:color="auto" w:fill="DEDEDE"/>
          </w:tcPr>
          <w:p>
            <w:pPr>
              <w:spacing w:after="0"/>
              <w:rPr>
                <w:sz w:val="18"/>
                <w:szCs w:val="18"/>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769,662</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769,662</w:t>
            </w:r>
          </w:p>
        </w:tc>
        <w:tc>
          <w:tcPr>
            <w:tcW w:w="320" w:type="dxa"/>
            <w:vAlign w:val="bottom"/>
            <w:shd w:val="clear" w:color="auto" w:fill="DEDEDE"/>
          </w:tcPr>
          <w:p>
            <w:pPr>
              <w:spacing w:after="0"/>
              <w:rPr>
                <w:sz w:val="18"/>
                <w:szCs w:val="18"/>
                <w:color w:val="auto"/>
              </w:rPr>
            </w:pPr>
          </w:p>
        </w:tc>
        <w:tc>
          <w:tcPr>
            <w:tcW w:w="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240" w:type="dxa"/>
            <w:vAlign w:val="bottom"/>
            <w:gridSpan w:val="2"/>
            <w:shd w:val="clear" w:color="auto" w:fill="DEDEDE"/>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4,920,044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4,920,044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Derivatives - loan commitments (3)</w:t>
            </w:r>
          </w:p>
        </w:tc>
        <w:tc>
          <w:tcPr>
            <w:tcW w:w="360" w:type="dxa"/>
            <w:vAlign w:val="bottom"/>
            <w:shd w:val="clear" w:color="auto" w:fill="DEDEDE"/>
          </w:tcPr>
          <w:p>
            <w:pPr>
              <w:spacing w:after="0"/>
              <w:rPr>
                <w:sz w:val="19"/>
                <w:szCs w:val="19"/>
                <w:color w:val="auto"/>
              </w:rPr>
            </w:pPr>
          </w:p>
        </w:tc>
        <w:tc>
          <w:tcPr>
            <w:tcW w:w="220" w:type="dxa"/>
            <w:vAlign w:val="bottom"/>
            <w:shd w:val="clear" w:color="auto" w:fill="DEDEDE"/>
          </w:tcPr>
          <w:p>
            <w:pPr>
              <w:spacing w:after="0"/>
              <w:rPr>
                <w:sz w:val="19"/>
                <w:szCs w:val="19"/>
                <w:color w:val="auto"/>
              </w:rPr>
            </w:pP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5,348,089</w:t>
            </w:r>
          </w:p>
        </w:tc>
        <w:tc>
          <w:tcPr>
            <w:tcW w:w="20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400" w:type="dxa"/>
            <w:vAlign w:val="bottom"/>
            <w:gridSpan w:val="2"/>
            <w:shd w:val="clear" w:color="auto" w:fill="DEDED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1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5,348,089</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0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Total assets accounted for at fair value on a recurring basis</w:t>
            </w:r>
          </w:p>
        </w:tc>
        <w:tc>
          <w:tcPr>
            <w:tcW w:w="360" w:type="dxa"/>
            <w:vAlign w:val="bottom"/>
            <w:tcBorders>
              <w:bottom w:val="single" w:sz="8" w:color="DEDEDE"/>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536,860,288</w:t>
            </w:r>
          </w:p>
        </w:tc>
        <w:tc>
          <w:tcPr>
            <w:tcW w:w="200" w:type="dxa"/>
            <w:vAlign w:val="bottom"/>
            <w:tcBorders>
              <w:bottom w:val="single" w:sz="8" w:color="DEDEDE"/>
            </w:tcBorders>
          </w:tcPr>
          <w:p>
            <w:pPr>
              <w:spacing w:after="0"/>
              <w:rPr>
                <w:sz w:val="22"/>
                <w:szCs w:val="22"/>
                <w:color w:val="auto"/>
              </w:rPr>
            </w:pPr>
          </w:p>
        </w:tc>
        <w:tc>
          <w:tcPr>
            <w:tcW w:w="140" w:type="dxa"/>
            <w:vAlign w:val="bottom"/>
            <w:tcBorders>
              <w:bottom w:val="single" w:sz="8" w:color="DEDED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30,663,891</w:t>
            </w:r>
          </w:p>
        </w:tc>
        <w:tc>
          <w:tcPr>
            <w:tcW w:w="320" w:type="dxa"/>
            <w:vAlign w:val="bottom"/>
            <w:tcBorders>
              <w:bottom w:val="single" w:sz="8" w:color="DEDEDE"/>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368,517,234</w:t>
            </w:r>
          </w:p>
        </w:tc>
        <w:tc>
          <w:tcPr>
            <w:tcW w:w="320" w:type="dxa"/>
            <w:vAlign w:val="bottom"/>
            <w:tcBorders>
              <w:bottom w:val="single" w:sz="8" w:color="DEDEDE"/>
            </w:tcBorders>
          </w:tcPr>
          <w:p>
            <w:pPr>
              <w:spacing w:after="0"/>
              <w:rPr>
                <w:sz w:val="22"/>
                <w:szCs w:val="22"/>
                <w:color w:val="auto"/>
              </w:rPr>
            </w:pPr>
          </w:p>
        </w:tc>
        <w:tc>
          <w:tcPr>
            <w:tcW w:w="20" w:type="dxa"/>
            <w:vAlign w:val="bottom"/>
            <w:tcBorders>
              <w:bottom w:val="single" w:sz="8" w:color="DEDEDE"/>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137,679,163</w:t>
            </w:r>
          </w:p>
        </w:tc>
        <w:tc>
          <w:tcPr>
            <w:tcW w:w="120" w:type="dxa"/>
            <w:vAlign w:val="bottom"/>
            <w:tcBorders>
              <w:bottom w:val="single" w:sz="8" w:color="DEDEDE"/>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800" w:type="dxa"/>
            <w:vAlign w:val="bottom"/>
            <w:shd w:val="clear" w:color="auto" w:fill="DEDEDE"/>
          </w:tcPr>
          <w:p>
            <w:pPr>
              <w:spacing w:after="0"/>
              <w:rPr>
                <w:sz w:val="17"/>
                <w:szCs w:val="17"/>
                <w:color w:val="auto"/>
              </w:rPr>
            </w:pPr>
          </w:p>
        </w:tc>
        <w:tc>
          <w:tcPr>
            <w:tcW w:w="360" w:type="dxa"/>
            <w:vAlign w:val="bottom"/>
            <w:shd w:val="clear" w:color="auto" w:fill="DEDEDE"/>
          </w:tcPr>
          <w:p>
            <w:pPr>
              <w:spacing w:after="0"/>
              <w:rPr>
                <w:sz w:val="17"/>
                <w:szCs w:val="17"/>
                <w:color w:val="auto"/>
              </w:rPr>
            </w:pPr>
          </w:p>
        </w:tc>
        <w:tc>
          <w:tcPr>
            <w:tcW w:w="220" w:type="dxa"/>
            <w:vAlign w:val="bottom"/>
            <w:shd w:val="clear" w:color="auto" w:fill="DEDEDE"/>
          </w:tcPr>
          <w:p>
            <w:pPr>
              <w:spacing w:after="0"/>
              <w:rPr>
                <w:sz w:val="17"/>
                <w:szCs w:val="17"/>
                <w:color w:val="auto"/>
              </w:rPr>
            </w:pPr>
          </w:p>
        </w:tc>
        <w:tc>
          <w:tcPr>
            <w:tcW w:w="104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10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1080" w:type="dxa"/>
            <w:vAlign w:val="bottom"/>
            <w:shd w:val="clear" w:color="auto" w:fill="DEDEDE"/>
          </w:tcPr>
          <w:p>
            <w:pPr>
              <w:spacing w:after="0"/>
              <w:rPr>
                <w:sz w:val="17"/>
                <w:szCs w:val="17"/>
                <w:color w:val="auto"/>
              </w:rPr>
            </w:pPr>
          </w:p>
        </w:tc>
        <w:tc>
          <w:tcPr>
            <w:tcW w:w="320" w:type="dxa"/>
            <w:vAlign w:val="bottom"/>
            <w:shd w:val="clear" w:color="auto" w:fill="DEDEDE"/>
          </w:tcPr>
          <w:p>
            <w:pPr>
              <w:spacing w:after="0"/>
              <w:rPr>
                <w:sz w:val="17"/>
                <w:szCs w:val="17"/>
                <w:color w:val="auto"/>
              </w:rPr>
            </w:pPr>
          </w:p>
        </w:tc>
        <w:tc>
          <w:tcPr>
            <w:tcW w:w="20" w:type="dxa"/>
            <w:vAlign w:val="bottom"/>
            <w:shd w:val="clear" w:color="auto" w:fill="DEDEDE"/>
          </w:tcPr>
          <w:p>
            <w:pPr>
              <w:spacing w:after="0"/>
              <w:rPr>
                <w:sz w:val="17"/>
                <w:szCs w:val="17"/>
                <w:color w:val="auto"/>
              </w:rPr>
            </w:pPr>
          </w:p>
        </w:tc>
        <w:tc>
          <w:tcPr>
            <w:tcW w:w="100" w:type="dxa"/>
            <w:vAlign w:val="bottom"/>
            <w:shd w:val="clear" w:color="auto" w:fill="DEDEDE"/>
          </w:tcPr>
          <w:p>
            <w:pPr>
              <w:spacing w:after="0"/>
              <w:rPr>
                <w:sz w:val="17"/>
                <w:szCs w:val="17"/>
                <w:color w:val="auto"/>
              </w:rPr>
            </w:pPr>
          </w:p>
        </w:tc>
        <w:tc>
          <w:tcPr>
            <w:tcW w:w="112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accounted for at fair value on a recurring basis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Derivatives - loan commitments (4)</w:t>
            </w:r>
          </w:p>
        </w:tc>
        <w:tc>
          <w:tcPr>
            <w:tcW w:w="580" w:type="dxa"/>
            <w:vAlign w:val="bottom"/>
            <w:gridSpan w:val="2"/>
            <w:shd w:val="clear" w:color="auto" w:fill="DEDEDE"/>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DEDEDE"/>
          </w:tcPr>
          <w:p>
            <w:pPr>
              <w:jc w:val="right"/>
              <w:ind w:right="61"/>
              <w:spacing w:after="0"/>
              <w:rPr>
                <w:sz w:val="20"/>
                <w:szCs w:val="20"/>
                <w:color w:val="auto"/>
              </w:rPr>
            </w:pPr>
            <w:r>
              <w:rPr>
                <w:rFonts w:ascii="Times New Roman" w:cs="Times New Roman" w:eastAsia="Times New Roman" w:hAnsi="Times New Roman"/>
                <w:sz w:val="18"/>
                <w:szCs w:val="18"/>
                <w:color w:val="auto"/>
              </w:rPr>
              <w:t>(3,034,879)</w:t>
            </w:r>
          </w:p>
        </w:tc>
        <w:tc>
          <w:tcPr>
            <w:tcW w:w="2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DEDED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(3,034,879)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accounted for at fair value on a recurring basis</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(3,034,879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(3,034,879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322" w:hanging="322"/>
        <w:spacing w:after="0"/>
        <w:tabs>
          <w:tab w:leader="none" w:pos="32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maturity securities available for sale</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securities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assets on the consolidated balance sheets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liabilities and accrued expenses on the consolidated balance sheets</w:t>
      </w:r>
    </w:p>
    <w:p>
      <w:pPr>
        <w:spacing w:after="0" w:line="225" w:lineRule="exact"/>
        <w:rPr>
          <w:sz w:val="20"/>
          <w:szCs w:val="20"/>
          <w:color w:val="auto"/>
        </w:rPr>
      </w:pPr>
    </w:p>
    <w:p>
      <w:pPr>
        <w:ind w:left="2" w:right="20"/>
        <w:spacing w:after="0" w:line="283"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2025, the significant unobservable inputs used in the fair value measurements were as follows:</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92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color w:val="auto"/>
              </w:rPr>
              <w:t>Range of Inputs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Fair Value at</w:t>
            </w:r>
          </w:p>
        </w:tc>
        <w:tc>
          <w:tcPr>
            <w:tcW w:w="3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Valuation</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Minimum</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Maximum</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Weighted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12/31/2025</w:t>
            </w: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80" w:type="dxa"/>
            <w:vAlign w:val="bottom"/>
            <w:tcBorders>
              <w:top w:val="single" w:sz="8" w:color="DEDEDE"/>
            </w:tcBorders>
            <w:shd w:val="clear" w:color="auto" w:fill="DEDEDE"/>
          </w:tcPr>
          <w:p>
            <w:pPr>
              <w:spacing w:after="0"/>
              <w:rPr>
                <w:sz w:val="16"/>
                <w:szCs w:val="16"/>
                <w:color w:val="auto"/>
              </w:rPr>
            </w:pPr>
          </w:p>
        </w:tc>
        <w:tc>
          <w:tcPr>
            <w:tcW w:w="1220" w:type="dxa"/>
            <w:vAlign w:val="bottom"/>
            <w:tcBorders>
              <w:top w:val="single" w:sz="8" w:color="auto"/>
            </w:tcBorders>
            <w:shd w:val="clear" w:color="auto" w:fill="DEDEDE"/>
          </w:tcPr>
          <w:p>
            <w:pPr>
              <w:spacing w:after="0"/>
              <w:rPr>
                <w:sz w:val="16"/>
                <w:szCs w:val="16"/>
                <w:color w:val="auto"/>
              </w:rPr>
            </w:pPr>
          </w:p>
        </w:tc>
        <w:tc>
          <w:tcPr>
            <w:tcW w:w="340" w:type="dxa"/>
            <w:vAlign w:val="bottom"/>
            <w:tcBorders>
              <w:top w:val="single" w:sz="8" w:color="DEDEDE"/>
            </w:tcBorders>
            <w:shd w:val="clear" w:color="auto" w:fill="DEDEDE"/>
          </w:tcPr>
          <w:p>
            <w:pPr>
              <w:spacing w:after="0"/>
              <w:rPr>
                <w:sz w:val="16"/>
                <w:szCs w:val="16"/>
                <w:color w:val="auto"/>
              </w:rPr>
            </w:pPr>
          </w:p>
        </w:tc>
        <w:tc>
          <w:tcPr>
            <w:tcW w:w="1120" w:type="dxa"/>
            <w:vAlign w:val="bottom"/>
            <w:tcBorders>
              <w:top w:val="single" w:sz="8" w:color="auto"/>
            </w:tcBorders>
            <w:shd w:val="clear" w:color="auto" w:fill="DEDEDE"/>
          </w:tcPr>
          <w:p>
            <w:pPr>
              <w:spacing w:after="0"/>
              <w:rPr>
                <w:sz w:val="16"/>
                <w:szCs w:val="16"/>
                <w:color w:val="auto"/>
              </w:rPr>
            </w:pPr>
          </w:p>
        </w:tc>
        <w:tc>
          <w:tcPr>
            <w:tcW w:w="220" w:type="dxa"/>
            <w:vAlign w:val="bottom"/>
            <w:tcBorders>
              <w:top w:val="single" w:sz="8" w:color="DEDEDE"/>
            </w:tcBorders>
            <w:shd w:val="clear" w:color="auto" w:fill="DEDEDE"/>
          </w:tcPr>
          <w:p>
            <w:pPr>
              <w:spacing w:after="0"/>
              <w:rPr>
                <w:sz w:val="16"/>
                <w:szCs w:val="16"/>
                <w:color w:val="auto"/>
              </w:rPr>
            </w:pPr>
          </w:p>
        </w:tc>
        <w:tc>
          <w:tcPr>
            <w:tcW w:w="1120" w:type="dxa"/>
            <w:vAlign w:val="bottom"/>
            <w:tcBorders>
              <w:top w:val="single" w:sz="8" w:color="auto"/>
            </w:tcBorders>
            <w:shd w:val="clear" w:color="auto" w:fill="DEDEDE"/>
          </w:tcPr>
          <w:p>
            <w:pPr>
              <w:spacing w:after="0" w:line="190" w:lineRule="exact"/>
              <w:rPr>
                <w:sz w:val="20"/>
                <w:szCs w:val="20"/>
                <w:color w:val="auto"/>
              </w:rPr>
            </w:pPr>
            <w:r>
              <w:rPr>
                <w:rFonts w:ascii="Times New Roman" w:cs="Times New Roman" w:eastAsia="Times New Roman" w:hAnsi="Times New Roman"/>
                <w:sz w:val="18"/>
                <w:szCs w:val="18"/>
                <w:color w:val="auto"/>
              </w:rPr>
              <w:t>Investor</w:t>
            </w:r>
          </w:p>
        </w:tc>
        <w:tc>
          <w:tcPr>
            <w:tcW w:w="200" w:type="dxa"/>
            <w:vAlign w:val="bottom"/>
            <w:tcBorders>
              <w:top w:val="single" w:sz="8" w:color="DEDEDE"/>
            </w:tcBorders>
            <w:shd w:val="clear" w:color="auto" w:fill="DEDEDE"/>
          </w:tcPr>
          <w:p>
            <w:pPr>
              <w:spacing w:after="0"/>
              <w:rPr>
                <w:sz w:val="16"/>
                <w:szCs w:val="16"/>
                <w:color w:val="auto"/>
              </w:rPr>
            </w:pPr>
          </w:p>
        </w:tc>
        <w:tc>
          <w:tcPr>
            <w:tcW w:w="180" w:type="dxa"/>
            <w:vAlign w:val="bottom"/>
            <w:tcBorders>
              <w:top w:val="single" w:sz="8" w:color="auto"/>
            </w:tcBorders>
            <w:shd w:val="clear" w:color="auto" w:fill="DEDEDE"/>
          </w:tcPr>
          <w:p>
            <w:pPr>
              <w:spacing w:after="0"/>
              <w:rPr>
                <w:sz w:val="16"/>
                <w:szCs w:val="16"/>
                <w:color w:val="auto"/>
              </w:rPr>
            </w:pPr>
          </w:p>
        </w:tc>
        <w:tc>
          <w:tcPr>
            <w:tcW w:w="1060" w:type="dxa"/>
            <w:vAlign w:val="bottom"/>
            <w:tcBorders>
              <w:top w:val="single" w:sz="8" w:color="auto"/>
            </w:tcBorders>
            <w:shd w:val="clear" w:color="auto" w:fill="DEDEDE"/>
          </w:tcPr>
          <w:p>
            <w:pPr>
              <w:spacing w:after="0"/>
              <w:rPr>
                <w:sz w:val="16"/>
                <w:szCs w:val="16"/>
                <w:color w:val="auto"/>
              </w:rPr>
            </w:pPr>
          </w:p>
        </w:tc>
        <w:tc>
          <w:tcPr>
            <w:tcW w:w="260" w:type="dxa"/>
            <w:vAlign w:val="bottom"/>
            <w:tcBorders>
              <w:top w:val="single" w:sz="8" w:color="DEDEDE"/>
            </w:tcBorders>
            <w:shd w:val="clear" w:color="auto" w:fill="DEDEDE"/>
          </w:tcPr>
          <w:p>
            <w:pPr>
              <w:spacing w:after="0"/>
              <w:rPr>
                <w:sz w:val="16"/>
                <w:szCs w:val="16"/>
                <w:color w:val="auto"/>
              </w:rPr>
            </w:pPr>
          </w:p>
        </w:tc>
        <w:tc>
          <w:tcPr>
            <w:tcW w:w="120" w:type="dxa"/>
            <w:vAlign w:val="bottom"/>
            <w:tcBorders>
              <w:top w:val="single" w:sz="8" w:color="DEDEDE"/>
            </w:tcBorders>
            <w:shd w:val="clear" w:color="auto" w:fill="DEDEDE"/>
          </w:tcPr>
          <w:p>
            <w:pPr>
              <w:spacing w:after="0"/>
              <w:rPr>
                <w:sz w:val="16"/>
                <w:szCs w:val="16"/>
                <w:color w:val="auto"/>
              </w:rPr>
            </w:pPr>
          </w:p>
        </w:tc>
        <w:tc>
          <w:tcPr>
            <w:tcW w:w="160" w:type="dxa"/>
            <w:vAlign w:val="bottom"/>
            <w:tcBorders>
              <w:top w:val="single" w:sz="8" w:color="auto"/>
            </w:tcBorders>
            <w:shd w:val="clear" w:color="auto" w:fill="DEDEDE"/>
          </w:tcPr>
          <w:p>
            <w:pPr>
              <w:spacing w:after="0"/>
              <w:rPr>
                <w:sz w:val="16"/>
                <w:szCs w:val="16"/>
                <w:color w:val="auto"/>
              </w:rPr>
            </w:pPr>
          </w:p>
        </w:tc>
        <w:tc>
          <w:tcPr>
            <w:tcW w:w="1060" w:type="dxa"/>
            <w:vAlign w:val="bottom"/>
            <w:tcBorders>
              <w:top w:val="single" w:sz="8" w:color="auto"/>
            </w:tcBorders>
            <w:shd w:val="clear" w:color="auto" w:fill="DEDEDE"/>
          </w:tcPr>
          <w:p>
            <w:pPr>
              <w:spacing w:after="0"/>
              <w:rPr>
                <w:sz w:val="16"/>
                <w:szCs w:val="16"/>
                <w:color w:val="auto"/>
              </w:rPr>
            </w:pPr>
          </w:p>
        </w:tc>
        <w:tc>
          <w:tcPr>
            <w:tcW w:w="260" w:type="dxa"/>
            <w:vAlign w:val="bottom"/>
            <w:tcBorders>
              <w:top w:val="single" w:sz="8" w:color="DEDEDE"/>
            </w:tcBorders>
            <w:shd w:val="clear" w:color="auto" w:fill="DEDEDE"/>
          </w:tcPr>
          <w:p>
            <w:pPr>
              <w:spacing w:after="0"/>
              <w:rPr>
                <w:sz w:val="16"/>
                <w:szCs w:val="16"/>
                <w:color w:val="auto"/>
              </w:rPr>
            </w:pPr>
          </w:p>
        </w:tc>
        <w:tc>
          <w:tcPr>
            <w:tcW w:w="120" w:type="dxa"/>
            <w:vAlign w:val="bottom"/>
            <w:tcBorders>
              <w:top w:val="single" w:sz="8" w:color="DEDEDE"/>
            </w:tcBorders>
            <w:shd w:val="clear" w:color="auto" w:fill="DEDEDE"/>
          </w:tcPr>
          <w:p>
            <w:pPr>
              <w:spacing w:after="0"/>
              <w:rPr>
                <w:sz w:val="16"/>
                <w:szCs w:val="16"/>
                <w:color w:val="auto"/>
              </w:rPr>
            </w:pPr>
          </w:p>
        </w:tc>
        <w:tc>
          <w:tcPr>
            <w:tcW w:w="180" w:type="dxa"/>
            <w:vAlign w:val="bottom"/>
            <w:tcBorders>
              <w:top w:val="single" w:sz="8" w:color="auto"/>
            </w:tcBorders>
            <w:shd w:val="clear" w:color="auto" w:fill="DEDEDE"/>
          </w:tcPr>
          <w:p>
            <w:pPr>
              <w:spacing w:after="0"/>
              <w:rPr>
                <w:sz w:val="16"/>
                <w:szCs w:val="16"/>
                <w:color w:val="auto"/>
              </w:rPr>
            </w:pPr>
          </w:p>
        </w:tc>
        <w:tc>
          <w:tcPr>
            <w:tcW w:w="1040" w:type="dxa"/>
            <w:vAlign w:val="bottom"/>
            <w:tcBorders>
              <w:top w:val="single" w:sz="8" w:color="auto"/>
            </w:tcBorders>
            <w:shd w:val="clear" w:color="auto" w:fill="DEDEDE"/>
          </w:tcPr>
          <w:p>
            <w:pPr>
              <w:spacing w:after="0"/>
              <w:rPr>
                <w:sz w:val="16"/>
                <w:szCs w:val="16"/>
                <w:color w:val="auto"/>
              </w:rPr>
            </w:pPr>
          </w:p>
        </w:tc>
        <w:tc>
          <w:tcPr>
            <w:tcW w:w="180" w:type="dxa"/>
            <w:vAlign w:val="bottom"/>
            <w:tcBorders>
              <w:top w:val="single" w:sz="8" w:color="DEDEDE"/>
            </w:tcBorders>
            <w:shd w:val="clear" w:color="auto" w:fill="DEDED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DEDEDE"/>
          </w:tcPr>
          <w:p>
            <w:pPr>
              <w:spacing w:after="0"/>
              <w:rPr>
                <w:sz w:val="18"/>
                <w:szCs w:val="18"/>
                <w:color w:val="auto"/>
              </w:rPr>
            </w:pPr>
          </w:p>
        </w:tc>
        <w:tc>
          <w:tcPr>
            <w:tcW w:w="12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contract</w:t>
            </w:r>
          </w:p>
        </w:tc>
        <w:tc>
          <w:tcPr>
            <w:tcW w:w="2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DEDEDE"/>
          </w:tcPr>
          <w:p>
            <w:pPr>
              <w:spacing w:after="0"/>
              <w:rPr>
                <w:sz w:val="18"/>
                <w:szCs w:val="18"/>
                <w:color w:val="auto"/>
              </w:rPr>
            </w:pPr>
          </w:p>
        </w:tc>
        <w:tc>
          <w:tcPr>
            <w:tcW w:w="12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pricing as a</w:t>
            </w:r>
          </w:p>
        </w:tc>
        <w:tc>
          <w:tcPr>
            <w:tcW w:w="2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DEDEDE"/>
          </w:tcPr>
          <w:p>
            <w:pPr>
              <w:spacing w:after="0"/>
              <w:rPr>
                <w:sz w:val="18"/>
                <w:szCs w:val="18"/>
                <w:color w:val="auto"/>
              </w:rPr>
            </w:pPr>
          </w:p>
        </w:tc>
        <w:tc>
          <w:tcPr>
            <w:tcW w:w="12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percentage of</w:t>
            </w:r>
          </w:p>
        </w:tc>
        <w:tc>
          <w:tcPr>
            <w:tcW w:w="2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DEDEDE"/>
          </w:tcPr>
          <w:p>
            <w:pPr>
              <w:spacing w:after="0"/>
              <w:rPr>
                <w:sz w:val="18"/>
                <w:szCs w:val="18"/>
                <w:color w:val="auto"/>
              </w:rPr>
            </w:pPr>
          </w:p>
        </w:tc>
        <w:tc>
          <w:tcPr>
            <w:tcW w:w="12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unpaid</w:t>
            </w:r>
          </w:p>
        </w:tc>
        <w:tc>
          <w:tcPr>
            <w:tcW w:w="2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DEDEDE"/>
          </w:tcPr>
          <w:p>
            <w:pPr>
              <w:spacing w:after="0"/>
              <w:rPr>
                <w:sz w:val="18"/>
                <w:szCs w:val="18"/>
                <w:color w:val="auto"/>
              </w:rPr>
            </w:pPr>
          </w:p>
        </w:tc>
        <w:tc>
          <w:tcPr>
            <w:tcW w:w="1220" w:type="dxa"/>
            <w:vAlign w:val="bottom"/>
            <w:shd w:val="clear" w:color="auto" w:fill="DEDEDE"/>
          </w:tcPr>
          <w:p>
            <w:pPr>
              <w:spacing w:after="0"/>
              <w:rPr>
                <w:sz w:val="18"/>
                <w:szCs w:val="18"/>
                <w:color w:val="auto"/>
              </w:rPr>
            </w:pPr>
          </w:p>
        </w:tc>
        <w:tc>
          <w:tcPr>
            <w:tcW w:w="1460" w:type="dxa"/>
            <w:vAlign w:val="bottom"/>
            <w:gridSpan w:val="2"/>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Market</w:t>
            </w:r>
          </w:p>
        </w:tc>
        <w:tc>
          <w:tcPr>
            <w:tcW w:w="13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155,968,266</w:t>
            </w:r>
          </w:p>
        </w:tc>
        <w:tc>
          <w:tcPr>
            <w:tcW w:w="1460" w:type="dxa"/>
            <w:vAlign w:val="bottom"/>
            <w:gridSpan w:val="2"/>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approach</w:t>
            </w:r>
          </w:p>
        </w:tc>
        <w:tc>
          <w:tcPr>
            <w:tcW w:w="13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balance</w:t>
            </w:r>
          </w:p>
        </w:tc>
        <w:tc>
          <w:tcPr>
            <w:tcW w:w="20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3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86.0%</w:t>
            </w:r>
          </w:p>
        </w:tc>
        <w:tc>
          <w:tcPr>
            <w:tcW w:w="12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3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12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22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80" w:type="dxa"/>
            <w:vAlign w:val="bottom"/>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Derivatives - loan</w:t>
            </w:r>
          </w:p>
        </w:tc>
        <w:tc>
          <w:tcPr>
            <w:tcW w:w="1220" w:type="dxa"/>
            <w:vAlign w:val="bottom"/>
            <w:shd w:val="clear" w:color="auto" w:fill="DEDEDE"/>
          </w:tcPr>
          <w:p>
            <w:pPr>
              <w:spacing w:after="0"/>
              <w:rPr>
                <w:sz w:val="17"/>
                <w:szCs w:val="17"/>
                <w:color w:val="auto"/>
              </w:rPr>
            </w:pPr>
          </w:p>
        </w:tc>
        <w:tc>
          <w:tcPr>
            <w:tcW w:w="1460" w:type="dxa"/>
            <w:vAlign w:val="bottom"/>
            <w:gridSpan w:val="2"/>
            <w:shd w:val="clear" w:color="auto" w:fill="DEDEDE"/>
          </w:tcPr>
          <w:p>
            <w:pPr>
              <w:ind w:left="340"/>
              <w:spacing w:after="0" w:line="196" w:lineRule="exact"/>
              <w:rPr>
                <w:sz w:val="20"/>
                <w:szCs w:val="20"/>
                <w:color w:val="auto"/>
              </w:rPr>
            </w:pPr>
            <w:r>
              <w:rPr>
                <w:rFonts w:ascii="Times New Roman" w:cs="Times New Roman" w:eastAsia="Times New Roman" w:hAnsi="Times New Roman"/>
                <w:sz w:val="18"/>
                <w:szCs w:val="18"/>
                <w:color w:val="auto"/>
              </w:rPr>
              <w:t>Market</w:t>
            </w:r>
          </w:p>
        </w:tc>
        <w:tc>
          <w:tcPr>
            <w:tcW w:w="1340" w:type="dxa"/>
            <w:vAlign w:val="bottom"/>
            <w:gridSpan w:val="2"/>
            <w:shd w:val="clear" w:color="auto" w:fill="DEDEDE"/>
          </w:tcPr>
          <w:p>
            <w:pPr>
              <w:ind w:left="220"/>
              <w:spacing w:after="0" w:line="196" w:lineRule="exact"/>
              <w:rPr>
                <w:sz w:val="20"/>
                <w:szCs w:val="20"/>
                <w:color w:val="auto"/>
              </w:rPr>
            </w:pPr>
            <w:r>
              <w:rPr>
                <w:rFonts w:ascii="Times New Roman" w:cs="Times New Roman" w:eastAsia="Times New Roman" w:hAnsi="Times New Roman"/>
                <w:sz w:val="18"/>
                <w:szCs w:val="18"/>
                <w:color w:val="auto"/>
              </w:rPr>
              <w:t>Pull-through</w:t>
            </w:r>
          </w:p>
        </w:tc>
        <w:tc>
          <w:tcPr>
            <w:tcW w:w="20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060" w:type="dxa"/>
            <w:vAlign w:val="bottom"/>
            <w:shd w:val="clear" w:color="auto" w:fill="DEDEDE"/>
          </w:tcPr>
          <w:p>
            <w:pPr>
              <w:spacing w:after="0"/>
              <w:rPr>
                <w:sz w:val="17"/>
                <w:szCs w:val="17"/>
                <w:color w:val="auto"/>
              </w:rPr>
            </w:pPr>
          </w:p>
        </w:tc>
        <w:tc>
          <w:tcPr>
            <w:tcW w:w="2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060" w:type="dxa"/>
            <w:vAlign w:val="bottom"/>
            <w:shd w:val="clear" w:color="auto" w:fill="DEDEDE"/>
          </w:tcPr>
          <w:p>
            <w:pPr>
              <w:spacing w:after="0"/>
              <w:rPr>
                <w:sz w:val="17"/>
                <w:szCs w:val="17"/>
                <w:color w:val="auto"/>
              </w:rPr>
            </w:pPr>
          </w:p>
        </w:tc>
        <w:tc>
          <w:tcPr>
            <w:tcW w:w="2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04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1,480,137</w:t>
            </w:r>
          </w:p>
        </w:tc>
        <w:tc>
          <w:tcPr>
            <w:tcW w:w="1460" w:type="dxa"/>
            <w:vAlign w:val="bottom"/>
            <w:gridSpan w:val="2"/>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approach</w:t>
            </w:r>
          </w:p>
        </w:tc>
        <w:tc>
          <w:tcPr>
            <w:tcW w:w="13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rate</w:t>
            </w:r>
          </w:p>
        </w:tc>
        <w:tc>
          <w:tcPr>
            <w:tcW w:w="20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3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3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22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Initial-Value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DEDEDE"/>
          </w:tcPr>
          <w:p>
            <w:pPr>
              <w:spacing w:after="0"/>
              <w:rPr>
                <w:sz w:val="18"/>
                <w:szCs w:val="18"/>
                <w:color w:val="auto"/>
              </w:rPr>
            </w:pPr>
          </w:p>
        </w:tc>
        <w:tc>
          <w:tcPr>
            <w:tcW w:w="12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Servicing</w:t>
            </w:r>
          </w:p>
        </w:tc>
        <w:tc>
          <w:tcPr>
            <w:tcW w:w="2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320" w:type="dxa"/>
            <w:vAlign w:val="bottom"/>
            <w:gridSpan w:val="2"/>
            <w:shd w:val="clear" w:color="auto" w:fill="DEDEDE"/>
          </w:tcPr>
          <w:p>
            <w:pPr>
              <w:jc w:val="right"/>
              <w:ind w:right="260"/>
              <w:spacing w:after="0"/>
              <w:rPr>
                <w:sz w:val="20"/>
                <w:szCs w:val="20"/>
                <w:color w:val="auto"/>
              </w:rPr>
            </w:pPr>
            <w:r>
              <w:rPr>
                <w:rFonts w:ascii="Times New Roman" w:cs="Times New Roman" w:eastAsia="Times New Roman" w:hAnsi="Times New Roman"/>
                <w:sz w:val="18"/>
                <w:szCs w:val="18"/>
                <w:color w:val="auto"/>
              </w:rPr>
              <w:t>0 bps</w:t>
            </w:r>
          </w:p>
        </w:tc>
        <w:tc>
          <w:tcPr>
            <w:tcW w:w="1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320" w:type="dxa"/>
            <w:vAlign w:val="bottom"/>
            <w:gridSpan w:val="2"/>
            <w:shd w:val="clear" w:color="auto" w:fill="DEDEDE"/>
          </w:tcPr>
          <w:p>
            <w:pPr>
              <w:jc w:val="right"/>
              <w:ind w:right="260"/>
              <w:spacing w:after="0"/>
              <w:rPr>
                <w:sz w:val="20"/>
                <w:szCs w:val="20"/>
                <w:color w:val="auto"/>
              </w:rPr>
            </w:pPr>
            <w:r>
              <w:rPr>
                <w:rFonts w:ascii="Times New Roman" w:cs="Times New Roman" w:eastAsia="Times New Roman" w:hAnsi="Times New Roman"/>
                <w:sz w:val="18"/>
                <w:szCs w:val="18"/>
                <w:color w:val="auto"/>
              </w:rPr>
              <w:t>251 bps</w:t>
            </w:r>
          </w:p>
        </w:tc>
        <w:tc>
          <w:tcPr>
            <w:tcW w:w="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2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52 bps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380" w:type="dxa"/>
            <w:vAlign w:val="bottom"/>
            <w:shd w:val="clear" w:color="auto" w:fill="DEDEDE"/>
          </w:tcPr>
          <w:p>
            <w:pPr>
              <w:spacing w:after="0" w:line="197" w:lineRule="exact"/>
              <w:rPr>
                <w:sz w:val="20"/>
                <w:szCs w:val="20"/>
                <w:color w:val="auto"/>
              </w:rPr>
            </w:pPr>
            <w:r>
              <w:rPr>
                <w:rFonts w:ascii="Times New Roman" w:cs="Times New Roman" w:eastAsia="Times New Roman" w:hAnsi="Times New Roman"/>
                <w:sz w:val="18"/>
                <w:szCs w:val="18"/>
                <w:color w:val="auto"/>
              </w:rPr>
              <w:t>Fixed maturity securities</w:t>
            </w:r>
          </w:p>
        </w:tc>
        <w:tc>
          <w:tcPr>
            <w:tcW w:w="1220" w:type="dxa"/>
            <w:vAlign w:val="bottom"/>
            <w:shd w:val="clear" w:color="auto" w:fill="DEDEDE"/>
          </w:tcPr>
          <w:p>
            <w:pPr>
              <w:spacing w:after="0"/>
              <w:rPr>
                <w:sz w:val="17"/>
                <w:szCs w:val="17"/>
                <w:color w:val="auto"/>
              </w:rPr>
            </w:pPr>
          </w:p>
        </w:tc>
        <w:tc>
          <w:tcPr>
            <w:tcW w:w="340" w:type="dxa"/>
            <w:vAlign w:val="bottom"/>
            <w:shd w:val="clear" w:color="auto" w:fill="DEDEDE"/>
          </w:tcPr>
          <w:p>
            <w:pPr>
              <w:spacing w:after="0"/>
              <w:rPr>
                <w:sz w:val="17"/>
                <w:szCs w:val="17"/>
                <w:color w:val="auto"/>
              </w:rPr>
            </w:pPr>
          </w:p>
        </w:tc>
        <w:tc>
          <w:tcPr>
            <w:tcW w:w="1120" w:type="dxa"/>
            <w:vAlign w:val="bottom"/>
            <w:shd w:val="clear" w:color="auto" w:fill="DEDEDE"/>
          </w:tcPr>
          <w:p>
            <w:pPr>
              <w:spacing w:after="0"/>
              <w:rPr>
                <w:sz w:val="17"/>
                <w:szCs w:val="17"/>
                <w:color w:val="auto"/>
              </w:rPr>
            </w:pPr>
          </w:p>
        </w:tc>
        <w:tc>
          <w:tcPr>
            <w:tcW w:w="220" w:type="dxa"/>
            <w:vAlign w:val="bottom"/>
            <w:shd w:val="clear" w:color="auto" w:fill="DEDEDE"/>
          </w:tcPr>
          <w:p>
            <w:pPr>
              <w:spacing w:after="0"/>
              <w:rPr>
                <w:sz w:val="17"/>
                <w:szCs w:val="17"/>
                <w:color w:val="auto"/>
              </w:rPr>
            </w:pPr>
          </w:p>
        </w:tc>
        <w:tc>
          <w:tcPr>
            <w:tcW w:w="112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060" w:type="dxa"/>
            <w:vAlign w:val="bottom"/>
            <w:shd w:val="clear" w:color="auto" w:fill="DEDEDE"/>
          </w:tcPr>
          <w:p>
            <w:pPr>
              <w:spacing w:after="0"/>
              <w:rPr>
                <w:sz w:val="17"/>
                <w:szCs w:val="17"/>
                <w:color w:val="auto"/>
              </w:rPr>
            </w:pPr>
          </w:p>
        </w:tc>
        <w:tc>
          <w:tcPr>
            <w:tcW w:w="2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060" w:type="dxa"/>
            <w:vAlign w:val="bottom"/>
            <w:shd w:val="clear" w:color="auto" w:fill="DEDEDE"/>
          </w:tcPr>
          <w:p>
            <w:pPr>
              <w:spacing w:after="0"/>
              <w:rPr>
                <w:sz w:val="17"/>
                <w:szCs w:val="17"/>
                <w:color w:val="auto"/>
              </w:rPr>
            </w:pPr>
          </w:p>
        </w:tc>
        <w:tc>
          <w:tcPr>
            <w:tcW w:w="2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04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3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574,643</w:t>
            </w:r>
          </w:p>
        </w:tc>
        <w:tc>
          <w:tcPr>
            <w:tcW w:w="1460" w:type="dxa"/>
            <w:vAlign w:val="bottom"/>
            <w:gridSpan w:val="2"/>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Broker quotes</w:t>
            </w:r>
          </w:p>
        </w:tc>
        <w:tc>
          <w:tcPr>
            <w:tcW w:w="1340" w:type="dxa"/>
            <w:vAlign w:val="bottom"/>
            <w:gridSpan w:val="2"/>
            <w:shd w:val="clear" w:color="auto" w:fill="DEDEDE"/>
          </w:tcPr>
          <w:p>
            <w:pPr>
              <w:ind w:left="200"/>
              <w:spacing w:after="0"/>
              <w:rPr>
                <w:sz w:val="20"/>
                <w:szCs w:val="20"/>
                <w:color w:val="auto"/>
              </w:rPr>
            </w:pPr>
            <w:r>
              <w:rPr>
                <w:rFonts w:ascii="Times New Roman" w:cs="Times New Roman" w:eastAsia="Times New Roman" w:hAnsi="Times New Roman"/>
                <w:sz w:val="18"/>
                <w:szCs w:val="18"/>
                <w:color w:val="auto"/>
              </w:rPr>
              <w:t>Pricing quotes</w:t>
            </w:r>
          </w:p>
        </w:tc>
        <w:tc>
          <w:tcPr>
            <w:tcW w:w="38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DEDEDE"/>
          </w:tcPr>
          <w:p>
            <w:pPr>
              <w:spacing w:after="0"/>
              <w:rPr>
                <w:sz w:val="20"/>
                <w:szCs w:val="20"/>
                <w:color w:val="auto"/>
              </w:rPr>
            </w:pPr>
          </w:p>
        </w:tc>
        <w:tc>
          <w:tcPr>
            <w:tcW w:w="28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100.77</w:t>
            </w:r>
          </w:p>
        </w:tc>
        <w:tc>
          <w:tcPr>
            <w:tcW w:w="260" w:type="dxa"/>
            <w:vAlign w:val="bottom"/>
            <w:shd w:val="clear" w:color="auto" w:fill="DEDEDE"/>
          </w:tcPr>
          <w:p>
            <w:pPr>
              <w:spacing w:after="0"/>
              <w:rPr>
                <w:sz w:val="20"/>
                <w:szCs w:val="20"/>
                <w:color w:val="auto"/>
              </w:rPr>
            </w:pPr>
          </w:p>
        </w:tc>
        <w:tc>
          <w:tcPr>
            <w:tcW w:w="30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8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95</w:t>
      </w:r>
    </w:p>
    <w:p>
      <w:pPr>
        <w:sectPr>
          <w:pgSz w:w="12240" w:h="15840" w:orient="portrait"/>
          <w:cols w:equalWidth="0" w:num="1">
            <w:col w:w="11242"/>
          </w:cols>
          <w:pgMar w:left="498" w:top="687" w:right="500" w:bottom="0" w:gutter="0" w:footer="0" w:header="0"/>
        </w:sectPr>
      </w:pPr>
    </w:p>
    <w:bookmarkStart w:id="123" w:name="page124"/>
    <w:bookmarkEnd w:id="123"/>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right="20"/>
        <w:spacing w:after="0" w:line="261" w:lineRule="auto"/>
        <w:rPr>
          <w:sz w:val="20"/>
          <w:szCs w:val="20"/>
          <w:color w:val="auto"/>
        </w:rPr>
      </w:pPr>
      <w:r>
        <w:rPr>
          <w:rFonts w:ascii="Times New Roman" w:cs="Times New Roman" w:eastAsia="Times New Roman" w:hAnsi="Times New Roman"/>
          <w:sz w:val="18"/>
          <w:szCs w:val="18"/>
          <w:color w:val="auto"/>
        </w:rPr>
        <w:t>For Level 3 assets and liabilities measured at fair value on a recurring basis as of December 31, 2024, the significant unobservable inputs used in the fair value measurements were as follows:</w:t>
      </w:r>
    </w:p>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20" w:type="dxa"/>
            <w:vAlign w:val="bottom"/>
            <w:gridSpan w:val="6"/>
          </w:tcPr>
          <w:p>
            <w:pPr>
              <w:jc w:val="right"/>
              <w:ind w:right="1100"/>
              <w:spacing w:after="0"/>
              <w:rPr>
                <w:sz w:val="20"/>
                <w:szCs w:val="20"/>
                <w:color w:val="auto"/>
              </w:rPr>
            </w:pPr>
            <w:r>
              <w:rPr>
                <w:rFonts w:ascii="Times New Roman" w:cs="Times New Roman" w:eastAsia="Times New Roman" w:hAnsi="Times New Roman"/>
                <w:sz w:val="18"/>
                <w:szCs w:val="18"/>
                <w:color w:val="auto"/>
              </w:rPr>
              <w:t>Range of Inputs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Fair Value at</w:t>
            </w:r>
          </w:p>
        </w:tc>
        <w:tc>
          <w:tcPr>
            <w:tcW w:w="3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Valuation</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Unobservable</w:t>
            </w: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Minimum</w:t>
            </w: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Maximum</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Weighted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12/31/2024</w:t>
            </w:r>
          </w:p>
        </w:tc>
        <w:tc>
          <w:tcPr>
            <w:tcW w:w="3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Technique</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380" w:type="dxa"/>
            <w:vAlign w:val="bottom"/>
            <w:tcBorders>
              <w:top w:val="single" w:sz="8" w:color="DEDEDE"/>
            </w:tcBorders>
            <w:shd w:val="clear" w:color="auto" w:fill="DEDEDE"/>
          </w:tcPr>
          <w:p>
            <w:pPr>
              <w:spacing w:after="0"/>
              <w:rPr>
                <w:sz w:val="16"/>
                <w:szCs w:val="16"/>
                <w:color w:val="auto"/>
              </w:rPr>
            </w:pPr>
          </w:p>
        </w:tc>
        <w:tc>
          <w:tcPr>
            <w:tcW w:w="1220" w:type="dxa"/>
            <w:vAlign w:val="bottom"/>
            <w:tcBorders>
              <w:top w:val="single" w:sz="8" w:color="auto"/>
            </w:tcBorders>
            <w:shd w:val="clear" w:color="auto" w:fill="DEDEDE"/>
          </w:tcPr>
          <w:p>
            <w:pPr>
              <w:spacing w:after="0"/>
              <w:rPr>
                <w:sz w:val="16"/>
                <w:szCs w:val="16"/>
                <w:color w:val="auto"/>
              </w:rPr>
            </w:pPr>
          </w:p>
        </w:tc>
        <w:tc>
          <w:tcPr>
            <w:tcW w:w="340" w:type="dxa"/>
            <w:vAlign w:val="bottom"/>
            <w:tcBorders>
              <w:top w:val="single" w:sz="8" w:color="DEDEDE"/>
            </w:tcBorders>
            <w:shd w:val="clear" w:color="auto" w:fill="DEDEDE"/>
          </w:tcPr>
          <w:p>
            <w:pPr>
              <w:spacing w:after="0"/>
              <w:rPr>
                <w:sz w:val="16"/>
                <w:szCs w:val="16"/>
                <w:color w:val="auto"/>
              </w:rPr>
            </w:pPr>
          </w:p>
        </w:tc>
        <w:tc>
          <w:tcPr>
            <w:tcW w:w="1120" w:type="dxa"/>
            <w:vAlign w:val="bottom"/>
            <w:tcBorders>
              <w:top w:val="single" w:sz="8" w:color="auto"/>
            </w:tcBorders>
            <w:shd w:val="clear" w:color="auto" w:fill="DEDEDE"/>
          </w:tcPr>
          <w:p>
            <w:pPr>
              <w:spacing w:after="0"/>
              <w:rPr>
                <w:sz w:val="16"/>
                <w:szCs w:val="16"/>
                <w:color w:val="auto"/>
              </w:rPr>
            </w:pPr>
          </w:p>
        </w:tc>
        <w:tc>
          <w:tcPr>
            <w:tcW w:w="220" w:type="dxa"/>
            <w:vAlign w:val="bottom"/>
            <w:tcBorders>
              <w:top w:val="single" w:sz="8" w:color="DEDEDE"/>
            </w:tcBorders>
            <w:shd w:val="clear" w:color="auto" w:fill="DEDEDE"/>
          </w:tcPr>
          <w:p>
            <w:pPr>
              <w:spacing w:after="0"/>
              <w:rPr>
                <w:sz w:val="16"/>
                <w:szCs w:val="16"/>
                <w:color w:val="auto"/>
              </w:rPr>
            </w:pPr>
          </w:p>
        </w:tc>
        <w:tc>
          <w:tcPr>
            <w:tcW w:w="1120" w:type="dxa"/>
            <w:vAlign w:val="bottom"/>
            <w:tcBorders>
              <w:top w:val="single" w:sz="8" w:color="auto"/>
            </w:tcBorders>
            <w:shd w:val="clear" w:color="auto" w:fill="DEDEDE"/>
          </w:tcPr>
          <w:p>
            <w:pPr>
              <w:spacing w:after="0" w:line="190" w:lineRule="exact"/>
              <w:rPr>
                <w:sz w:val="20"/>
                <w:szCs w:val="20"/>
                <w:color w:val="auto"/>
              </w:rPr>
            </w:pPr>
            <w:r>
              <w:rPr>
                <w:rFonts w:ascii="Times New Roman" w:cs="Times New Roman" w:eastAsia="Times New Roman" w:hAnsi="Times New Roman"/>
                <w:sz w:val="18"/>
                <w:szCs w:val="18"/>
                <w:color w:val="auto"/>
              </w:rPr>
              <w:t>Investor</w:t>
            </w:r>
          </w:p>
        </w:tc>
        <w:tc>
          <w:tcPr>
            <w:tcW w:w="200" w:type="dxa"/>
            <w:vAlign w:val="bottom"/>
            <w:tcBorders>
              <w:top w:val="single" w:sz="8" w:color="DEDEDE"/>
            </w:tcBorders>
            <w:shd w:val="clear" w:color="auto" w:fill="DEDEDE"/>
          </w:tcPr>
          <w:p>
            <w:pPr>
              <w:spacing w:after="0"/>
              <w:rPr>
                <w:sz w:val="16"/>
                <w:szCs w:val="16"/>
                <w:color w:val="auto"/>
              </w:rPr>
            </w:pPr>
          </w:p>
        </w:tc>
        <w:tc>
          <w:tcPr>
            <w:tcW w:w="180" w:type="dxa"/>
            <w:vAlign w:val="bottom"/>
            <w:tcBorders>
              <w:top w:val="single" w:sz="8" w:color="auto"/>
            </w:tcBorders>
            <w:shd w:val="clear" w:color="auto" w:fill="DEDEDE"/>
          </w:tcPr>
          <w:p>
            <w:pPr>
              <w:spacing w:after="0"/>
              <w:rPr>
                <w:sz w:val="16"/>
                <w:szCs w:val="16"/>
                <w:color w:val="auto"/>
              </w:rPr>
            </w:pPr>
          </w:p>
        </w:tc>
        <w:tc>
          <w:tcPr>
            <w:tcW w:w="1060" w:type="dxa"/>
            <w:vAlign w:val="bottom"/>
            <w:tcBorders>
              <w:top w:val="single" w:sz="8" w:color="auto"/>
            </w:tcBorders>
            <w:shd w:val="clear" w:color="auto" w:fill="DEDEDE"/>
          </w:tcPr>
          <w:p>
            <w:pPr>
              <w:spacing w:after="0"/>
              <w:rPr>
                <w:sz w:val="16"/>
                <w:szCs w:val="16"/>
                <w:color w:val="auto"/>
              </w:rPr>
            </w:pPr>
          </w:p>
        </w:tc>
        <w:tc>
          <w:tcPr>
            <w:tcW w:w="260" w:type="dxa"/>
            <w:vAlign w:val="bottom"/>
            <w:tcBorders>
              <w:top w:val="single" w:sz="8" w:color="DEDEDE"/>
            </w:tcBorders>
            <w:shd w:val="clear" w:color="auto" w:fill="DEDEDE"/>
          </w:tcPr>
          <w:p>
            <w:pPr>
              <w:spacing w:after="0"/>
              <w:rPr>
                <w:sz w:val="16"/>
                <w:szCs w:val="16"/>
                <w:color w:val="auto"/>
              </w:rPr>
            </w:pPr>
          </w:p>
        </w:tc>
        <w:tc>
          <w:tcPr>
            <w:tcW w:w="120" w:type="dxa"/>
            <w:vAlign w:val="bottom"/>
            <w:tcBorders>
              <w:top w:val="single" w:sz="8" w:color="DEDEDE"/>
            </w:tcBorders>
            <w:shd w:val="clear" w:color="auto" w:fill="DEDEDE"/>
          </w:tcPr>
          <w:p>
            <w:pPr>
              <w:spacing w:after="0"/>
              <w:rPr>
                <w:sz w:val="16"/>
                <w:szCs w:val="16"/>
                <w:color w:val="auto"/>
              </w:rPr>
            </w:pPr>
          </w:p>
        </w:tc>
        <w:tc>
          <w:tcPr>
            <w:tcW w:w="160" w:type="dxa"/>
            <w:vAlign w:val="bottom"/>
            <w:tcBorders>
              <w:top w:val="single" w:sz="8" w:color="auto"/>
            </w:tcBorders>
            <w:shd w:val="clear" w:color="auto" w:fill="DEDEDE"/>
          </w:tcPr>
          <w:p>
            <w:pPr>
              <w:spacing w:after="0"/>
              <w:rPr>
                <w:sz w:val="16"/>
                <w:szCs w:val="16"/>
                <w:color w:val="auto"/>
              </w:rPr>
            </w:pPr>
          </w:p>
        </w:tc>
        <w:tc>
          <w:tcPr>
            <w:tcW w:w="1060" w:type="dxa"/>
            <w:vAlign w:val="bottom"/>
            <w:tcBorders>
              <w:top w:val="single" w:sz="8" w:color="auto"/>
            </w:tcBorders>
            <w:shd w:val="clear" w:color="auto" w:fill="DEDEDE"/>
          </w:tcPr>
          <w:p>
            <w:pPr>
              <w:spacing w:after="0"/>
              <w:rPr>
                <w:sz w:val="16"/>
                <w:szCs w:val="16"/>
                <w:color w:val="auto"/>
              </w:rPr>
            </w:pPr>
          </w:p>
        </w:tc>
        <w:tc>
          <w:tcPr>
            <w:tcW w:w="260" w:type="dxa"/>
            <w:vAlign w:val="bottom"/>
            <w:tcBorders>
              <w:top w:val="single" w:sz="8" w:color="DEDEDE"/>
            </w:tcBorders>
            <w:shd w:val="clear" w:color="auto" w:fill="DEDEDE"/>
          </w:tcPr>
          <w:p>
            <w:pPr>
              <w:spacing w:after="0"/>
              <w:rPr>
                <w:sz w:val="16"/>
                <w:szCs w:val="16"/>
                <w:color w:val="auto"/>
              </w:rPr>
            </w:pPr>
          </w:p>
        </w:tc>
        <w:tc>
          <w:tcPr>
            <w:tcW w:w="120" w:type="dxa"/>
            <w:vAlign w:val="bottom"/>
            <w:tcBorders>
              <w:top w:val="single" w:sz="8" w:color="DEDEDE"/>
            </w:tcBorders>
            <w:shd w:val="clear" w:color="auto" w:fill="DEDEDE"/>
          </w:tcPr>
          <w:p>
            <w:pPr>
              <w:spacing w:after="0"/>
              <w:rPr>
                <w:sz w:val="16"/>
                <w:szCs w:val="16"/>
                <w:color w:val="auto"/>
              </w:rPr>
            </w:pPr>
          </w:p>
        </w:tc>
        <w:tc>
          <w:tcPr>
            <w:tcW w:w="180" w:type="dxa"/>
            <w:vAlign w:val="bottom"/>
            <w:tcBorders>
              <w:top w:val="single" w:sz="8" w:color="auto"/>
            </w:tcBorders>
            <w:shd w:val="clear" w:color="auto" w:fill="DEDEDE"/>
          </w:tcPr>
          <w:p>
            <w:pPr>
              <w:spacing w:after="0"/>
              <w:rPr>
                <w:sz w:val="16"/>
                <w:szCs w:val="16"/>
                <w:color w:val="auto"/>
              </w:rPr>
            </w:pPr>
          </w:p>
        </w:tc>
        <w:tc>
          <w:tcPr>
            <w:tcW w:w="1040" w:type="dxa"/>
            <w:vAlign w:val="bottom"/>
            <w:tcBorders>
              <w:top w:val="single" w:sz="8" w:color="auto"/>
            </w:tcBorders>
            <w:shd w:val="clear" w:color="auto" w:fill="DEDEDE"/>
          </w:tcPr>
          <w:p>
            <w:pPr>
              <w:spacing w:after="0"/>
              <w:rPr>
                <w:sz w:val="16"/>
                <w:szCs w:val="16"/>
                <w:color w:val="auto"/>
              </w:rPr>
            </w:pPr>
          </w:p>
        </w:tc>
        <w:tc>
          <w:tcPr>
            <w:tcW w:w="180" w:type="dxa"/>
            <w:vAlign w:val="bottom"/>
            <w:tcBorders>
              <w:top w:val="single" w:sz="8" w:color="DEDEDE"/>
            </w:tcBorders>
            <w:shd w:val="clear" w:color="auto" w:fill="DEDED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DEDEDE"/>
          </w:tcPr>
          <w:p>
            <w:pPr>
              <w:spacing w:after="0"/>
              <w:rPr>
                <w:sz w:val="18"/>
                <w:szCs w:val="18"/>
                <w:color w:val="auto"/>
              </w:rPr>
            </w:pPr>
          </w:p>
        </w:tc>
        <w:tc>
          <w:tcPr>
            <w:tcW w:w="12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contract</w:t>
            </w:r>
          </w:p>
        </w:tc>
        <w:tc>
          <w:tcPr>
            <w:tcW w:w="2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DEDEDE"/>
          </w:tcPr>
          <w:p>
            <w:pPr>
              <w:spacing w:after="0"/>
              <w:rPr>
                <w:sz w:val="18"/>
                <w:szCs w:val="18"/>
                <w:color w:val="auto"/>
              </w:rPr>
            </w:pPr>
          </w:p>
        </w:tc>
        <w:tc>
          <w:tcPr>
            <w:tcW w:w="12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pricing as a</w:t>
            </w:r>
          </w:p>
        </w:tc>
        <w:tc>
          <w:tcPr>
            <w:tcW w:w="2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DEDEDE"/>
          </w:tcPr>
          <w:p>
            <w:pPr>
              <w:spacing w:after="0"/>
              <w:rPr>
                <w:sz w:val="18"/>
                <w:szCs w:val="18"/>
                <w:color w:val="auto"/>
              </w:rPr>
            </w:pPr>
          </w:p>
        </w:tc>
        <w:tc>
          <w:tcPr>
            <w:tcW w:w="12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percentage of</w:t>
            </w:r>
          </w:p>
        </w:tc>
        <w:tc>
          <w:tcPr>
            <w:tcW w:w="2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DEDEDE"/>
          </w:tcPr>
          <w:p>
            <w:pPr>
              <w:spacing w:after="0"/>
              <w:rPr>
                <w:sz w:val="18"/>
                <w:szCs w:val="18"/>
                <w:color w:val="auto"/>
              </w:rPr>
            </w:pPr>
          </w:p>
        </w:tc>
        <w:tc>
          <w:tcPr>
            <w:tcW w:w="12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unpaid</w:t>
            </w:r>
          </w:p>
        </w:tc>
        <w:tc>
          <w:tcPr>
            <w:tcW w:w="2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DEDEDE"/>
          </w:tcPr>
          <w:p>
            <w:pPr>
              <w:spacing w:after="0"/>
              <w:rPr>
                <w:sz w:val="18"/>
                <w:szCs w:val="18"/>
                <w:color w:val="auto"/>
              </w:rPr>
            </w:pPr>
          </w:p>
        </w:tc>
        <w:tc>
          <w:tcPr>
            <w:tcW w:w="1220" w:type="dxa"/>
            <w:vAlign w:val="bottom"/>
            <w:shd w:val="clear" w:color="auto" w:fill="DEDEDE"/>
          </w:tcPr>
          <w:p>
            <w:pPr>
              <w:spacing w:after="0"/>
              <w:rPr>
                <w:sz w:val="18"/>
                <w:szCs w:val="18"/>
                <w:color w:val="auto"/>
              </w:rPr>
            </w:pPr>
          </w:p>
        </w:tc>
        <w:tc>
          <w:tcPr>
            <w:tcW w:w="1460" w:type="dxa"/>
            <w:vAlign w:val="bottom"/>
            <w:gridSpan w:val="2"/>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Market</w:t>
            </w:r>
          </w:p>
        </w:tc>
        <w:tc>
          <w:tcPr>
            <w:tcW w:w="13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principal</w:t>
            </w:r>
          </w:p>
        </w:tc>
        <w:tc>
          <w:tcPr>
            <w:tcW w:w="2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04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Loans held for sale</w:t>
            </w: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   131,181,148</w:t>
            </w:r>
          </w:p>
        </w:tc>
        <w:tc>
          <w:tcPr>
            <w:tcW w:w="1460" w:type="dxa"/>
            <w:vAlign w:val="bottom"/>
            <w:gridSpan w:val="2"/>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approach</w:t>
            </w:r>
          </w:p>
        </w:tc>
        <w:tc>
          <w:tcPr>
            <w:tcW w:w="1340" w:type="dxa"/>
            <w:vAlign w:val="bottom"/>
            <w:gridSpan w:val="2"/>
            <w:shd w:val="clear" w:color="auto" w:fill="DEDEDE"/>
          </w:tcPr>
          <w:p>
            <w:pPr>
              <w:ind w:left="220"/>
              <w:spacing w:after="0"/>
              <w:rPr>
                <w:sz w:val="20"/>
                <w:szCs w:val="20"/>
                <w:color w:val="auto"/>
              </w:rPr>
            </w:pPr>
            <w:r>
              <w:rPr>
                <w:rFonts w:ascii="Times New Roman" w:cs="Times New Roman" w:eastAsia="Times New Roman" w:hAnsi="Times New Roman"/>
                <w:sz w:val="18"/>
                <w:szCs w:val="18"/>
                <w:color w:val="auto"/>
              </w:rPr>
              <w:t>balance</w:t>
            </w:r>
          </w:p>
        </w:tc>
        <w:tc>
          <w:tcPr>
            <w:tcW w:w="20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3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3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109.0%</w:t>
            </w:r>
          </w:p>
        </w:tc>
        <w:tc>
          <w:tcPr>
            <w:tcW w:w="12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22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102.0%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80" w:type="dxa"/>
            <w:vAlign w:val="bottom"/>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Derivatives - loan</w:t>
            </w:r>
          </w:p>
        </w:tc>
        <w:tc>
          <w:tcPr>
            <w:tcW w:w="1220" w:type="dxa"/>
            <w:vAlign w:val="bottom"/>
            <w:shd w:val="clear" w:color="auto" w:fill="DEDEDE"/>
          </w:tcPr>
          <w:p>
            <w:pPr>
              <w:spacing w:after="0"/>
              <w:rPr>
                <w:sz w:val="17"/>
                <w:szCs w:val="17"/>
                <w:color w:val="auto"/>
              </w:rPr>
            </w:pPr>
          </w:p>
        </w:tc>
        <w:tc>
          <w:tcPr>
            <w:tcW w:w="1460" w:type="dxa"/>
            <w:vAlign w:val="bottom"/>
            <w:gridSpan w:val="2"/>
            <w:shd w:val="clear" w:color="auto" w:fill="DEDEDE"/>
          </w:tcPr>
          <w:p>
            <w:pPr>
              <w:ind w:left="340"/>
              <w:spacing w:after="0" w:line="196" w:lineRule="exact"/>
              <w:rPr>
                <w:sz w:val="20"/>
                <w:szCs w:val="20"/>
                <w:color w:val="auto"/>
              </w:rPr>
            </w:pPr>
            <w:r>
              <w:rPr>
                <w:rFonts w:ascii="Times New Roman" w:cs="Times New Roman" w:eastAsia="Times New Roman" w:hAnsi="Times New Roman"/>
                <w:sz w:val="18"/>
                <w:szCs w:val="18"/>
                <w:color w:val="auto"/>
              </w:rPr>
              <w:t>Market</w:t>
            </w:r>
          </w:p>
        </w:tc>
        <w:tc>
          <w:tcPr>
            <w:tcW w:w="1340" w:type="dxa"/>
            <w:vAlign w:val="bottom"/>
            <w:gridSpan w:val="2"/>
            <w:shd w:val="clear" w:color="auto" w:fill="DEDEDE"/>
          </w:tcPr>
          <w:p>
            <w:pPr>
              <w:ind w:left="200"/>
              <w:spacing w:after="0" w:line="196" w:lineRule="exact"/>
              <w:rPr>
                <w:sz w:val="20"/>
                <w:szCs w:val="20"/>
                <w:color w:val="auto"/>
              </w:rPr>
            </w:pPr>
            <w:r>
              <w:rPr>
                <w:rFonts w:ascii="Times New Roman" w:cs="Times New Roman" w:eastAsia="Times New Roman" w:hAnsi="Times New Roman"/>
                <w:sz w:val="18"/>
                <w:szCs w:val="18"/>
                <w:color w:val="auto"/>
              </w:rPr>
              <w:t>Pull-through</w:t>
            </w:r>
          </w:p>
        </w:tc>
        <w:tc>
          <w:tcPr>
            <w:tcW w:w="20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060" w:type="dxa"/>
            <w:vAlign w:val="bottom"/>
            <w:shd w:val="clear" w:color="auto" w:fill="DEDEDE"/>
          </w:tcPr>
          <w:p>
            <w:pPr>
              <w:spacing w:after="0"/>
              <w:rPr>
                <w:sz w:val="17"/>
                <w:szCs w:val="17"/>
                <w:color w:val="auto"/>
              </w:rPr>
            </w:pPr>
          </w:p>
        </w:tc>
        <w:tc>
          <w:tcPr>
            <w:tcW w:w="2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060" w:type="dxa"/>
            <w:vAlign w:val="bottom"/>
            <w:shd w:val="clear" w:color="auto" w:fill="DEDEDE"/>
          </w:tcPr>
          <w:p>
            <w:pPr>
              <w:spacing w:after="0"/>
              <w:rPr>
                <w:sz w:val="17"/>
                <w:szCs w:val="17"/>
                <w:color w:val="auto"/>
              </w:rPr>
            </w:pPr>
          </w:p>
        </w:tc>
        <w:tc>
          <w:tcPr>
            <w:tcW w:w="2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04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commitments (net)</w:t>
            </w: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2,313,210</w:t>
            </w:r>
          </w:p>
        </w:tc>
        <w:tc>
          <w:tcPr>
            <w:tcW w:w="1460" w:type="dxa"/>
            <w:vAlign w:val="bottom"/>
            <w:gridSpan w:val="2"/>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approach</w:t>
            </w:r>
          </w:p>
        </w:tc>
        <w:tc>
          <w:tcPr>
            <w:tcW w:w="1340" w:type="dxa"/>
            <w:vAlign w:val="bottom"/>
            <w:gridSpan w:val="2"/>
            <w:shd w:val="clear" w:color="auto" w:fill="DEDEDE"/>
          </w:tcPr>
          <w:p>
            <w:pPr>
              <w:ind w:left="200"/>
              <w:spacing w:after="0"/>
              <w:rPr>
                <w:sz w:val="20"/>
                <w:szCs w:val="20"/>
                <w:color w:val="auto"/>
              </w:rPr>
            </w:pPr>
            <w:r>
              <w:rPr>
                <w:rFonts w:ascii="Times New Roman" w:cs="Times New Roman" w:eastAsia="Times New Roman" w:hAnsi="Times New Roman"/>
                <w:sz w:val="18"/>
                <w:szCs w:val="18"/>
                <w:color w:val="auto"/>
              </w:rPr>
              <w:t>rate</w:t>
            </w:r>
          </w:p>
        </w:tc>
        <w:tc>
          <w:tcPr>
            <w:tcW w:w="20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32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63.0%</w:t>
            </w:r>
          </w:p>
        </w:tc>
        <w:tc>
          <w:tcPr>
            <w:tcW w:w="12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132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DEDEDE"/>
          </w:tcPr>
          <w:p>
            <w:pPr>
              <w:spacing w:after="0"/>
              <w:rPr>
                <w:sz w:val="20"/>
                <w:szCs w:val="20"/>
                <w:color w:val="auto"/>
              </w:rPr>
            </w:pPr>
          </w:p>
        </w:tc>
        <w:tc>
          <w:tcPr>
            <w:tcW w:w="180" w:type="dxa"/>
            <w:vAlign w:val="bottom"/>
            <w:shd w:val="clear" w:color="auto" w:fill="DEDEDE"/>
          </w:tcPr>
          <w:p>
            <w:pPr>
              <w:spacing w:after="0"/>
              <w:rPr>
                <w:sz w:val="20"/>
                <w:szCs w:val="20"/>
                <w:color w:val="auto"/>
              </w:rPr>
            </w:pPr>
          </w:p>
        </w:tc>
        <w:tc>
          <w:tcPr>
            <w:tcW w:w="122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Initial-Value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DEDEDE"/>
          </w:tcPr>
          <w:p>
            <w:pPr>
              <w:spacing w:after="0"/>
              <w:rPr>
                <w:sz w:val="18"/>
                <w:szCs w:val="18"/>
                <w:color w:val="auto"/>
              </w:rPr>
            </w:pPr>
          </w:p>
        </w:tc>
        <w:tc>
          <w:tcPr>
            <w:tcW w:w="12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1120" w:type="dxa"/>
            <w:vAlign w:val="bottom"/>
            <w:shd w:val="clear" w:color="auto" w:fill="DEDEDE"/>
          </w:tcPr>
          <w:p>
            <w:pPr>
              <w:spacing w:after="0"/>
              <w:rPr>
                <w:sz w:val="18"/>
                <w:szCs w:val="18"/>
                <w:color w:val="auto"/>
              </w:rPr>
            </w:pPr>
          </w:p>
        </w:tc>
        <w:tc>
          <w:tcPr>
            <w:tcW w:w="1340" w:type="dxa"/>
            <w:vAlign w:val="bottom"/>
            <w:gridSpan w:val="2"/>
            <w:shd w:val="clear" w:color="auto" w:fill="DEDEDE"/>
          </w:tcPr>
          <w:p>
            <w:pPr>
              <w:ind w:left="200"/>
              <w:spacing w:after="0"/>
              <w:rPr>
                <w:sz w:val="20"/>
                <w:szCs w:val="20"/>
                <w:color w:val="auto"/>
              </w:rPr>
            </w:pPr>
            <w:r>
              <w:rPr>
                <w:rFonts w:ascii="Times New Roman" w:cs="Times New Roman" w:eastAsia="Times New Roman" w:hAnsi="Times New Roman"/>
                <w:sz w:val="18"/>
                <w:szCs w:val="18"/>
                <w:color w:val="auto"/>
              </w:rPr>
              <w:t>Servicing</w:t>
            </w:r>
          </w:p>
        </w:tc>
        <w:tc>
          <w:tcPr>
            <w:tcW w:w="2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320" w:type="dxa"/>
            <w:vAlign w:val="bottom"/>
            <w:gridSpan w:val="2"/>
            <w:shd w:val="clear" w:color="auto" w:fill="DEDEDE"/>
          </w:tcPr>
          <w:p>
            <w:pPr>
              <w:jc w:val="right"/>
              <w:ind w:right="260"/>
              <w:spacing w:after="0"/>
              <w:rPr>
                <w:sz w:val="20"/>
                <w:szCs w:val="20"/>
                <w:color w:val="auto"/>
              </w:rPr>
            </w:pPr>
            <w:r>
              <w:rPr>
                <w:rFonts w:ascii="Times New Roman" w:cs="Times New Roman" w:eastAsia="Times New Roman" w:hAnsi="Times New Roman"/>
                <w:sz w:val="18"/>
                <w:szCs w:val="18"/>
                <w:color w:val="auto"/>
              </w:rPr>
              <w:t>0 bps</w:t>
            </w:r>
          </w:p>
        </w:tc>
        <w:tc>
          <w:tcPr>
            <w:tcW w:w="12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320" w:type="dxa"/>
            <w:vAlign w:val="bottom"/>
            <w:gridSpan w:val="2"/>
            <w:shd w:val="clear" w:color="auto" w:fill="DEDEDE"/>
          </w:tcPr>
          <w:p>
            <w:pPr>
              <w:jc w:val="right"/>
              <w:ind w:right="260"/>
              <w:spacing w:after="0"/>
              <w:rPr>
                <w:sz w:val="20"/>
                <w:szCs w:val="20"/>
                <w:color w:val="auto"/>
              </w:rPr>
            </w:pPr>
            <w:r>
              <w:rPr>
                <w:rFonts w:ascii="Times New Roman" w:cs="Times New Roman" w:eastAsia="Times New Roman" w:hAnsi="Times New Roman"/>
                <w:sz w:val="18"/>
                <w:szCs w:val="18"/>
                <w:color w:val="auto"/>
              </w:rPr>
              <w:t>242 bps</w:t>
            </w:r>
          </w:p>
        </w:tc>
        <w:tc>
          <w:tcPr>
            <w:tcW w:w="1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22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47 bps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80" w:type="dxa"/>
            <w:vAlign w:val="bottom"/>
            <w:shd w:val="clear" w:color="auto" w:fill="DEDEDE"/>
          </w:tcPr>
          <w:p>
            <w:pPr>
              <w:spacing w:after="0" w:line="196" w:lineRule="exact"/>
              <w:rPr>
                <w:sz w:val="20"/>
                <w:szCs w:val="20"/>
                <w:color w:val="auto"/>
              </w:rPr>
            </w:pPr>
            <w:r>
              <w:rPr>
                <w:rFonts w:ascii="Times New Roman" w:cs="Times New Roman" w:eastAsia="Times New Roman" w:hAnsi="Times New Roman"/>
                <w:sz w:val="18"/>
                <w:szCs w:val="18"/>
                <w:color w:val="auto"/>
              </w:rPr>
              <w:t>Fixed maturity securities</w:t>
            </w:r>
          </w:p>
        </w:tc>
        <w:tc>
          <w:tcPr>
            <w:tcW w:w="1220" w:type="dxa"/>
            <w:vAlign w:val="bottom"/>
            <w:shd w:val="clear" w:color="auto" w:fill="DEDEDE"/>
          </w:tcPr>
          <w:p>
            <w:pPr>
              <w:spacing w:after="0"/>
              <w:rPr>
                <w:sz w:val="17"/>
                <w:szCs w:val="17"/>
                <w:color w:val="auto"/>
              </w:rPr>
            </w:pPr>
          </w:p>
        </w:tc>
        <w:tc>
          <w:tcPr>
            <w:tcW w:w="340" w:type="dxa"/>
            <w:vAlign w:val="bottom"/>
            <w:shd w:val="clear" w:color="auto" w:fill="DEDEDE"/>
          </w:tcPr>
          <w:p>
            <w:pPr>
              <w:spacing w:after="0"/>
              <w:rPr>
                <w:sz w:val="17"/>
                <w:szCs w:val="17"/>
                <w:color w:val="auto"/>
              </w:rPr>
            </w:pPr>
          </w:p>
        </w:tc>
        <w:tc>
          <w:tcPr>
            <w:tcW w:w="1120" w:type="dxa"/>
            <w:vAlign w:val="bottom"/>
            <w:shd w:val="clear" w:color="auto" w:fill="DEDEDE"/>
          </w:tcPr>
          <w:p>
            <w:pPr>
              <w:spacing w:after="0"/>
              <w:rPr>
                <w:sz w:val="17"/>
                <w:szCs w:val="17"/>
                <w:color w:val="auto"/>
              </w:rPr>
            </w:pPr>
          </w:p>
        </w:tc>
        <w:tc>
          <w:tcPr>
            <w:tcW w:w="220" w:type="dxa"/>
            <w:vAlign w:val="bottom"/>
            <w:shd w:val="clear" w:color="auto" w:fill="DEDEDE"/>
          </w:tcPr>
          <w:p>
            <w:pPr>
              <w:spacing w:after="0"/>
              <w:rPr>
                <w:sz w:val="17"/>
                <w:szCs w:val="17"/>
                <w:color w:val="auto"/>
              </w:rPr>
            </w:pPr>
          </w:p>
        </w:tc>
        <w:tc>
          <w:tcPr>
            <w:tcW w:w="1120" w:type="dxa"/>
            <w:vAlign w:val="bottom"/>
            <w:shd w:val="clear" w:color="auto" w:fill="DEDEDE"/>
          </w:tcPr>
          <w:p>
            <w:pPr>
              <w:spacing w:after="0"/>
              <w:rPr>
                <w:sz w:val="17"/>
                <w:szCs w:val="17"/>
                <w:color w:val="auto"/>
              </w:rPr>
            </w:pPr>
          </w:p>
        </w:tc>
        <w:tc>
          <w:tcPr>
            <w:tcW w:w="20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060" w:type="dxa"/>
            <w:vAlign w:val="bottom"/>
            <w:shd w:val="clear" w:color="auto" w:fill="DEDEDE"/>
          </w:tcPr>
          <w:p>
            <w:pPr>
              <w:spacing w:after="0"/>
              <w:rPr>
                <w:sz w:val="17"/>
                <w:szCs w:val="17"/>
                <w:color w:val="auto"/>
              </w:rPr>
            </w:pPr>
          </w:p>
        </w:tc>
        <w:tc>
          <w:tcPr>
            <w:tcW w:w="2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1060" w:type="dxa"/>
            <w:vAlign w:val="bottom"/>
            <w:shd w:val="clear" w:color="auto" w:fill="DEDEDE"/>
          </w:tcPr>
          <w:p>
            <w:pPr>
              <w:spacing w:after="0"/>
              <w:rPr>
                <w:sz w:val="17"/>
                <w:szCs w:val="17"/>
                <w:color w:val="auto"/>
              </w:rPr>
            </w:pPr>
          </w:p>
        </w:tc>
        <w:tc>
          <w:tcPr>
            <w:tcW w:w="260" w:type="dxa"/>
            <w:vAlign w:val="bottom"/>
            <w:shd w:val="clear" w:color="auto" w:fill="DEDEDE"/>
          </w:tcPr>
          <w:p>
            <w:pPr>
              <w:spacing w:after="0"/>
              <w:rPr>
                <w:sz w:val="17"/>
                <w:szCs w:val="17"/>
                <w:color w:val="auto"/>
              </w:rPr>
            </w:pPr>
          </w:p>
        </w:tc>
        <w:tc>
          <w:tcPr>
            <w:tcW w:w="12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1040" w:type="dxa"/>
            <w:vAlign w:val="bottom"/>
            <w:shd w:val="clear" w:color="auto" w:fill="DEDEDE"/>
          </w:tcPr>
          <w:p>
            <w:pPr>
              <w:spacing w:after="0"/>
              <w:rPr>
                <w:sz w:val="17"/>
                <w:szCs w:val="17"/>
                <w:color w:val="auto"/>
              </w:rPr>
            </w:pPr>
          </w:p>
        </w:tc>
        <w:tc>
          <w:tcPr>
            <w:tcW w:w="1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available for sale</w:t>
            </w:r>
          </w:p>
        </w:tc>
        <w:tc>
          <w:tcPr>
            <w:tcW w:w="12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1,149,926</w:t>
            </w:r>
          </w:p>
        </w:tc>
        <w:tc>
          <w:tcPr>
            <w:tcW w:w="1460" w:type="dxa"/>
            <w:vAlign w:val="bottom"/>
            <w:gridSpan w:val="2"/>
            <w:shd w:val="clear" w:color="auto" w:fill="DEDEDE"/>
          </w:tcPr>
          <w:p>
            <w:pPr>
              <w:ind w:left="340"/>
              <w:spacing w:after="0"/>
              <w:rPr>
                <w:sz w:val="20"/>
                <w:szCs w:val="20"/>
                <w:color w:val="auto"/>
              </w:rPr>
            </w:pPr>
            <w:r>
              <w:rPr>
                <w:rFonts w:ascii="Times New Roman" w:cs="Times New Roman" w:eastAsia="Times New Roman" w:hAnsi="Times New Roman"/>
                <w:sz w:val="18"/>
                <w:szCs w:val="18"/>
                <w:color w:val="auto"/>
              </w:rPr>
              <w:t>Broker quotes</w:t>
            </w:r>
          </w:p>
        </w:tc>
        <w:tc>
          <w:tcPr>
            <w:tcW w:w="1340" w:type="dxa"/>
            <w:vAlign w:val="bottom"/>
            <w:gridSpan w:val="2"/>
            <w:shd w:val="clear" w:color="auto" w:fill="DEDEDE"/>
          </w:tcPr>
          <w:p>
            <w:pPr>
              <w:ind w:left="200"/>
              <w:spacing w:after="0"/>
              <w:rPr>
                <w:sz w:val="20"/>
                <w:szCs w:val="20"/>
                <w:color w:val="auto"/>
              </w:rPr>
            </w:pPr>
            <w:r>
              <w:rPr>
                <w:rFonts w:ascii="Times New Roman" w:cs="Times New Roman" w:eastAsia="Times New Roman" w:hAnsi="Times New Roman"/>
                <w:sz w:val="18"/>
                <w:szCs w:val="18"/>
                <w:color w:val="auto"/>
              </w:rPr>
              <w:t>Pricing quotes</w:t>
            </w:r>
          </w:p>
        </w:tc>
        <w:tc>
          <w:tcPr>
            <w:tcW w:w="38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DEDEDE"/>
          </w:tcPr>
          <w:p>
            <w:pPr>
              <w:spacing w:after="0"/>
              <w:rPr>
                <w:sz w:val="20"/>
                <w:szCs w:val="20"/>
                <w:color w:val="auto"/>
              </w:rPr>
            </w:pPr>
          </w:p>
        </w:tc>
        <w:tc>
          <w:tcPr>
            <w:tcW w:w="28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101.20</w:t>
            </w:r>
          </w:p>
        </w:tc>
        <w:tc>
          <w:tcPr>
            <w:tcW w:w="260" w:type="dxa"/>
            <w:vAlign w:val="bottom"/>
            <w:shd w:val="clear" w:color="auto" w:fill="DEDEDE"/>
          </w:tcPr>
          <w:p>
            <w:pPr>
              <w:spacing w:after="0"/>
              <w:rPr>
                <w:sz w:val="20"/>
                <w:szCs w:val="20"/>
                <w:color w:val="auto"/>
              </w:rPr>
            </w:pPr>
          </w:p>
        </w:tc>
        <w:tc>
          <w:tcPr>
            <w:tcW w:w="30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18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is a summary of changes in the consolidated balance sheet line items measured using level 3 inputs:</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rPr>
              <w:t>Net Derivatives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Fixed Maturity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Loan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Loans Held</w:t>
            </w:r>
          </w:p>
        </w:tc>
        <w:tc>
          <w:tcPr>
            <w:tcW w:w="1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Securities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9"/>
              </w:rPr>
              <w:t>Commitments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for Sale</w:t>
            </w:r>
          </w:p>
        </w:tc>
        <w:tc>
          <w:tcPr>
            <w:tcW w:w="12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Available for Sale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18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2,313,210</w:t>
            </w:r>
          </w:p>
        </w:tc>
        <w:tc>
          <w:tcPr>
            <w:tcW w:w="320" w:type="dxa"/>
            <w:vAlign w:val="bottom"/>
            <w:shd w:val="clear" w:color="auto" w:fill="DEDEDE"/>
          </w:tcPr>
          <w:p>
            <w:pPr>
              <w:spacing w:after="0"/>
              <w:rPr>
                <w:sz w:val="18"/>
                <w:szCs w:val="18"/>
                <w:color w:val="auto"/>
              </w:rPr>
            </w:pPr>
          </w:p>
        </w:tc>
        <w:tc>
          <w:tcPr>
            <w:tcW w:w="46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131,181,148</w:t>
            </w:r>
          </w:p>
        </w:tc>
        <w:tc>
          <w:tcPr>
            <w:tcW w:w="440" w:type="dxa"/>
            <w:vAlign w:val="bottom"/>
            <w:shd w:val="clear" w:color="auto" w:fill="DEDEDE"/>
          </w:tcPr>
          <w:p>
            <w:pPr>
              <w:spacing w:after="0"/>
              <w:rPr>
                <w:sz w:val="18"/>
                <w:szCs w:val="18"/>
                <w:color w:val="auto"/>
              </w:rPr>
            </w:pPr>
          </w:p>
        </w:tc>
        <w:tc>
          <w:tcPr>
            <w:tcW w:w="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1,149,926</w:t>
            </w:r>
          </w:p>
        </w:tc>
        <w:tc>
          <w:tcPr>
            <w:tcW w:w="2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Originations/purchases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2,296,054,902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0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780" w:type="dxa"/>
            <w:vAlign w:val="bottom"/>
            <w:gridSpan w:val="2"/>
            <w:shd w:val="clear" w:color="auto" w:fill="DEDED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840" w:type="dxa"/>
            <w:vAlign w:val="bottom"/>
            <w:gridSpan w:val="2"/>
            <w:shd w:val="clear" w:color="auto" w:fill="DEDEDE"/>
          </w:tcPr>
          <w:p>
            <w:pPr>
              <w:jc w:val="right"/>
              <w:ind w:right="380"/>
              <w:spacing w:after="0"/>
              <w:rPr>
                <w:sz w:val="20"/>
                <w:szCs w:val="20"/>
                <w:color w:val="auto"/>
              </w:rPr>
            </w:pPr>
            <w:r>
              <w:rPr>
                <w:rFonts w:ascii="Times New Roman" w:cs="Times New Roman" w:eastAsia="Times New Roman" w:hAnsi="Times New Roman"/>
                <w:sz w:val="18"/>
                <w:szCs w:val="18"/>
                <w:color w:val="auto"/>
              </w:rPr>
              <w:t>(2,323,112,059)</w:t>
            </w:r>
          </w:p>
        </w:tc>
        <w:tc>
          <w:tcPr>
            <w:tcW w:w="120" w:type="dxa"/>
            <w:vAlign w:val="bottom"/>
            <w:shd w:val="clear" w:color="auto" w:fill="DEDEDE"/>
          </w:tcPr>
          <w:p>
            <w:pPr>
              <w:spacing w:after="0"/>
              <w:rPr>
                <w:sz w:val="18"/>
                <w:szCs w:val="18"/>
                <w:color w:val="auto"/>
              </w:rPr>
            </w:pPr>
          </w:p>
        </w:tc>
        <w:tc>
          <w:tcPr>
            <w:tcW w:w="174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8"/>
                <w:szCs w:val="18"/>
                <w:color w:val="auto"/>
              </w:rPr>
              <w:t>(574,074)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Foreclosed into real estate held for sale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(828,063)</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Foreclosed into receivables</w:t>
            </w:r>
          </w:p>
        </w:tc>
        <w:tc>
          <w:tcPr>
            <w:tcW w:w="10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780" w:type="dxa"/>
            <w:vAlign w:val="bottom"/>
            <w:gridSpan w:val="2"/>
            <w:shd w:val="clear" w:color="auto" w:fill="DEDED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840" w:type="dxa"/>
            <w:vAlign w:val="bottom"/>
            <w:gridSpan w:val="2"/>
            <w:shd w:val="clear" w:color="auto" w:fill="DEDEDE"/>
          </w:tcPr>
          <w:p>
            <w:pPr>
              <w:jc w:val="right"/>
              <w:ind w:right="380"/>
              <w:spacing w:after="0"/>
              <w:rPr>
                <w:sz w:val="20"/>
                <w:szCs w:val="20"/>
                <w:color w:val="auto"/>
              </w:rPr>
            </w:pPr>
            <w:r>
              <w:rPr>
                <w:rFonts w:ascii="Times New Roman" w:cs="Times New Roman" w:eastAsia="Times New Roman" w:hAnsi="Times New Roman"/>
                <w:sz w:val="18"/>
                <w:szCs w:val="18"/>
                <w:color w:val="auto"/>
              </w:rPr>
              <w:t>(380,000)</w:t>
            </w:r>
          </w:p>
        </w:tc>
        <w:tc>
          <w:tcPr>
            <w:tcW w:w="120" w:type="dxa"/>
            <w:vAlign w:val="bottom"/>
            <w:shd w:val="clear" w:color="auto" w:fill="DEDEDE"/>
          </w:tcPr>
          <w:p>
            <w:pPr>
              <w:spacing w:after="0"/>
              <w:rPr>
                <w:sz w:val="18"/>
                <w:szCs w:val="18"/>
                <w:color w:val="auto"/>
              </w:rPr>
            </w:pPr>
          </w:p>
        </w:tc>
        <w:tc>
          <w:tcPr>
            <w:tcW w:w="174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Included in earnings</w:t>
            </w:r>
          </w:p>
        </w:tc>
        <w:tc>
          <w:tcPr>
            <w:tcW w:w="100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78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(833,073) (1)</w:t>
            </w:r>
          </w:p>
        </w:tc>
        <w:tc>
          <w:tcPr>
            <w:tcW w:w="22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84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53,052,338(1)</w:t>
            </w:r>
          </w:p>
        </w:tc>
        <w:tc>
          <w:tcPr>
            <w:tcW w:w="120" w:type="dxa"/>
            <w:vAlign w:val="bottom"/>
            <w:shd w:val="clear" w:color="auto" w:fill="DEDEDE"/>
          </w:tcPr>
          <w:p>
            <w:pPr>
              <w:spacing w:after="0"/>
              <w:rPr>
                <w:sz w:val="18"/>
                <w:szCs w:val="18"/>
                <w:color w:val="auto"/>
              </w:rPr>
            </w:pPr>
          </w:p>
        </w:tc>
        <w:tc>
          <w:tcPr>
            <w:tcW w:w="174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Borders>
              <w:top w:val="single" w:sz="8" w:color="DEDEDE"/>
            </w:tcBorders>
            <w:shd w:val="clear" w:color="auto" w:fill="DEDEDE"/>
          </w:tcPr>
          <w:p>
            <w:pPr>
              <w:spacing w:after="0"/>
              <w:rPr>
                <w:sz w:val="18"/>
                <w:szCs w:val="18"/>
                <w:color w:val="auto"/>
              </w:rPr>
            </w:pPr>
          </w:p>
        </w:tc>
        <w:tc>
          <w:tcPr>
            <w:tcW w:w="100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auto"/>
            </w:tcBorders>
            <w:shd w:val="clear" w:color="auto" w:fill="DEDEDE"/>
          </w:tcPr>
          <w:p>
            <w:pPr>
              <w:spacing w:after="0"/>
              <w:rPr>
                <w:sz w:val="18"/>
                <w:szCs w:val="18"/>
                <w:color w:val="auto"/>
              </w:rPr>
            </w:pPr>
          </w:p>
        </w:tc>
        <w:tc>
          <w:tcPr>
            <w:tcW w:w="146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auto"/>
            </w:tcBorders>
            <w:shd w:val="clear" w:color="auto" w:fill="DEDEDE"/>
          </w:tcPr>
          <w:p>
            <w:pPr>
              <w:spacing w:after="0"/>
              <w:rPr>
                <w:sz w:val="18"/>
                <w:szCs w:val="18"/>
                <w:color w:val="auto"/>
              </w:rPr>
            </w:pPr>
          </w:p>
        </w:tc>
        <w:tc>
          <w:tcPr>
            <w:tcW w:w="220" w:type="dxa"/>
            <w:vAlign w:val="bottom"/>
            <w:tcBorders>
              <w:top w:val="single" w:sz="8" w:color="DEDEDE"/>
            </w:tcBorders>
            <w:shd w:val="clear" w:color="auto" w:fill="DEDEDE"/>
          </w:tcPr>
          <w:p>
            <w:pPr>
              <w:spacing w:after="0"/>
              <w:rPr>
                <w:sz w:val="18"/>
                <w:szCs w:val="18"/>
                <w:color w:val="auto"/>
              </w:rPr>
            </w:pPr>
          </w:p>
        </w:tc>
        <w:tc>
          <w:tcPr>
            <w:tcW w:w="240" w:type="dxa"/>
            <w:vAlign w:val="bottom"/>
            <w:tcBorders>
              <w:top w:val="single" w:sz="8" w:color="auto"/>
            </w:tcBorders>
            <w:shd w:val="clear" w:color="auto" w:fill="DEDEDE"/>
          </w:tcPr>
          <w:p>
            <w:pPr>
              <w:spacing w:after="0"/>
              <w:rPr>
                <w:sz w:val="18"/>
                <w:szCs w:val="18"/>
                <w:color w:val="auto"/>
              </w:rPr>
            </w:pPr>
          </w:p>
        </w:tc>
        <w:tc>
          <w:tcPr>
            <w:tcW w:w="1400" w:type="dxa"/>
            <w:vAlign w:val="bottom"/>
            <w:tcBorders>
              <w:top w:val="single" w:sz="8" w:color="auto"/>
            </w:tcBorders>
            <w:shd w:val="clear" w:color="auto" w:fill="DEDEDE"/>
          </w:tcPr>
          <w:p>
            <w:pPr>
              <w:spacing w:after="0"/>
              <w:rPr>
                <w:sz w:val="18"/>
                <w:szCs w:val="18"/>
                <w:color w:val="auto"/>
              </w:rPr>
            </w:pPr>
          </w:p>
        </w:tc>
        <w:tc>
          <w:tcPr>
            <w:tcW w:w="44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auto"/>
            </w:tcBorders>
            <w:shd w:val="clear" w:color="auto" w:fill="DEDEDE"/>
          </w:tcPr>
          <w:p>
            <w:pPr>
              <w:spacing w:after="0"/>
              <w:rPr>
                <w:sz w:val="18"/>
                <w:szCs w:val="18"/>
                <w:color w:val="auto"/>
              </w:rPr>
            </w:pPr>
          </w:p>
        </w:tc>
        <w:tc>
          <w:tcPr>
            <w:tcW w:w="1520" w:type="dxa"/>
            <w:vAlign w:val="bottom"/>
            <w:tcBorders>
              <w:top w:val="single" w:sz="8" w:color="auto"/>
            </w:tcBorders>
            <w:shd w:val="clear" w:color="auto" w:fill="DEDEDE"/>
          </w:tcPr>
          <w:p>
            <w:pPr>
              <w:spacing w:after="0"/>
              <w:rPr>
                <w:sz w:val="18"/>
                <w:szCs w:val="18"/>
                <w:color w:val="auto"/>
              </w:rPr>
            </w:pPr>
          </w:p>
        </w:tc>
        <w:tc>
          <w:tcPr>
            <w:tcW w:w="2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1,480,137</w:t>
            </w:r>
          </w:p>
        </w:tc>
        <w:tc>
          <w:tcPr>
            <w:tcW w:w="320" w:type="dxa"/>
            <w:vAlign w:val="bottom"/>
          </w:tcPr>
          <w:p>
            <w:pPr>
              <w:spacing w:after="0"/>
              <w:rPr>
                <w:sz w:val="21"/>
                <w:szCs w:val="21"/>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155,968,266</w:t>
            </w:r>
          </w:p>
        </w:tc>
        <w:tc>
          <w:tcPr>
            <w:tcW w:w="4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574,643</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322" w:hanging="322"/>
        <w:spacing w:after="0"/>
        <w:tabs>
          <w:tab w:leader="none" w:pos="32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consolidated statements of earnings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consolidated statements of earnings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following table is a summary of changes in the consolidated balance sheet line items measured using level 3 inputs:</w:t>
      </w:r>
    </w:p>
    <w:p>
      <w:pPr>
        <w:spacing w:after="0" w:line="225"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8"/>
              </w:rPr>
              <w:t>Net Derivatives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Fixed Maturity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7"/>
              </w:rPr>
              <w:t>Loan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Loans Held</w:t>
            </w:r>
          </w:p>
        </w:tc>
        <w:tc>
          <w:tcPr>
            <w:tcW w:w="14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Securities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9"/>
              </w:rPr>
              <w:t>Commitments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40" w:type="dxa"/>
            <w:vAlign w:val="bottom"/>
            <w:gridSpan w:val="2"/>
          </w:tcPr>
          <w:p>
            <w:pPr>
              <w:jc w:val="right"/>
              <w:ind w:right="980"/>
              <w:spacing w:after="0"/>
              <w:rPr>
                <w:sz w:val="20"/>
                <w:szCs w:val="20"/>
                <w:color w:val="auto"/>
              </w:rPr>
            </w:pPr>
            <w:r>
              <w:rPr>
                <w:rFonts w:ascii="Times New Roman" w:cs="Times New Roman" w:eastAsia="Times New Roman" w:hAnsi="Times New Roman"/>
                <w:sz w:val="18"/>
                <w:szCs w:val="18"/>
                <w:color w:val="auto"/>
              </w:rPr>
              <w:t>for Sale</w:t>
            </w:r>
          </w:p>
        </w:tc>
        <w:tc>
          <w:tcPr>
            <w:tcW w:w="140" w:type="dxa"/>
            <w:vAlign w:val="bottom"/>
          </w:tcPr>
          <w:p>
            <w:pPr>
              <w:spacing w:after="0"/>
              <w:rPr>
                <w:sz w:val="20"/>
                <w:szCs w:val="20"/>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Available for Sale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1200" w:type="dxa"/>
            <w:vAlign w:val="bottom"/>
            <w:gridSpan w:val="2"/>
            <w:shd w:val="clear" w:color="auto" w:fill="DEDED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DEDEDE"/>
          </w:tcPr>
          <w:p>
            <w:pPr>
              <w:jc w:val="right"/>
              <w:ind w:right="320"/>
              <w:spacing w:after="0"/>
              <w:rPr>
                <w:sz w:val="20"/>
                <w:szCs w:val="20"/>
                <w:color w:val="auto"/>
              </w:rPr>
            </w:pPr>
            <w:r>
              <w:rPr>
                <w:rFonts w:ascii="Times New Roman" w:cs="Times New Roman" w:eastAsia="Times New Roman" w:hAnsi="Times New Roman"/>
                <w:sz w:val="18"/>
                <w:szCs w:val="18"/>
                <w:color w:val="auto"/>
              </w:rPr>
              <w:t>1,583,262</w:t>
            </w:r>
          </w:p>
        </w:tc>
        <w:tc>
          <w:tcPr>
            <w:tcW w:w="36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126,549,190</w:t>
            </w:r>
          </w:p>
        </w:tc>
        <w:tc>
          <w:tcPr>
            <w:tcW w:w="420" w:type="dxa"/>
            <w:vAlign w:val="bottom"/>
            <w:shd w:val="clear" w:color="auto" w:fill="DEDEDE"/>
          </w:tcPr>
          <w:p>
            <w:pPr>
              <w:spacing w:after="0"/>
              <w:rPr>
                <w:sz w:val="18"/>
                <w:szCs w:val="18"/>
                <w:color w:val="auto"/>
              </w:rPr>
            </w:pPr>
          </w:p>
        </w:tc>
        <w:tc>
          <w:tcPr>
            <w:tcW w:w="1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1,238,656</w:t>
            </w:r>
          </w:p>
        </w:tc>
        <w:tc>
          <w:tcPr>
            <w:tcW w:w="2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Originations/purchases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2,295,830,408</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Sales, maturities and paydowns</w:t>
            </w:r>
          </w:p>
        </w:tc>
        <w:tc>
          <w:tcPr>
            <w:tcW w:w="10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0" w:type="dxa"/>
            <w:vAlign w:val="bottom"/>
            <w:gridSpan w:val="2"/>
            <w:shd w:val="clear" w:color="auto" w:fill="DEDED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840" w:type="dxa"/>
            <w:vAlign w:val="bottom"/>
            <w:gridSpan w:val="2"/>
            <w:shd w:val="clear" w:color="auto" w:fill="DEDEDE"/>
          </w:tcPr>
          <w:p>
            <w:pPr>
              <w:jc w:val="right"/>
              <w:ind w:right="360"/>
              <w:spacing w:after="0"/>
              <w:rPr>
                <w:sz w:val="20"/>
                <w:szCs w:val="20"/>
                <w:color w:val="auto"/>
              </w:rPr>
            </w:pPr>
            <w:r>
              <w:rPr>
                <w:rFonts w:ascii="Times New Roman" w:cs="Times New Roman" w:eastAsia="Times New Roman" w:hAnsi="Times New Roman"/>
                <w:sz w:val="18"/>
                <w:szCs w:val="18"/>
                <w:color w:val="auto"/>
              </w:rPr>
              <w:t>(2,338,209,587)</w:t>
            </w:r>
          </w:p>
        </w:tc>
        <w:tc>
          <w:tcPr>
            <w:tcW w:w="140" w:type="dxa"/>
            <w:vAlign w:val="bottom"/>
            <w:shd w:val="clear" w:color="auto" w:fill="DEDEDE"/>
          </w:tcPr>
          <w:p>
            <w:pPr>
              <w:spacing w:after="0"/>
              <w:rPr>
                <w:sz w:val="18"/>
                <w:szCs w:val="18"/>
                <w:color w:val="auto"/>
              </w:rPr>
            </w:pPr>
          </w:p>
        </w:tc>
        <w:tc>
          <w:tcPr>
            <w:tcW w:w="1740" w:type="dxa"/>
            <w:vAlign w:val="bottom"/>
            <w:gridSpan w:val="2"/>
            <w:shd w:val="clear" w:color="auto" w:fill="DEDEDE"/>
          </w:tcPr>
          <w:p>
            <w:pPr>
              <w:jc w:val="right"/>
              <w:ind w:right="160"/>
              <w:spacing w:after="0"/>
              <w:rPr>
                <w:sz w:val="20"/>
                <w:szCs w:val="20"/>
                <w:color w:val="auto"/>
              </w:rPr>
            </w:pPr>
            <w:r>
              <w:rPr>
                <w:rFonts w:ascii="Times New Roman" w:cs="Times New Roman" w:eastAsia="Times New Roman" w:hAnsi="Times New Roman"/>
                <w:sz w:val="18"/>
                <w:szCs w:val="18"/>
                <w:color w:val="auto"/>
              </w:rPr>
              <w:t>(92,593)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Foreclosed into real estate held for sale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(858,977)</w:t>
            </w:r>
          </w:p>
        </w:tc>
        <w:tc>
          <w:tcPr>
            <w:tcW w:w="140" w:type="dxa"/>
            <w:vAlign w:val="bottom"/>
          </w:tcPr>
          <w:p>
            <w:pPr>
              <w:spacing w:after="0"/>
              <w:rPr>
                <w:sz w:val="18"/>
                <w:szCs w:val="18"/>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Foreclosed into receivables</w:t>
            </w:r>
          </w:p>
        </w:tc>
        <w:tc>
          <w:tcPr>
            <w:tcW w:w="10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0" w:type="dxa"/>
            <w:vAlign w:val="bottom"/>
            <w:gridSpan w:val="2"/>
            <w:shd w:val="clear" w:color="auto" w:fill="DEDED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840" w:type="dxa"/>
            <w:vAlign w:val="bottom"/>
            <w:gridSpan w:val="2"/>
            <w:shd w:val="clear" w:color="auto" w:fill="DEDEDE"/>
          </w:tcPr>
          <w:p>
            <w:pPr>
              <w:jc w:val="right"/>
              <w:ind w:right="360"/>
              <w:spacing w:after="0"/>
              <w:rPr>
                <w:sz w:val="20"/>
                <w:szCs w:val="20"/>
                <w:color w:val="auto"/>
              </w:rPr>
            </w:pPr>
            <w:r>
              <w:rPr>
                <w:rFonts w:ascii="Times New Roman" w:cs="Times New Roman" w:eastAsia="Times New Roman" w:hAnsi="Times New Roman"/>
                <w:sz w:val="18"/>
                <w:szCs w:val="18"/>
                <w:color w:val="auto"/>
              </w:rPr>
              <w:t>(382,936)</w:t>
            </w:r>
          </w:p>
        </w:tc>
        <w:tc>
          <w:tcPr>
            <w:tcW w:w="140" w:type="dxa"/>
            <w:vAlign w:val="bottom"/>
            <w:shd w:val="clear" w:color="auto" w:fill="DEDEDE"/>
          </w:tcPr>
          <w:p>
            <w:pPr>
              <w:spacing w:after="0"/>
              <w:rPr>
                <w:sz w:val="18"/>
                <w:szCs w:val="18"/>
                <w:color w:val="auto"/>
              </w:rPr>
            </w:pPr>
          </w:p>
        </w:tc>
        <w:tc>
          <w:tcPr>
            <w:tcW w:w="174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gains (losses):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Included in earnings</w:t>
            </w:r>
          </w:p>
        </w:tc>
        <w:tc>
          <w:tcPr>
            <w:tcW w:w="10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80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rPr>
              <w:t>729,948(1)</w:t>
            </w:r>
          </w:p>
        </w:tc>
        <w:tc>
          <w:tcPr>
            <w:tcW w:w="12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184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48,253,050(1)</w:t>
            </w:r>
          </w:p>
        </w:tc>
        <w:tc>
          <w:tcPr>
            <w:tcW w:w="140" w:type="dxa"/>
            <w:vAlign w:val="bottom"/>
            <w:shd w:val="clear" w:color="auto" w:fill="DEDEDE"/>
          </w:tcPr>
          <w:p>
            <w:pPr>
              <w:spacing w:after="0"/>
              <w:rPr>
                <w:sz w:val="18"/>
                <w:szCs w:val="18"/>
                <w:color w:val="auto"/>
              </w:rPr>
            </w:pPr>
          </w:p>
        </w:tc>
        <w:tc>
          <w:tcPr>
            <w:tcW w:w="1740" w:type="dxa"/>
            <w:vAlign w:val="bottom"/>
            <w:gridSpan w:val="2"/>
            <w:shd w:val="clear" w:color="auto" w:fill="DEDEDE"/>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Included in other comprehensive income</w:t>
            </w: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Borders>
              <w:top w:val="single" w:sz="8" w:color="DEDEDE"/>
            </w:tcBorders>
            <w:shd w:val="clear" w:color="auto" w:fill="DEDEDE"/>
          </w:tcPr>
          <w:p>
            <w:pPr>
              <w:spacing w:after="0"/>
              <w:rPr>
                <w:sz w:val="18"/>
                <w:szCs w:val="18"/>
                <w:color w:val="auto"/>
              </w:rPr>
            </w:pPr>
          </w:p>
        </w:tc>
        <w:tc>
          <w:tcPr>
            <w:tcW w:w="104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148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240" w:type="dxa"/>
            <w:vAlign w:val="bottom"/>
            <w:tcBorders>
              <w:top w:val="single" w:sz="8" w:color="auto"/>
            </w:tcBorders>
            <w:shd w:val="clear" w:color="auto" w:fill="DEDEDE"/>
          </w:tcPr>
          <w:p>
            <w:pPr>
              <w:spacing w:after="0"/>
              <w:rPr>
                <w:sz w:val="18"/>
                <w:szCs w:val="18"/>
                <w:color w:val="auto"/>
              </w:rPr>
            </w:pPr>
          </w:p>
        </w:tc>
        <w:tc>
          <w:tcPr>
            <w:tcW w:w="1420" w:type="dxa"/>
            <w:vAlign w:val="bottom"/>
            <w:tcBorders>
              <w:top w:val="single" w:sz="8" w:color="auto"/>
            </w:tcBorders>
            <w:shd w:val="clear" w:color="auto" w:fill="DEDEDE"/>
          </w:tcPr>
          <w:p>
            <w:pPr>
              <w:spacing w:after="0"/>
              <w:rPr>
                <w:sz w:val="18"/>
                <w:szCs w:val="18"/>
                <w:color w:val="auto"/>
              </w:rPr>
            </w:pPr>
          </w:p>
        </w:tc>
        <w:tc>
          <w:tcPr>
            <w:tcW w:w="42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auto"/>
            </w:tcBorders>
            <w:shd w:val="clear" w:color="auto" w:fill="DEDEDE"/>
          </w:tcPr>
          <w:p>
            <w:pPr>
              <w:spacing w:after="0"/>
              <w:rPr>
                <w:sz w:val="18"/>
                <w:szCs w:val="18"/>
                <w:color w:val="auto"/>
              </w:rPr>
            </w:pPr>
          </w:p>
        </w:tc>
        <w:tc>
          <w:tcPr>
            <w:tcW w:w="1520" w:type="dxa"/>
            <w:vAlign w:val="bottom"/>
            <w:tcBorders>
              <w:top w:val="single" w:sz="8" w:color="auto"/>
            </w:tcBorders>
            <w:shd w:val="clear" w:color="auto" w:fill="DEDEDE"/>
          </w:tcPr>
          <w:p>
            <w:pPr>
              <w:spacing w:after="0"/>
              <w:rPr>
                <w:sz w:val="18"/>
                <w:szCs w:val="18"/>
                <w:color w:val="auto"/>
              </w:rPr>
            </w:pPr>
          </w:p>
        </w:tc>
        <w:tc>
          <w:tcPr>
            <w:tcW w:w="2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2,313,210</w:t>
            </w:r>
          </w:p>
        </w:tc>
        <w:tc>
          <w:tcPr>
            <w:tcW w:w="320" w:type="dxa"/>
            <w:vAlign w:val="bottom"/>
          </w:tcPr>
          <w:p>
            <w:pPr>
              <w:spacing w:after="0"/>
              <w:rPr>
                <w:sz w:val="21"/>
                <w:szCs w:val="21"/>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131,181,148</w:t>
            </w:r>
          </w:p>
        </w:tc>
        <w:tc>
          <w:tcPr>
            <w:tcW w:w="4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1,149,926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17" w:lineRule="exact"/>
        <w:rPr>
          <w:sz w:val="20"/>
          <w:szCs w:val="20"/>
          <w:color w:val="auto"/>
        </w:rPr>
      </w:pPr>
    </w:p>
    <w:p>
      <w:pPr>
        <w:ind w:left="322" w:hanging="322"/>
        <w:spacing w:after="0"/>
        <w:tabs>
          <w:tab w:leader="none" w:pos="32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mortgage fee income on the consolidated statements of earnings</w:t>
      </w:r>
    </w:p>
    <w:p>
      <w:pPr>
        <w:spacing w:after="0" w:line="8" w:lineRule="exact"/>
        <w:rPr>
          <w:rFonts w:ascii="Times New Roman" w:cs="Times New Roman" w:eastAsia="Times New Roman" w:hAnsi="Times New Roman"/>
          <w:sz w:val="18"/>
          <w:szCs w:val="18"/>
          <w:color w:val="auto"/>
        </w:rPr>
      </w:pPr>
    </w:p>
    <w:p>
      <w:pPr>
        <w:ind w:left="5542" w:right="4780" w:hanging="5542"/>
        <w:spacing w:after="0" w:line="183" w:lineRule="auto"/>
        <w:tabs>
          <w:tab w:leader="none" w:pos="334"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component of net investment income on the consolidated statements of earnings 96</w:t>
      </w:r>
    </w:p>
    <w:p>
      <w:pPr>
        <w:sectPr>
          <w:pgSz w:w="12240" w:h="15840" w:orient="portrait"/>
          <w:cols w:equalWidth="0" w:num="1">
            <w:col w:w="11242"/>
          </w:cols>
          <w:pgMar w:left="498" w:top="687" w:right="500" w:bottom="0" w:gutter="0" w:footer="0" w:header="0"/>
        </w:sectPr>
      </w:pPr>
    </w:p>
    <w:bookmarkStart w:id="124" w:name="page125"/>
    <w:bookmarkEnd w:id="124"/>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spacing w:after="0" w:line="283" w:lineRule="auto"/>
        <w:rPr>
          <w:sz w:val="20"/>
          <w:szCs w:val="20"/>
          <w:color w:val="auto"/>
        </w:rPr>
      </w:pPr>
      <w:r>
        <w:rPr>
          <w:rFonts w:ascii="Times New Roman" w:cs="Times New Roman" w:eastAsia="Times New Roman" w:hAnsi="Times New Roman"/>
          <w:sz w:val="18"/>
          <w:szCs w:val="18"/>
          <w:color w:val="auto"/>
        </w:rPr>
        <w:t>The Company did not have any financial assets and financial liabilities measured at fair value on a nonrecurring basis as of December 31, 2025, or 2024, respectively.</w:t>
      </w:r>
    </w:p>
    <w:p>
      <w:pPr>
        <w:spacing w:after="0" w:line="15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Carried at Other Than Fair Value</w:t>
      </w:r>
    </w:p>
    <w:p>
      <w:pPr>
        <w:spacing w:after="0" w:line="228"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160"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The Company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as of December 31, 2025, and 2024.</w:t>
      </w:r>
    </w:p>
    <w:p>
      <w:pPr>
        <w:spacing w:after="0" w:line="176" w:lineRule="exact"/>
        <w:rPr>
          <w:sz w:val="20"/>
          <w:szCs w:val="20"/>
          <w:color w:val="auto"/>
        </w:rPr>
      </w:pPr>
    </w:p>
    <w:p>
      <w:pPr>
        <w:jc w:val="both"/>
        <w:ind w:left="2"/>
        <w:spacing w:after="0" w:line="283"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2025:</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4"/>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Estimated</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Assets</w:t>
            </w:r>
          </w:p>
        </w:tc>
        <w:tc>
          <w:tcPr>
            <w:tcW w:w="580" w:type="dxa"/>
            <w:vAlign w:val="bottom"/>
            <w:tcBorders>
              <w:top w:val="single" w:sz="8" w:color="DEDEDE"/>
            </w:tcBorders>
            <w:shd w:val="clear" w:color="auto" w:fill="DEDEDE"/>
          </w:tcPr>
          <w:p>
            <w:pPr>
              <w:spacing w:after="0"/>
              <w:rPr>
                <w:sz w:val="18"/>
                <w:szCs w:val="18"/>
                <w:color w:val="auto"/>
              </w:rPr>
            </w:pPr>
          </w:p>
        </w:tc>
        <w:tc>
          <w:tcPr>
            <w:tcW w:w="120" w:type="dxa"/>
            <w:vAlign w:val="bottom"/>
            <w:tcBorders>
              <w:top w:val="single" w:sz="8" w:color="auto"/>
            </w:tcBorders>
            <w:shd w:val="clear" w:color="auto" w:fill="DEDEDE"/>
          </w:tcPr>
          <w:p>
            <w:pPr>
              <w:spacing w:after="0"/>
              <w:rPr>
                <w:sz w:val="18"/>
                <w:szCs w:val="18"/>
                <w:color w:val="auto"/>
              </w:rPr>
            </w:pPr>
          </w:p>
        </w:tc>
        <w:tc>
          <w:tcPr>
            <w:tcW w:w="960" w:type="dxa"/>
            <w:vAlign w:val="bottom"/>
            <w:tcBorders>
              <w:top w:val="single" w:sz="8" w:color="auto"/>
            </w:tcBorders>
            <w:shd w:val="clear" w:color="auto" w:fill="DEDEDE"/>
          </w:tcPr>
          <w:p>
            <w:pPr>
              <w:spacing w:after="0"/>
              <w:rPr>
                <w:sz w:val="18"/>
                <w:szCs w:val="18"/>
                <w:color w:val="auto"/>
              </w:rPr>
            </w:pPr>
          </w:p>
        </w:tc>
        <w:tc>
          <w:tcPr>
            <w:tcW w:w="20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84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840" w:type="dxa"/>
            <w:vAlign w:val="bottom"/>
            <w:tcBorders>
              <w:top w:val="single" w:sz="8" w:color="auto"/>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980" w:type="dxa"/>
            <w:vAlign w:val="bottom"/>
            <w:tcBorders>
              <w:top w:val="single" w:sz="8" w:color="auto"/>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98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7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8"/>
                <w:szCs w:val="18"/>
                <w:color w:val="auto"/>
              </w:rPr>
              <w:t>88,348,354</w:t>
            </w:r>
          </w:p>
        </w:tc>
        <w:tc>
          <w:tcPr>
            <w:tcW w:w="3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DEDEDE"/>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DEDEDE"/>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89,318,434</w:t>
            </w:r>
          </w:p>
        </w:tc>
        <w:tc>
          <w:tcPr>
            <w:tcW w:w="180" w:type="dxa"/>
            <w:vAlign w:val="bottom"/>
            <w:shd w:val="clear" w:color="auto" w:fill="DEDEDE"/>
          </w:tcPr>
          <w:p>
            <w:pPr>
              <w:spacing w:after="0"/>
              <w:rPr>
                <w:sz w:val="18"/>
                <w:szCs w:val="18"/>
                <w:color w:val="auto"/>
              </w:rPr>
            </w:pPr>
          </w:p>
        </w:tc>
        <w:tc>
          <w:tcPr>
            <w:tcW w:w="2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89,318,434</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156,744,272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156,744,272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156,744,272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580" w:type="dxa"/>
            <w:vAlign w:val="bottom"/>
            <w:shd w:val="clear" w:color="auto" w:fill="DEDEDE"/>
          </w:tcPr>
          <w:p>
            <w:pPr>
              <w:spacing w:after="0"/>
              <w:rPr>
                <w:sz w:val="19"/>
                <w:szCs w:val="19"/>
                <w:color w:val="auto"/>
              </w:rPr>
            </w:pPr>
          </w:p>
        </w:tc>
        <w:tc>
          <w:tcPr>
            <w:tcW w:w="120" w:type="dxa"/>
            <w:vAlign w:val="bottom"/>
            <w:tcBorders>
              <w:bottom w:val="single" w:sz="8" w:color="auto"/>
            </w:tcBorders>
            <w:shd w:val="clear" w:color="auto" w:fill="DEDEDE"/>
          </w:tcPr>
          <w:p>
            <w:pPr>
              <w:spacing w:after="0"/>
              <w:rPr>
                <w:sz w:val="19"/>
                <w:szCs w:val="19"/>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77,342,759</w:t>
            </w:r>
          </w:p>
        </w:tc>
        <w:tc>
          <w:tcPr>
            <w:tcW w:w="20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60" w:type="dxa"/>
            <w:vAlign w:val="bottom"/>
            <w:tcBorders>
              <w:bottom w:val="single" w:sz="8" w:color="auto"/>
            </w:tcBorders>
            <w:shd w:val="clear" w:color="auto" w:fill="DEDEDE"/>
          </w:tcPr>
          <w:p>
            <w:pPr>
              <w:spacing w:after="0"/>
              <w:rPr>
                <w:sz w:val="19"/>
                <w:szCs w:val="19"/>
                <w:color w:val="auto"/>
              </w:rPr>
            </w:pPr>
          </w:p>
        </w:tc>
        <w:tc>
          <w:tcPr>
            <w:tcW w:w="840" w:type="dxa"/>
            <w:vAlign w:val="bottom"/>
            <w:tcBorders>
              <w:bottom w:val="single" w:sz="8" w:color="auto"/>
            </w:tcBorders>
            <w:shd w:val="clear" w:color="auto" w:fill="DEDEDE"/>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EDEDE"/>
          </w:tcPr>
          <w:p>
            <w:pPr>
              <w:spacing w:after="0"/>
              <w:rPr>
                <w:sz w:val="19"/>
                <w:szCs w:val="19"/>
                <w:color w:val="auto"/>
              </w:rPr>
            </w:pPr>
          </w:p>
        </w:tc>
        <w:tc>
          <w:tcPr>
            <w:tcW w:w="840" w:type="dxa"/>
            <w:vAlign w:val="bottom"/>
            <w:tcBorders>
              <w:bottom w:val="single" w:sz="8" w:color="auto"/>
            </w:tcBorders>
            <w:shd w:val="clear" w:color="auto" w:fill="DEDEDE"/>
          </w:tcPr>
          <w:p>
            <w:pPr>
              <w:spacing w:after="0"/>
              <w:rPr>
                <w:sz w:val="19"/>
                <w:szCs w:val="19"/>
                <w:color w:val="auto"/>
              </w:rPr>
            </w:pPr>
          </w:p>
        </w:tc>
        <w:tc>
          <w:tcPr>
            <w:tcW w:w="160" w:type="dxa"/>
            <w:vAlign w:val="bottom"/>
            <w:tcBorders>
              <w:bottom w:val="single" w:sz="8" w:color="auto"/>
            </w:tcBorders>
            <w:shd w:val="clear" w:color="auto" w:fill="DEDEDE"/>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spacing w:after="0"/>
              <w:rPr>
                <w:sz w:val="19"/>
                <w:szCs w:val="19"/>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78,683,341</w:t>
            </w: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spacing w:after="0"/>
              <w:rPr>
                <w:sz w:val="19"/>
                <w:szCs w:val="19"/>
                <w:color w:val="auto"/>
              </w:rPr>
            </w:pP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78,683,341</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5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322,435,385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84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324,746,047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324,746,047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5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14,467,357</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840" w:type="dxa"/>
            <w:vAlign w:val="bottom"/>
            <w:shd w:val="clear" w:color="auto" w:fill="DEDEDE"/>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14,467,357</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14,467,357</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44,507,531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44,507,531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44,507,531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5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810,802</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840" w:type="dxa"/>
            <w:vAlign w:val="bottom"/>
            <w:shd w:val="clear" w:color="auto" w:fill="DEDEDE"/>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810,802</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810,802</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5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2,528,459</w:t>
            </w: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840" w:type="dxa"/>
            <w:vAlign w:val="bottom"/>
            <w:shd w:val="clear" w:color="auto" w:fill="DEDEDE"/>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4,035,635</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4,035,635</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96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(98,387,919)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(87,490,315)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(87,490,315)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Policyholder account balances - universal life</w:t>
            </w:r>
          </w:p>
        </w:tc>
        <w:tc>
          <w:tcPr>
            <w:tcW w:w="58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116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(35,825,494)</w:t>
            </w:r>
          </w:p>
        </w:tc>
        <w:tc>
          <w:tcPr>
            <w:tcW w:w="1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840" w:type="dxa"/>
            <w:vAlign w:val="bottom"/>
            <w:shd w:val="clear" w:color="auto" w:fill="DEDEDE"/>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16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(35,986,392)</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10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(35,986,392)</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Policyholder account balances - fixed annuities</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(104,780,256)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(103,880,576)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(103,880,576)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128905</wp:posOffset>
                </wp:positionV>
                <wp:extent cx="1783080"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5pt" to="140.4pt,10.15pt" o:allowincell="f" strokecolor="#000000" strokeweight="0.675pt"/>
            </w:pict>
          </mc:Fallback>
        </mc:AlternateContent>
      </w:r>
    </w:p>
    <w:p>
      <w:pPr>
        <w:spacing w:after="0" w:line="185" w:lineRule="exact"/>
        <w:rPr>
          <w:sz w:val="20"/>
          <w:szCs w:val="20"/>
          <w:color w:val="auto"/>
        </w:rPr>
      </w:pPr>
    </w:p>
    <w:p>
      <w:pPr>
        <w:ind w:left="322" w:hanging="322"/>
        <w:spacing w:after="0"/>
        <w:tabs>
          <w:tab w:leader="none" w:pos="32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consolidated balance sheets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97</w:t>
      </w:r>
    </w:p>
    <w:p>
      <w:pPr>
        <w:sectPr>
          <w:pgSz w:w="12240" w:h="15840" w:orient="portrait"/>
          <w:cols w:equalWidth="0" w:num="1">
            <w:col w:w="11242"/>
          </w:cols>
          <w:pgMar w:left="498" w:top="687" w:right="500" w:bottom="0" w:gutter="0" w:footer="0" w:header="0"/>
        </w:sectPr>
      </w:pPr>
    </w:p>
    <w:bookmarkStart w:id="125" w:name="page126"/>
    <w:bookmarkEnd w:id="125"/>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Fair Value of Financial Instruments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ind w:left="2"/>
        <w:spacing w:after="0" w:line="283"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as of December 31, 2024:</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Carrying</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Estimated</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Value</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Level 1</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Level 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top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Assets</w:t>
            </w:r>
          </w:p>
        </w:tc>
        <w:tc>
          <w:tcPr>
            <w:tcW w:w="62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980" w:type="dxa"/>
            <w:vAlign w:val="bottom"/>
            <w:tcBorders>
              <w:top w:val="single" w:sz="8" w:color="auto"/>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840" w:type="dxa"/>
            <w:vAlign w:val="bottom"/>
            <w:tcBorders>
              <w:top w:val="single" w:sz="8" w:color="auto"/>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160" w:type="dxa"/>
            <w:vAlign w:val="bottom"/>
            <w:tcBorders>
              <w:top w:val="single" w:sz="8" w:color="DEDEDE"/>
            </w:tcBorders>
            <w:shd w:val="clear" w:color="auto" w:fill="DEDEDE"/>
          </w:tcPr>
          <w:p>
            <w:pPr>
              <w:spacing w:after="0"/>
              <w:rPr>
                <w:sz w:val="18"/>
                <w:szCs w:val="18"/>
                <w:color w:val="auto"/>
              </w:rPr>
            </w:pPr>
          </w:p>
        </w:tc>
        <w:tc>
          <w:tcPr>
            <w:tcW w:w="840" w:type="dxa"/>
            <w:vAlign w:val="bottom"/>
            <w:tcBorders>
              <w:top w:val="single" w:sz="8" w:color="auto"/>
            </w:tcBorders>
            <w:shd w:val="clear" w:color="auto" w:fill="DEDEDE"/>
          </w:tcPr>
          <w:p>
            <w:pPr>
              <w:spacing w:after="0"/>
              <w:rPr>
                <w:sz w:val="18"/>
                <w:szCs w:val="18"/>
                <w:color w:val="auto"/>
              </w:rPr>
            </w:pPr>
          </w:p>
        </w:tc>
        <w:tc>
          <w:tcPr>
            <w:tcW w:w="160" w:type="dxa"/>
            <w:vAlign w:val="bottom"/>
            <w:tcBorders>
              <w:top w:val="single" w:sz="8" w:color="auto"/>
            </w:tcBorders>
            <w:shd w:val="clear" w:color="auto" w:fill="DEDEDE"/>
          </w:tcPr>
          <w:p>
            <w:pPr>
              <w:spacing w:after="0"/>
              <w:rPr>
                <w:sz w:val="18"/>
                <w:szCs w:val="18"/>
                <w:color w:val="auto"/>
              </w:rPr>
            </w:pPr>
          </w:p>
        </w:tc>
        <w:tc>
          <w:tcPr>
            <w:tcW w:w="32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980" w:type="dxa"/>
            <w:vAlign w:val="bottom"/>
            <w:tcBorders>
              <w:top w:val="single" w:sz="8" w:color="auto"/>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spacing w:after="0"/>
              <w:rPr>
                <w:sz w:val="18"/>
                <w:szCs w:val="18"/>
                <w:color w:val="auto"/>
              </w:rPr>
            </w:pPr>
          </w:p>
        </w:tc>
        <w:tc>
          <w:tcPr>
            <w:tcW w:w="960" w:type="dxa"/>
            <w:vAlign w:val="bottom"/>
            <w:tcBorders>
              <w:top w:val="single" w:sz="8" w:color="auto"/>
            </w:tcBorders>
            <w:shd w:val="clear" w:color="auto" w:fill="DEDEDE"/>
          </w:tcPr>
          <w:p>
            <w:pPr>
              <w:spacing w:after="0"/>
              <w:rPr>
                <w:sz w:val="18"/>
                <w:szCs w:val="18"/>
                <w:color w:val="auto"/>
              </w:rPr>
            </w:pPr>
          </w:p>
        </w:tc>
        <w:tc>
          <w:tcPr>
            <w:tcW w:w="12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Residential</w:t>
            </w:r>
          </w:p>
        </w:tc>
        <w:tc>
          <w:tcPr>
            <w:tcW w:w="7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89,780,350</w:t>
            </w:r>
          </w:p>
        </w:tc>
        <w:tc>
          <w:tcPr>
            <w:tcW w:w="30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DEDEDE"/>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DEDEDE"/>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90,168,328</w:t>
            </w:r>
          </w:p>
        </w:tc>
        <w:tc>
          <w:tcPr>
            <w:tcW w:w="24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90,168,328</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Residential construction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150,211,240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150,211,240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150,211,240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shd w:val="clear" w:color="auto" w:fill="DEDEDE"/>
          </w:tcPr>
          <w:p>
            <w:pPr>
              <w:ind w:left="160"/>
              <w:spacing w:after="0"/>
              <w:rPr>
                <w:sz w:val="20"/>
                <w:szCs w:val="20"/>
                <w:color w:val="auto"/>
              </w:rPr>
            </w:pPr>
            <w:r>
              <w:rPr>
                <w:rFonts w:ascii="Times New Roman" w:cs="Times New Roman" w:eastAsia="Times New Roman" w:hAnsi="Times New Roman"/>
                <w:sz w:val="18"/>
                <w:szCs w:val="18"/>
                <w:color w:val="auto"/>
              </w:rPr>
              <w:t>Commercial</w:t>
            </w:r>
          </w:p>
        </w:tc>
        <w:tc>
          <w:tcPr>
            <w:tcW w:w="6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61,755,768</w:t>
            </w: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60" w:type="dxa"/>
            <w:vAlign w:val="bottom"/>
            <w:shd w:val="clear" w:color="auto" w:fill="DEDEDE"/>
          </w:tcPr>
          <w:p>
            <w:pPr>
              <w:spacing w:after="0"/>
              <w:rPr>
                <w:sz w:val="19"/>
                <w:szCs w:val="19"/>
                <w:color w:val="auto"/>
              </w:rPr>
            </w:pPr>
          </w:p>
        </w:tc>
        <w:tc>
          <w:tcPr>
            <w:tcW w:w="1000" w:type="dxa"/>
            <w:vAlign w:val="bottom"/>
            <w:gridSpan w:val="2"/>
            <w:shd w:val="clear" w:color="auto" w:fill="DEDEDE"/>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9"/>
                <w:szCs w:val="19"/>
                <w:color w:val="auto"/>
              </w:rPr>
            </w:pPr>
          </w:p>
        </w:tc>
        <w:tc>
          <w:tcPr>
            <w:tcW w:w="840" w:type="dxa"/>
            <w:vAlign w:val="bottom"/>
            <w:shd w:val="clear" w:color="auto" w:fill="DEDEDE"/>
          </w:tcPr>
          <w:p>
            <w:pPr>
              <w:spacing w:after="0"/>
              <w:rPr>
                <w:sz w:val="19"/>
                <w:szCs w:val="19"/>
                <w:color w:val="auto"/>
              </w:rPr>
            </w:pPr>
          </w:p>
        </w:tc>
        <w:tc>
          <w:tcPr>
            <w:tcW w:w="160" w:type="dxa"/>
            <w:vAlign w:val="bottom"/>
            <w:shd w:val="clear" w:color="auto" w:fill="DEDEDE"/>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60,864,775</w:t>
            </w:r>
          </w:p>
        </w:tc>
        <w:tc>
          <w:tcPr>
            <w:tcW w:w="180" w:type="dxa"/>
            <w:vAlign w:val="bottom"/>
            <w:shd w:val="clear" w:color="auto" w:fill="DEDEDE"/>
          </w:tcPr>
          <w:p>
            <w:pPr>
              <w:spacing w:after="0"/>
              <w:rPr>
                <w:sz w:val="19"/>
                <w:szCs w:val="19"/>
                <w:color w:val="auto"/>
              </w:rPr>
            </w:pPr>
          </w:p>
        </w:tc>
        <w:tc>
          <w:tcPr>
            <w:tcW w:w="140" w:type="dxa"/>
            <w:vAlign w:val="bottom"/>
            <w:shd w:val="clear" w:color="auto" w:fill="DEDEDE"/>
          </w:tcPr>
          <w:p>
            <w:pPr>
              <w:spacing w:after="0"/>
              <w:rPr>
                <w:sz w:val="19"/>
                <w:szCs w:val="19"/>
                <w:color w:val="auto"/>
              </w:rPr>
            </w:pPr>
          </w:p>
        </w:tc>
        <w:tc>
          <w:tcPr>
            <w:tcW w:w="100" w:type="dxa"/>
            <w:vAlign w:val="bottom"/>
            <w:shd w:val="clear" w:color="auto" w:fill="DEDEDE"/>
          </w:tcPr>
          <w:p>
            <w:pPr>
              <w:spacing w:after="0"/>
              <w:rPr>
                <w:sz w:val="19"/>
                <w:szCs w:val="19"/>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60,864,775</w:t>
            </w:r>
          </w:p>
        </w:tc>
        <w:tc>
          <w:tcPr>
            <w:tcW w:w="120" w:type="dxa"/>
            <w:vAlign w:val="bottom"/>
            <w:shd w:val="clear" w:color="auto" w:fill="DEDED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Mortgage loans held for investment, net</w:t>
            </w:r>
          </w:p>
        </w:tc>
        <w:tc>
          <w:tcPr>
            <w:tcW w:w="6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301,747,358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301,244,343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301,244,343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Policy loans</w:t>
            </w:r>
          </w:p>
        </w:tc>
        <w:tc>
          <w:tcPr>
            <w:tcW w:w="6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14,019,248</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00" w:type="dxa"/>
            <w:vAlign w:val="bottom"/>
            <w:gridSpan w:val="2"/>
            <w:shd w:val="clear" w:color="auto" w:fill="DEDEDE"/>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14,019,248</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14,019,248</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Insurance assignments, net (1)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46,956,932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46,956,932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46,956,932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Restricted assets (2)</w:t>
            </w:r>
          </w:p>
        </w:tc>
        <w:tc>
          <w:tcPr>
            <w:tcW w:w="6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983,834</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00" w:type="dxa"/>
            <w:vAlign w:val="bottom"/>
            <w:gridSpan w:val="2"/>
            <w:shd w:val="clear" w:color="auto" w:fill="DEDEDE"/>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983,834</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983,834</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Cemetery perpetual care trust investments (2)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2,141,464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Mortgage servicing rights, net</w:t>
            </w:r>
          </w:p>
        </w:tc>
        <w:tc>
          <w:tcPr>
            <w:tcW w:w="6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2,939,878</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00" w:type="dxa"/>
            <w:vAlign w:val="bottom"/>
            <w:gridSpan w:val="2"/>
            <w:shd w:val="clear" w:color="auto" w:fill="DEDEDE"/>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4,552,316</w:t>
            </w: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4,552,316</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Liabilities</w:t>
            </w:r>
          </w:p>
        </w:tc>
        <w:tc>
          <w:tcPr>
            <w:tcW w:w="6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96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Bank and other loans payable</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(106,740,104)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(90,455,678)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(90,455,678)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Policyholder account balances - universal life</w:t>
            </w:r>
          </w:p>
        </w:tc>
        <w:tc>
          <w:tcPr>
            <w:tcW w:w="6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160" w:type="dxa"/>
            <w:vAlign w:val="bottom"/>
            <w:gridSpan w:val="2"/>
            <w:shd w:val="clear" w:color="auto" w:fill="DEDEDE"/>
          </w:tcPr>
          <w:p>
            <w:pPr>
              <w:jc w:val="right"/>
              <w:ind w:right="120"/>
              <w:spacing w:after="0"/>
              <w:rPr>
                <w:sz w:val="20"/>
                <w:szCs w:val="20"/>
                <w:color w:val="auto"/>
              </w:rPr>
            </w:pPr>
            <w:r>
              <w:rPr>
                <w:rFonts w:ascii="Times New Roman" w:cs="Times New Roman" w:eastAsia="Times New Roman" w:hAnsi="Times New Roman"/>
                <w:sz w:val="18"/>
                <w:szCs w:val="18"/>
                <w:color w:val="auto"/>
              </w:rPr>
              <w:t>(37,091,230)</w:t>
            </w:r>
          </w:p>
        </w:tc>
        <w:tc>
          <w:tcPr>
            <w:tcW w:w="140" w:type="dxa"/>
            <w:vAlign w:val="bottom"/>
            <w:shd w:val="clear" w:color="auto" w:fill="DEDEDE"/>
          </w:tcPr>
          <w:p>
            <w:pPr>
              <w:spacing w:after="0"/>
              <w:rPr>
                <w:sz w:val="18"/>
                <w:szCs w:val="18"/>
                <w:color w:val="auto"/>
              </w:rPr>
            </w:pPr>
          </w:p>
        </w:tc>
        <w:tc>
          <w:tcPr>
            <w:tcW w:w="160" w:type="dxa"/>
            <w:vAlign w:val="bottom"/>
            <w:shd w:val="clear" w:color="auto" w:fill="DEDEDE"/>
          </w:tcPr>
          <w:p>
            <w:pPr>
              <w:spacing w:after="0"/>
              <w:rPr>
                <w:sz w:val="18"/>
                <w:szCs w:val="18"/>
                <w:color w:val="auto"/>
              </w:rPr>
            </w:pPr>
          </w:p>
        </w:tc>
        <w:tc>
          <w:tcPr>
            <w:tcW w:w="1000" w:type="dxa"/>
            <w:vAlign w:val="bottom"/>
            <w:gridSpan w:val="2"/>
            <w:shd w:val="clear" w:color="auto" w:fill="DEDEDE"/>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DEDEDE"/>
          </w:tcPr>
          <w:p>
            <w:pPr>
              <w:spacing w:after="0"/>
              <w:rPr>
                <w:sz w:val="18"/>
                <w:szCs w:val="18"/>
                <w:color w:val="auto"/>
              </w:rPr>
            </w:pPr>
          </w:p>
        </w:tc>
        <w:tc>
          <w:tcPr>
            <w:tcW w:w="840" w:type="dxa"/>
            <w:vAlign w:val="bottom"/>
            <w:shd w:val="clear" w:color="auto" w:fill="DEDEDE"/>
          </w:tcPr>
          <w:p>
            <w:pPr>
              <w:spacing w:after="0"/>
              <w:rPr>
                <w:sz w:val="18"/>
                <w:szCs w:val="18"/>
                <w:color w:val="auto"/>
              </w:rPr>
            </w:pPr>
          </w:p>
        </w:tc>
        <w:tc>
          <w:tcPr>
            <w:tcW w:w="160" w:type="dxa"/>
            <w:vAlign w:val="bottom"/>
            <w:shd w:val="clear" w:color="auto" w:fill="DEDEDE"/>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16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(37,626,593)</w:t>
            </w:r>
          </w:p>
        </w:tc>
        <w:tc>
          <w:tcPr>
            <w:tcW w:w="140" w:type="dxa"/>
            <w:vAlign w:val="bottom"/>
            <w:shd w:val="clear" w:color="auto" w:fill="DEDEDE"/>
          </w:tcPr>
          <w:p>
            <w:pPr>
              <w:spacing w:after="0"/>
              <w:rPr>
                <w:sz w:val="18"/>
                <w:szCs w:val="18"/>
                <w:color w:val="auto"/>
              </w:rPr>
            </w:pPr>
          </w:p>
        </w:tc>
        <w:tc>
          <w:tcPr>
            <w:tcW w:w="100" w:type="dxa"/>
            <w:vAlign w:val="bottom"/>
            <w:shd w:val="clear" w:color="auto" w:fill="DEDEDE"/>
          </w:tcPr>
          <w:p>
            <w:pPr>
              <w:spacing w:after="0"/>
              <w:rPr>
                <w:sz w:val="18"/>
                <w:szCs w:val="18"/>
                <w:color w:val="auto"/>
              </w:rPr>
            </w:pPr>
          </w:p>
        </w:tc>
        <w:tc>
          <w:tcPr>
            <w:tcW w:w="108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(37,626,593)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Policyholder account balances - fixed annuities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(105,716,086)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8"/>
              </w:rPr>
              <w:t>(104,611,544)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(104,611,544)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128905</wp:posOffset>
                </wp:positionV>
                <wp:extent cx="1783080"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15pt" to="140.4pt,10.15pt" o:allowincell="f" strokecolor="#000000" strokeweight="0.675pt"/>
            </w:pict>
          </mc:Fallback>
        </mc:AlternateContent>
      </w:r>
    </w:p>
    <w:p>
      <w:pPr>
        <w:spacing w:after="0" w:line="185" w:lineRule="exact"/>
        <w:rPr>
          <w:sz w:val="20"/>
          <w:szCs w:val="20"/>
          <w:color w:val="auto"/>
        </w:rPr>
      </w:pPr>
    </w:p>
    <w:p>
      <w:pPr>
        <w:ind w:left="322" w:hanging="322"/>
        <w:spacing w:after="0"/>
        <w:tabs>
          <w:tab w:leader="none" w:pos="32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other investments and policy loans on the consolidated balance sheets</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 loans held for investment</w:t>
      </w:r>
    </w:p>
    <w:p>
      <w:pPr>
        <w:spacing w:after="0" w:line="225"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methods, assumptions and significant valuation techniques and inputs used to estimate the fair value of financial instruments are summarized as follows:</w:t>
      </w:r>
    </w:p>
    <w:p>
      <w:pPr>
        <w:spacing w:after="0" w:line="157" w:lineRule="exact"/>
        <w:rPr>
          <w:sz w:val="20"/>
          <w:szCs w:val="20"/>
          <w:color w:val="auto"/>
        </w:rPr>
      </w:pPr>
    </w:p>
    <w:p>
      <w:pPr>
        <w:jc w:val="both"/>
        <w:ind w:left="2" w:right="20"/>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Mortgage Loans Held for Investment</w:t>
      </w:r>
      <w:r>
        <w:rPr>
          <w:rFonts w:ascii="Times New Roman" w:cs="Times New Roman" w:eastAsia="Times New Roman" w:hAnsi="Times New Roman"/>
          <w:sz w:val="18"/>
          <w:szCs w:val="18"/>
          <w:color w:val="auto"/>
        </w:rPr>
        <w:t>: The estimated fair value of the Company’s mortgage loans held for investment is determined using various methods.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173" w:lineRule="exact"/>
        <w:rPr>
          <w:sz w:val="20"/>
          <w:szCs w:val="20"/>
          <w:color w:val="auto"/>
        </w:rPr>
      </w:pPr>
    </w:p>
    <w:p>
      <w:pPr>
        <w:ind w:left="642" w:right="20"/>
        <w:spacing w:after="0" w:line="283" w:lineRule="auto"/>
        <w:rPr>
          <w:sz w:val="20"/>
          <w:szCs w:val="20"/>
          <w:color w:val="auto"/>
        </w:rPr>
      </w:pPr>
      <w:r>
        <w:rPr>
          <w:rFonts w:ascii="Times New Roman" w:cs="Times New Roman" w:eastAsia="Times New Roman" w:hAnsi="Times New Roman"/>
          <w:sz w:val="18"/>
          <w:szCs w:val="18"/>
          <w:color w:val="auto"/>
        </w:rPr>
        <w:t>Residential — The estimated fair value is determined by estimating expected future cash flows of payments and discounting them using current interest rates for single family mortgages and considering pricing of similar loans that were sold recently.</w:t>
      </w:r>
    </w:p>
    <w:p>
      <w:pPr>
        <w:spacing w:after="0" w:line="160" w:lineRule="exact"/>
        <w:rPr>
          <w:sz w:val="20"/>
          <w:szCs w:val="20"/>
          <w:color w:val="auto"/>
        </w:rPr>
      </w:pPr>
    </w:p>
    <w:p>
      <w:pPr>
        <w:ind w:left="642"/>
        <w:spacing w:after="0" w:line="283" w:lineRule="auto"/>
        <w:rPr>
          <w:sz w:val="20"/>
          <w:szCs w:val="20"/>
          <w:color w:val="auto"/>
        </w:rPr>
      </w:pPr>
      <w:r>
        <w:rPr>
          <w:rFonts w:ascii="Times New Roman" w:cs="Times New Roman" w:eastAsia="Times New Roman" w:hAnsi="Times New Roman"/>
          <w:sz w:val="18"/>
          <w:szCs w:val="18"/>
          <w:color w:val="auto"/>
        </w:rPr>
        <w:t>Residential Construction — These loans primarily have short term maturities. Accordingly, the estimated fair value is determined to be the carrying value.</w:t>
      </w:r>
    </w:p>
    <w:p>
      <w:pPr>
        <w:spacing w:after="0" w:line="160" w:lineRule="exact"/>
        <w:rPr>
          <w:sz w:val="20"/>
          <w:szCs w:val="20"/>
          <w:color w:val="auto"/>
        </w:rPr>
      </w:pPr>
    </w:p>
    <w:p>
      <w:pPr>
        <w:ind w:left="642" w:right="20"/>
        <w:spacing w:after="0" w:line="283" w:lineRule="auto"/>
        <w:rPr>
          <w:sz w:val="20"/>
          <w:szCs w:val="20"/>
          <w:color w:val="auto"/>
        </w:rPr>
      </w:pPr>
      <w:r>
        <w:rPr>
          <w:rFonts w:ascii="Times New Roman" w:cs="Times New Roman" w:eastAsia="Times New Roman" w:hAnsi="Times New Roman"/>
          <w:sz w:val="18"/>
          <w:szCs w:val="18"/>
          <w:color w:val="auto"/>
        </w:rPr>
        <w:t>Commercial — The estimated fair value is determined by estimating expected future cash flows of payments and discounting them using current interest rates for commercial mortgages.</w:t>
      </w:r>
    </w:p>
    <w:p>
      <w:pPr>
        <w:spacing w:after="0" w:line="158" w:lineRule="exact"/>
        <w:rPr>
          <w:sz w:val="20"/>
          <w:szCs w:val="20"/>
          <w:color w:val="auto"/>
        </w:rPr>
      </w:pPr>
    </w:p>
    <w:p>
      <w:pPr>
        <w:jc w:val="both"/>
        <w:ind w:left="2" w:right="20"/>
        <w:spacing w:after="0" w:line="286" w:lineRule="auto"/>
        <w:rPr>
          <w:sz w:val="20"/>
          <w:szCs w:val="20"/>
          <w:color w:val="auto"/>
        </w:rPr>
      </w:pPr>
      <w:r>
        <w:rPr>
          <w:rFonts w:ascii="Times New Roman" w:cs="Times New Roman" w:eastAsia="Times New Roman" w:hAnsi="Times New Roman"/>
          <w:sz w:val="18"/>
          <w:szCs w:val="18"/>
          <w:i w:val="1"/>
          <w:iCs w:val="1"/>
          <w:u w:val="single" w:color="auto"/>
          <w:color w:val="auto"/>
        </w:rPr>
        <w:t>Policy Loans</w:t>
      </w:r>
      <w:r>
        <w:rPr>
          <w:rFonts w:ascii="Times New Roman" w:cs="Times New Roman" w:eastAsia="Times New Roman" w:hAnsi="Times New Roman"/>
          <w:sz w:val="18"/>
          <w:szCs w:val="18"/>
          <w:color w:val="auto"/>
        </w:rPr>
        <w:t>: These loans are fully collateralized by the cash surrender value of the underlying insurance policy. Accordingly, the carrying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reported in the accompanying consolidated balance sheets approximate their fair values.</w:t>
      </w:r>
    </w:p>
    <w:p>
      <w:pPr>
        <w:spacing w:after="0" w:line="155" w:lineRule="exact"/>
        <w:rPr>
          <w:sz w:val="20"/>
          <w:szCs w:val="20"/>
          <w:color w:val="auto"/>
        </w:rPr>
      </w:pPr>
    </w:p>
    <w:p>
      <w:pPr>
        <w:jc w:val="both"/>
        <w:ind w:left="2" w:right="20"/>
        <w:spacing w:after="0" w:line="286" w:lineRule="auto"/>
        <w:rPr>
          <w:sz w:val="20"/>
          <w:szCs w:val="20"/>
          <w:color w:val="auto"/>
        </w:rPr>
      </w:pPr>
      <w:r>
        <w:rPr>
          <w:rFonts w:ascii="Times New Roman" w:cs="Times New Roman" w:eastAsia="Times New Roman" w:hAnsi="Times New Roman"/>
          <w:sz w:val="18"/>
          <w:szCs w:val="18"/>
          <w:i w:val="1"/>
          <w:iCs w:val="1"/>
          <w:u w:val="single" w:color="auto"/>
          <w:color w:val="auto"/>
        </w:rPr>
        <w:t>Insurance Assignments, Net</w:t>
      </w:r>
      <w:r>
        <w:rPr>
          <w:rFonts w:ascii="Times New Roman" w:cs="Times New Roman" w:eastAsia="Times New Roman" w:hAnsi="Times New Roman"/>
          <w:sz w:val="18"/>
          <w:szCs w:val="18"/>
          <w:color w:val="auto"/>
        </w:rPr>
        <w:t>: These investments primarily have short term maturities. Accordingly, the carrying amounts reported in the accompanying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approximate their fair values.</w:t>
      </w:r>
    </w:p>
    <w:p>
      <w:pPr>
        <w:spacing w:after="0" w:line="155" w:lineRule="exact"/>
        <w:rPr>
          <w:sz w:val="20"/>
          <w:szCs w:val="20"/>
          <w:color w:val="auto"/>
        </w:rPr>
      </w:pPr>
    </w:p>
    <w:p>
      <w:pPr>
        <w:jc w:val="both"/>
        <w:ind w:left="2" w:right="20"/>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Bank and Other Loans Payable</w:t>
      </w:r>
      <w:r>
        <w:rPr>
          <w:rFonts w:ascii="Times New Roman" w:cs="Times New Roman" w:eastAsia="Times New Roman" w:hAnsi="Times New Roman"/>
          <w:sz w:val="18"/>
          <w:szCs w:val="18"/>
          <w:color w:val="auto"/>
        </w:rPr>
        <w:t>: The carrying amounts reported in the accompanying consolidated balance sheet for warehouse lines of credit approximate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fair values due to their relatively short-term maturities and variable interest rates. The estimated fair value for bank loans collateralized by real estate is determined by estimating future cash flows of payments and discounting them using current market rates.</w:t>
      </w:r>
    </w:p>
    <w:p>
      <w:pPr>
        <w:spacing w:after="0" w:line="171" w:lineRule="exact"/>
        <w:rPr>
          <w:sz w:val="20"/>
          <w:szCs w:val="20"/>
          <w:color w:val="auto"/>
        </w:rPr>
      </w:pPr>
    </w:p>
    <w:p>
      <w:pPr>
        <w:jc w:val="both"/>
        <w:ind w:left="2" w:right="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w:t>
      </w:r>
      <w:r>
        <w:rPr>
          <w:rFonts w:ascii="Times New Roman" w:cs="Times New Roman" w:eastAsia="Times New Roman" w:hAnsi="Times New Roman"/>
          <w:sz w:val="18"/>
          <w:szCs w:val="18"/>
          <w:color w:val="auto"/>
        </w:rPr>
        <w:t>: Policyholder account balances for interest-sensitive insurance products are computed under a retrospective deposit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represent policy account balances before applicable surrender charges. Policy benefits and claims that are charged to expense include benefit claims incurred in the period more than related policy account balances. Interest credit rates for interest-sensitive insurance products ranged from 1.5% to 6.5%. The fair values for these investment-type insurance policies are estimated based on the present value of liability cash flows. The fair values for the Company’s insurance policies other than investment-type policies are not required to be disclosed. However, the fair values of liabilities under all insurance policies are taken into consideration in the Company’s overall management of interest rate risk, such that the Company’s exposure to changing interest rates is minimized through the matching of investment maturities with amounts due under insurance policies.</w:t>
      </w:r>
    </w:p>
    <w:p>
      <w:pPr>
        <w:spacing w:after="0" w:line="306"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98</w:t>
      </w:r>
    </w:p>
    <w:p>
      <w:pPr>
        <w:sectPr>
          <w:pgSz w:w="12240" w:h="15840" w:orient="portrait"/>
          <w:cols w:equalWidth="0" w:num="1">
            <w:col w:w="11242"/>
          </w:cols>
          <w:pgMar w:left="498" w:top="687" w:right="500" w:bottom="0" w:gutter="0" w:footer="0" w:header="0"/>
        </w:sectPr>
      </w:pPr>
    </w:p>
    <w:bookmarkStart w:id="126" w:name="page127"/>
    <w:bookmarkEnd w:id="126"/>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 and Retirement Plans</w:t>
      </w:r>
    </w:p>
    <w:p>
      <w:pPr>
        <w:spacing w:after="0" w:line="2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Stock Compensation Plans</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has three active equity incentive plans (the “2013 Plan”, the “2014 Director Plan” and the “2022 Plan” or “the Plans”).</w:t>
      </w:r>
    </w:p>
    <w:p>
      <w:pPr>
        <w:spacing w:after="0" w:line="225"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Stock based compensation expense for stock options issued of $1,281,569 and $794,654 has been recognized under these Plans for 2025 and 2024, respectively, and is included in personnel expenses on the consolidated statements of earnings. As of December 31, 2025, the total unrecognized compensation expense related to the stock options issued was $1,681,944, which is expected to be recognized over the remaining vesting period.</w:t>
      </w:r>
    </w:p>
    <w:p>
      <w:pPr>
        <w:spacing w:after="0" w:line="176" w:lineRule="exact"/>
        <w:rPr>
          <w:sz w:val="20"/>
          <w:szCs w:val="20"/>
          <w:color w:val="auto"/>
        </w:rPr>
      </w:pPr>
    </w:p>
    <w:p>
      <w:pPr>
        <w:jc w:val="both"/>
        <w:ind w:left="2"/>
        <w:spacing w:after="0" w:line="261" w:lineRule="auto"/>
        <w:rPr>
          <w:sz w:val="20"/>
          <w:szCs w:val="20"/>
          <w:color w:val="auto"/>
        </w:rPr>
      </w:pPr>
      <w:r>
        <w:rPr>
          <w:rFonts w:ascii="Times New Roman" w:cs="Times New Roman" w:eastAsia="Times New Roman" w:hAnsi="Times New Roman"/>
          <w:sz w:val="18"/>
          <w:szCs w:val="18"/>
          <w:color w:val="auto"/>
        </w:rPr>
        <w:t>The fair value of each stock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179"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following table summarizes the assumptions used in estimating the fair value of each stock option granted along with the weighted-average fair value of the stock options granted.</w:t>
      </w:r>
    </w:p>
    <w:p>
      <w:pPr>
        <w:spacing w:after="0" w:line="173" w:lineRule="exact"/>
        <w:rPr>
          <w:sz w:val="20"/>
          <w:szCs w:val="20"/>
          <w:color w:val="auto"/>
        </w:rPr>
      </w:pPr>
    </w:p>
    <w:tbl>
      <w:tblPr>
        <w:tblLayout w:type="fixed"/>
        <w:tblInd w:w="2" w:type="dxa"/>
        <w:tblCellMar>
          <w:top w:w="0" w:type="dxa"/>
          <w:left w:w="0" w:type="dxa"/>
          <w:bottom w:w="0" w:type="dxa"/>
          <w:right w:w="0" w:type="dxa"/>
        </w:tblCellMar>
      </w:tblPr>
      <w:tr>
        <w:trPr>
          <w:trHeight w:val="236"/>
        </w:trPr>
        <w:tc>
          <w:tcPr>
            <w:tcW w:w="2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99"/>
              </w:rPr>
              <w:t>Assumptions</w:t>
            </w:r>
          </w:p>
        </w:tc>
        <w:tc>
          <w:tcPr>
            <w:tcW w:w="9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jc w:val="center"/>
              <w:ind w:right="380"/>
              <w:spacing w:after="0" w:line="189" w:lineRule="exact"/>
              <w:rPr>
                <w:sz w:val="20"/>
                <w:szCs w:val="20"/>
                <w:color w:val="auto"/>
              </w:rPr>
            </w:pPr>
            <w:r>
              <w:rPr>
                <w:rFonts w:ascii="Times New Roman" w:cs="Times New Roman" w:eastAsia="Times New Roman" w:hAnsi="Times New Roman"/>
                <w:sz w:val="18"/>
                <w:szCs w:val="18"/>
                <w:color w:val="auto"/>
                <w:w w:val="97"/>
              </w:rPr>
              <w:t>Weighted-</w:t>
            </w: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Average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8"/>
              </w:rPr>
              <w:t>Average</w:t>
            </w:r>
          </w:p>
        </w:tc>
        <w:tc>
          <w:tcPr>
            <w:tcW w:w="10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6"/>
              </w:rPr>
              <w:t>Fair Value</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Expected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Weighted-</w:t>
            </w: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Risk-Free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of Each</w:t>
            </w: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5"/>
              </w:rPr>
              <w:t>Dividend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9"/>
              </w:rPr>
              <w:t>Underlying</w:t>
            </w: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Average</w:t>
            </w: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Interest</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Expected</w:t>
            </w:r>
          </w:p>
        </w:tc>
        <w:tc>
          <w:tcPr>
            <w:tcW w:w="0" w:type="dxa"/>
            <w:vAlign w:val="bottom"/>
          </w:tcPr>
          <w:p>
            <w:pPr>
              <w:spacing w:after="0"/>
              <w:rPr>
                <w:sz w:val="1"/>
                <w:szCs w:val="1"/>
                <w:color w:val="auto"/>
              </w:rPr>
            </w:pPr>
          </w:p>
        </w:tc>
      </w:tr>
      <w:tr>
        <w:trPr>
          <w:trHeight w:val="236"/>
        </w:trPr>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Grant Date</w:t>
            </w:r>
          </w:p>
        </w:tc>
        <w:tc>
          <w:tcPr>
            <w:tcW w:w="200" w:type="dxa"/>
            <w:vAlign w:val="bottom"/>
            <w:tcBorders>
              <w:bottom w:val="single" w:sz="8" w:color="DEDEDE"/>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Plan</w:t>
            </w:r>
          </w:p>
        </w:tc>
        <w:tc>
          <w:tcPr>
            <w:tcW w:w="200" w:type="dxa"/>
            <w:vAlign w:val="bottom"/>
            <w:tcBorders>
              <w:bottom w:val="single" w:sz="8" w:color="DEDED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Option</w:t>
            </w:r>
          </w:p>
        </w:tc>
        <w:tc>
          <w:tcPr>
            <w:tcW w:w="300" w:type="dxa"/>
            <w:vAlign w:val="bottom"/>
            <w:tcBorders>
              <w:bottom w:val="single" w:sz="8" w:color="DEDEDE"/>
            </w:tcBorders>
          </w:tcPr>
          <w:p>
            <w:pPr>
              <w:spacing w:after="0"/>
              <w:rPr>
                <w:sz w:val="20"/>
                <w:szCs w:val="20"/>
                <w:color w:val="auto"/>
              </w:rPr>
            </w:pP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7"/>
              </w:rPr>
              <w:t>Yield (1)</w:t>
            </w: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DEDEDE"/>
            </w:tcBorders>
          </w:tcPr>
          <w:p>
            <w:pPr>
              <w:spacing w:after="0"/>
              <w:rPr>
                <w:sz w:val="20"/>
                <w:szCs w:val="20"/>
                <w:color w:val="auto"/>
              </w:rPr>
            </w:pPr>
          </w:p>
        </w:tc>
        <w:tc>
          <w:tcPr>
            <w:tcW w:w="120" w:type="dxa"/>
            <w:vAlign w:val="bottom"/>
            <w:tcBorders>
              <w:bottom w:val="single" w:sz="8" w:color="DEDEDE"/>
            </w:tcBorders>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stock FMV</w:t>
            </w:r>
          </w:p>
        </w:tc>
        <w:tc>
          <w:tcPr>
            <w:tcW w:w="320" w:type="dxa"/>
            <w:vAlign w:val="bottom"/>
            <w:tcBorders>
              <w:bottom w:val="single" w:sz="8" w:color="DEDEDE"/>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Volatility</w:t>
            </w:r>
          </w:p>
        </w:tc>
        <w:tc>
          <w:tcPr>
            <w:tcW w:w="380" w:type="dxa"/>
            <w:vAlign w:val="bottom"/>
            <w:tcBorders>
              <w:bottom w:val="single" w:sz="8" w:color="DEDEDE"/>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Rate</w:t>
            </w:r>
          </w:p>
        </w:tc>
        <w:tc>
          <w:tcPr>
            <w:tcW w:w="380" w:type="dxa"/>
            <w:vAlign w:val="bottom"/>
            <w:tcBorders>
              <w:bottom w:val="single" w:sz="8" w:color="DEDEDE"/>
            </w:tcBorders>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Life (years)</w:t>
            </w:r>
          </w:p>
        </w:tc>
        <w:tc>
          <w:tcPr>
            <w:tcW w:w="120" w:type="dxa"/>
            <w:vAlign w:val="bottom"/>
            <w:tcBorders>
              <w:bottom w:val="single" w:sz="8" w:color="DEDED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4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9"/>
              </w:rPr>
              <w:t>December 5, 2025</w:t>
            </w:r>
          </w:p>
        </w:tc>
        <w:tc>
          <w:tcPr>
            <w:tcW w:w="200" w:type="dxa"/>
            <w:vAlign w:val="bottom"/>
            <w:shd w:val="clear" w:color="auto" w:fill="DEDEDE"/>
          </w:tcPr>
          <w:p>
            <w:pPr>
              <w:spacing w:after="0"/>
              <w:rPr>
                <w:sz w:val="18"/>
                <w:szCs w:val="18"/>
                <w:color w:val="auto"/>
              </w:rPr>
            </w:pPr>
          </w:p>
        </w:tc>
        <w:tc>
          <w:tcPr>
            <w:tcW w:w="130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9"/>
              </w:rPr>
              <w:t>All Plans</w:t>
            </w:r>
          </w:p>
        </w:tc>
        <w:tc>
          <w:tcPr>
            <w:tcW w:w="200" w:type="dxa"/>
            <w:vAlign w:val="bottom"/>
            <w:shd w:val="clear" w:color="auto" w:fill="DEDEDE"/>
          </w:tcPr>
          <w:p>
            <w:pPr>
              <w:spacing w:after="0"/>
              <w:rPr>
                <w:sz w:val="18"/>
                <w:szCs w:val="18"/>
                <w:color w:val="auto"/>
              </w:rPr>
            </w:pPr>
          </w:p>
        </w:tc>
        <w:tc>
          <w:tcPr>
            <w:tcW w:w="1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36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w w:val="99"/>
              </w:rPr>
              <w:t>5%</w:t>
            </w:r>
          </w:p>
        </w:tc>
        <w:tc>
          <w:tcPr>
            <w:tcW w:w="120" w:type="dxa"/>
            <w:vAlign w:val="bottom"/>
            <w:shd w:val="clear" w:color="auto" w:fill="DEDEDE"/>
          </w:tcPr>
          <w:p>
            <w:pPr>
              <w:spacing w:after="0"/>
              <w:rPr>
                <w:sz w:val="18"/>
                <w:szCs w:val="18"/>
                <w:color w:val="auto"/>
              </w:rPr>
            </w:pPr>
          </w:p>
        </w:tc>
        <w:tc>
          <w:tcPr>
            <w:tcW w:w="280" w:type="dxa"/>
            <w:vAlign w:val="bottom"/>
            <w:shd w:val="clear" w:color="auto" w:fill="DEDEDE"/>
          </w:tcPr>
          <w:p>
            <w:pPr>
              <w:jc w:val="right"/>
              <w:ind w:right="112"/>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320" w:type="dxa"/>
            <w:vAlign w:val="bottom"/>
            <w:shd w:val="clear" w:color="auto" w:fill="DEDEDE"/>
          </w:tcPr>
          <w:p>
            <w:pPr>
              <w:spacing w:after="0"/>
              <w:rPr>
                <w:sz w:val="18"/>
                <w:szCs w:val="18"/>
                <w:color w:val="auto"/>
              </w:rPr>
            </w:pPr>
          </w:p>
        </w:tc>
        <w:tc>
          <w:tcPr>
            <w:tcW w:w="126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35.93%</w:t>
            </w:r>
          </w:p>
        </w:tc>
        <w:tc>
          <w:tcPr>
            <w:tcW w:w="128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18"/>
                <w:szCs w:val="18"/>
                <w:color w:val="auto"/>
              </w:rPr>
              <w:t>3.71%</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DEDEDE"/>
          </w:tcPr>
          <w:p>
            <w:pPr>
              <w:jc w:val="center"/>
              <w:ind w:right="200"/>
              <w:spacing w:after="0"/>
              <w:rPr>
                <w:sz w:val="20"/>
                <w:szCs w:val="20"/>
                <w:color w:val="auto"/>
              </w:rPr>
            </w:pPr>
            <w:r>
              <w:rPr>
                <w:rFonts w:ascii="Times New Roman" w:cs="Times New Roman" w:eastAsia="Times New Roman" w:hAnsi="Times New Roman"/>
                <w:sz w:val="18"/>
                <w:szCs w:val="18"/>
                <w:color w:val="auto"/>
                <w:w w:val="99"/>
              </w:rPr>
              <w:t>March 21, 2025</w:t>
            </w:r>
          </w:p>
        </w:tc>
        <w:tc>
          <w:tcPr>
            <w:tcW w:w="130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9"/>
              </w:rPr>
              <w:t>All Plans</w:t>
            </w:r>
          </w:p>
        </w:tc>
        <w:tc>
          <w:tcPr>
            <w:tcW w:w="3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0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36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w w:val="99"/>
              </w:rPr>
              <w:t>5%</w:t>
            </w:r>
          </w:p>
        </w:tc>
        <w:tc>
          <w:tcPr>
            <w:tcW w:w="400" w:type="dxa"/>
            <w:vAlign w:val="bottom"/>
            <w:gridSpan w:val="2"/>
            <w:shd w:val="clear" w:color="auto" w:fill="DEDEDE"/>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320" w:type="dxa"/>
            <w:vAlign w:val="bottom"/>
            <w:shd w:val="clear" w:color="auto" w:fill="DEDEDE"/>
          </w:tcPr>
          <w:p>
            <w:pPr>
              <w:spacing w:after="0"/>
              <w:rPr>
                <w:sz w:val="18"/>
                <w:szCs w:val="18"/>
                <w:color w:val="auto"/>
              </w:rPr>
            </w:pPr>
          </w:p>
        </w:tc>
        <w:tc>
          <w:tcPr>
            <w:tcW w:w="126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38.26%</w:t>
            </w:r>
          </w:p>
        </w:tc>
        <w:tc>
          <w:tcPr>
            <w:tcW w:w="128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18"/>
                <w:szCs w:val="18"/>
                <w:color w:val="auto"/>
              </w:rPr>
              <w:t>3.98%</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DEDEDE"/>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9, 2025</w:t>
            </w:r>
          </w:p>
        </w:tc>
        <w:tc>
          <w:tcPr>
            <w:tcW w:w="130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9"/>
              </w:rPr>
              <w:t>All Plans</w:t>
            </w:r>
          </w:p>
        </w:tc>
        <w:tc>
          <w:tcPr>
            <w:tcW w:w="3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0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36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w w:val="99"/>
              </w:rPr>
              <w:t>5%</w:t>
            </w:r>
          </w:p>
        </w:tc>
        <w:tc>
          <w:tcPr>
            <w:tcW w:w="400" w:type="dxa"/>
            <w:vAlign w:val="bottom"/>
            <w:gridSpan w:val="2"/>
            <w:shd w:val="clear" w:color="auto" w:fill="DEDEDE"/>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320" w:type="dxa"/>
            <w:vAlign w:val="bottom"/>
            <w:shd w:val="clear" w:color="auto" w:fill="DEDEDE"/>
          </w:tcPr>
          <w:p>
            <w:pPr>
              <w:spacing w:after="0"/>
              <w:rPr>
                <w:sz w:val="18"/>
                <w:szCs w:val="18"/>
                <w:color w:val="auto"/>
              </w:rPr>
            </w:pPr>
          </w:p>
        </w:tc>
        <w:tc>
          <w:tcPr>
            <w:tcW w:w="126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38.44%</w:t>
            </w:r>
          </w:p>
        </w:tc>
        <w:tc>
          <w:tcPr>
            <w:tcW w:w="128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18"/>
                <w:szCs w:val="18"/>
                <w:color w:val="auto"/>
              </w:rPr>
              <w:t>4.43%</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DEDEDE"/>
          </w:tcPr>
          <w:p>
            <w:pPr>
              <w:jc w:val="center"/>
              <w:ind w:right="200"/>
              <w:spacing w:after="0"/>
              <w:rPr>
                <w:sz w:val="20"/>
                <w:szCs w:val="20"/>
                <w:color w:val="auto"/>
              </w:rPr>
            </w:pPr>
            <w:r>
              <w:rPr>
                <w:rFonts w:ascii="Times New Roman" w:cs="Times New Roman" w:eastAsia="Times New Roman" w:hAnsi="Times New Roman"/>
                <w:sz w:val="18"/>
                <w:szCs w:val="18"/>
                <w:color w:val="auto"/>
              </w:rPr>
              <w:t>December 26, 2024</w:t>
            </w:r>
          </w:p>
        </w:tc>
        <w:tc>
          <w:tcPr>
            <w:tcW w:w="130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9"/>
              </w:rPr>
              <w:t>All Plans</w:t>
            </w:r>
          </w:p>
        </w:tc>
        <w:tc>
          <w:tcPr>
            <w:tcW w:w="3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30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36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w w:val="99"/>
              </w:rPr>
              <w:t>5%</w:t>
            </w:r>
          </w:p>
        </w:tc>
        <w:tc>
          <w:tcPr>
            <w:tcW w:w="400" w:type="dxa"/>
            <w:vAlign w:val="bottom"/>
            <w:gridSpan w:val="2"/>
            <w:shd w:val="clear" w:color="auto" w:fill="DEDEDE"/>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320" w:type="dxa"/>
            <w:vAlign w:val="bottom"/>
            <w:shd w:val="clear" w:color="auto" w:fill="DEDEDE"/>
          </w:tcPr>
          <w:p>
            <w:pPr>
              <w:spacing w:after="0"/>
              <w:rPr>
                <w:sz w:val="18"/>
                <w:szCs w:val="18"/>
                <w:color w:val="auto"/>
              </w:rPr>
            </w:pPr>
          </w:p>
        </w:tc>
        <w:tc>
          <w:tcPr>
            <w:tcW w:w="126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38.41%</w:t>
            </w:r>
          </w:p>
        </w:tc>
        <w:tc>
          <w:tcPr>
            <w:tcW w:w="128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DEDEDE"/>
          </w:tcPr>
          <w:p>
            <w:pPr>
              <w:jc w:val="center"/>
              <w:ind w:right="220"/>
              <w:spacing w:after="0"/>
              <w:rPr>
                <w:sz w:val="20"/>
                <w:szCs w:val="20"/>
                <w:color w:val="auto"/>
              </w:rPr>
            </w:pPr>
            <w:r>
              <w:rPr>
                <w:rFonts w:ascii="Times New Roman" w:cs="Times New Roman" w:eastAsia="Times New Roman" w:hAnsi="Times New Roman"/>
                <w:sz w:val="18"/>
                <w:szCs w:val="18"/>
                <w:color w:val="auto"/>
                <w:w w:val="99"/>
              </w:rPr>
              <w:t>December 6, 2024</w:t>
            </w:r>
          </w:p>
        </w:tc>
        <w:tc>
          <w:tcPr>
            <w:tcW w:w="130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9"/>
              </w:rPr>
              <w:t>All Plans</w:t>
            </w:r>
          </w:p>
        </w:tc>
        <w:tc>
          <w:tcPr>
            <w:tcW w:w="3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0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36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w w:val="99"/>
              </w:rPr>
              <w:t>5%</w:t>
            </w:r>
          </w:p>
        </w:tc>
        <w:tc>
          <w:tcPr>
            <w:tcW w:w="400" w:type="dxa"/>
            <w:vAlign w:val="bottom"/>
            <w:gridSpan w:val="2"/>
            <w:shd w:val="clear" w:color="auto" w:fill="DEDEDE"/>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320" w:type="dxa"/>
            <w:vAlign w:val="bottom"/>
            <w:shd w:val="clear" w:color="auto" w:fill="DEDEDE"/>
          </w:tcPr>
          <w:p>
            <w:pPr>
              <w:spacing w:after="0"/>
              <w:rPr>
                <w:sz w:val="18"/>
                <w:szCs w:val="18"/>
                <w:color w:val="auto"/>
              </w:rPr>
            </w:pPr>
          </w:p>
        </w:tc>
        <w:tc>
          <w:tcPr>
            <w:tcW w:w="126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38.17%</w:t>
            </w:r>
          </w:p>
        </w:tc>
        <w:tc>
          <w:tcPr>
            <w:tcW w:w="128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18"/>
                <w:szCs w:val="18"/>
                <w:color w:val="auto"/>
              </w:rPr>
              <w:t>4.00%</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DEDEDE"/>
          </w:tcPr>
          <w:p>
            <w:pPr>
              <w:jc w:val="center"/>
              <w:ind w:right="220"/>
              <w:spacing w:after="0"/>
              <w:rPr>
                <w:sz w:val="20"/>
                <w:szCs w:val="20"/>
                <w:color w:val="auto"/>
              </w:rPr>
            </w:pPr>
            <w:r>
              <w:rPr>
                <w:rFonts w:ascii="Times New Roman" w:cs="Times New Roman" w:eastAsia="Times New Roman" w:hAnsi="Times New Roman"/>
                <w:sz w:val="18"/>
                <w:szCs w:val="18"/>
                <w:color w:val="auto"/>
              </w:rPr>
              <w:t>January 12, 2024</w:t>
            </w:r>
          </w:p>
        </w:tc>
        <w:tc>
          <w:tcPr>
            <w:tcW w:w="130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9"/>
              </w:rPr>
              <w:t>All Plans</w:t>
            </w:r>
          </w:p>
        </w:tc>
        <w:tc>
          <w:tcPr>
            <w:tcW w:w="3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DEDEDE"/>
          </w:tcPr>
          <w:p>
            <w:pPr>
              <w:jc w:val="right"/>
              <w:ind w:right="300"/>
              <w:spacing w:after="0"/>
              <w:rPr>
                <w:sz w:val="20"/>
                <w:szCs w:val="20"/>
                <w:color w:val="auto"/>
              </w:rPr>
            </w:pPr>
            <w:r>
              <w:rPr>
                <w:rFonts w:ascii="Times New Roman" w:cs="Times New Roman" w:eastAsia="Times New Roman" w:hAnsi="Times New Roman"/>
                <w:sz w:val="18"/>
                <w:szCs w:val="18"/>
                <w:color w:val="auto"/>
              </w:rPr>
              <w:t>2.01</w:t>
            </w:r>
          </w:p>
        </w:tc>
        <w:tc>
          <w:tcPr>
            <w:tcW w:w="780" w:type="dxa"/>
            <w:vAlign w:val="bottom"/>
            <w:shd w:val="clear" w:color="auto" w:fill="DEDEDE"/>
          </w:tcPr>
          <w:p>
            <w:pPr>
              <w:spacing w:after="0"/>
              <w:rPr>
                <w:sz w:val="18"/>
                <w:szCs w:val="18"/>
                <w:color w:val="auto"/>
              </w:rPr>
            </w:pPr>
          </w:p>
        </w:tc>
        <w:tc>
          <w:tcPr>
            <w:tcW w:w="36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w w:val="99"/>
              </w:rPr>
              <w:t>5%</w:t>
            </w:r>
          </w:p>
        </w:tc>
        <w:tc>
          <w:tcPr>
            <w:tcW w:w="400" w:type="dxa"/>
            <w:vAlign w:val="bottom"/>
            <w:gridSpan w:val="2"/>
            <w:shd w:val="clear" w:color="auto" w:fill="DEDEDE"/>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DEDEDE"/>
          </w:tcPr>
          <w:p>
            <w:pPr>
              <w:jc w:val="right"/>
              <w:ind w:right="320"/>
              <w:spacing w:after="0"/>
              <w:rPr>
                <w:sz w:val="20"/>
                <w:szCs w:val="20"/>
                <w:color w:val="auto"/>
              </w:rPr>
            </w:pPr>
            <w:r>
              <w:rPr>
                <w:rFonts w:ascii="Times New Roman" w:cs="Times New Roman" w:eastAsia="Times New Roman" w:hAnsi="Times New Roman"/>
                <w:sz w:val="18"/>
                <w:szCs w:val="18"/>
                <w:color w:val="auto"/>
              </w:rPr>
              <w:t>8.35</w:t>
            </w:r>
          </w:p>
        </w:tc>
        <w:tc>
          <w:tcPr>
            <w:tcW w:w="126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37.51%</w:t>
            </w:r>
          </w:p>
        </w:tc>
        <w:tc>
          <w:tcPr>
            <w:tcW w:w="128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18"/>
                <w:szCs w:val="18"/>
                <w:color w:val="auto"/>
              </w:rPr>
              <w:t>3.81%</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DEDEDE"/>
          </w:tcPr>
          <w:p>
            <w:pPr>
              <w:jc w:val="center"/>
              <w:ind w:right="200"/>
              <w:spacing w:after="0"/>
              <w:rPr>
                <w:sz w:val="20"/>
                <w:szCs w:val="20"/>
                <w:color w:val="auto"/>
              </w:rPr>
            </w:pPr>
            <w:r>
              <w:rPr>
                <w:rFonts w:ascii="Times New Roman" w:cs="Times New Roman" w:eastAsia="Times New Roman" w:hAnsi="Times New Roman"/>
                <w:sz w:val="18"/>
                <w:szCs w:val="18"/>
                <w:color w:val="auto"/>
                <w:w w:val="99"/>
              </w:rPr>
              <w:t>January 8, 2024</w:t>
            </w:r>
          </w:p>
        </w:tc>
        <w:tc>
          <w:tcPr>
            <w:tcW w:w="130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9"/>
              </w:rPr>
              <w:t>All Plans</w:t>
            </w:r>
          </w:p>
        </w:tc>
        <w:tc>
          <w:tcPr>
            <w:tcW w:w="320" w:type="dxa"/>
            <w:vAlign w:val="bottom"/>
            <w:gridSpan w:val="2"/>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00" w:type="dxa"/>
            <w:vAlign w:val="bottom"/>
            <w:shd w:val="clear" w:color="auto" w:fill="DEDEDE"/>
          </w:tcPr>
          <w:p>
            <w:pPr>
              <w:spacing w:after="0"/>
              <w:rPr>
                <w:sz w:val="18"/>
                <w:szCs w:val="18"/>
                <w:color w:val="auto"/>
              </w:rPr>
            </w:pPr>
          </w:p>
        </w:tc>
        <w:tc>
          <w:tcPr>
            <w:tcW w:w="780" w:type="dxa"/>
            <w:vAlign w:val="bottom"/>
            <w:shd w:val="clear" w:color="auto" w:fill="DEDEDE"/>
          </w:tcPr>
          <w:p>
            <w:pPr>
              <w:spacing w:after="0"/>
              <w:rPr>
                <w:sz w:val="18"/>
                <w:szCs w:val="18"/>
                <w:color w:val="auto"/>
              </w:rPr>
            </w:pPr>
          </w:p>
        </w:tc>
        <w:tc>
          <w:tcPr>
            <w:tcW w:w="360" w:type="dxa"/>
            <w:vAlign w:val="bottom"/>
            <w:gridSpan w:val="2"/>
            <w:shd w:val="clear" w:color="auto" w:fill="DEDEDE"/>
          </w:tcPr>
          <w:p>
            <w:pPr>
              <w:jc w:val="right"/>
              <w:ind w:right="100"/>
              <w:spacing w:after="0"/>
              <w:rPr>
                <w:sz w:val="20"/>
                <w:szCs w:val="20"/>
                <w:color w:val="auto"/>
              </w:rPr>
            </w:pPr>
            <w:r>
              <w:rPr>
                <w:rFonts w:ascii="Times New Roman" w:cs="Times New Roman" w:eastAsia="Times New Roman" w:hAnsi="Times New Roman"/>
                <w:sz w:val="18"/>
                <w:szCs w:val="18"/>
                <w:color w:val="auto"/>
                <w:w w:val="99"/>
              </w:rPr>
              <w:t>5%</w:t>
            </w:r>
          </w:p>
        </w:tc>
        <w:tc>
          <w:tcPr>
            <w:tcW w:w="400" w:type="dxa"/>
            <w:vAlign w:val="bottom"/>
            <w:gridSpan w:val="2"/>
            <w:shd w:val="clear" w:color="auto" w:fill="DEDEDE"/>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320" w:type="dxa"/>
            <w:vAlign w:val="bottom"/>
            <w:shd w:val="clear" w:color="auto" w:fill="DEDEDE"/>
          </w:tcPr>
          <w:p>
            <w:pPr>
              <w:spacing w:after="0"/>
              <w:rPr>
                <w:sz w:val="18"/>
                <w:szCs w:val="18"/>
                <w:color w:val="auto"/>
              </w:rPr>
            </w:pPr>
          </w:p>
        </w:tc>
        <w:tc>
          <w:tcPr>
            <w:tcW w:w="1260" w:type="dxa"/>
            <w:vAlign w:val="bottom"/>
            <w:gridSpan w:val="2"/>
            <w:shd w:val="clear" w:color="auto" w:fill="DEDEDE"/>
          </w:tcPr>
          <w:p>
            <w:pPr>
              <w:jc w:val="right"/>
              <w:ind w:right="220"/>
              <w:spacing w:after="0"/>
              <w:rPr>
                <w:sz w:val="20"/>
                <w:szCs w:val="20"/>
                <w:color w:val="auto"/>
              </w:rPr>
            </w:pPr>
            <w:r>
              <w:rPr>
                <w:rFonts w:ascii="Times New Roman" w:cs="Times New Roman" w:eastAsia="Times New Roman" w:hAnsi="Times New Roman"/>
                <w:sz w:val="18"/>
                <w:szCs w:val="18"/>
                <w:color w:val="auto"/>
              </w:rPr>
              <w:t>37.50%</w:t>
            </w:r>
          </w:p>
        </w:tc>
        <w:tc>
          <w:tcPr>
            <w:tcW w:w="1280" w:type="dxa"/>
            <w:vAlign w:val="bottom"/>
            <w:gridSpan w:val="2"/>
            <w:shd w:val="clear" w:color="auto" w:fill="DEDEDE"/>
          </w:tcPr>
          <w:p>
            <w:pPr>
              <w:jc w:val="right"/>
              <w:ind w:right="240"/>
              <w:spacing w:after="0"/>
              <w:rPr>
                <w:sz w:val="20"/>
                <w:szCs w:val="20"/>
                <w:color w:val="auto"/>
              </w:rPr>
            </w:pPr>
            <w:r>
              <w:rPr>
                <w:rFonts w:ascii="Times New Roman" w:cs="Times New Roman" w:eastAsia="Times New Roman" w:hAnsi="Times New Roman"/>
                <w:sz w:val="18"/>
                <w:szCs w:val="18"/>
                <w:color w:val="auto"/>
              </w:rPr>
              <w:t>3.93%</w:t>
            </w:r>
          </w:p>
        </w:tc>
        <w:tc>
          <w:tcPr>
            <w:tcW w:w="8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shd w:val="clear" w:color="auto" w:fill="DEDED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(1) Stock dividend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99</w:t>
      </w:r>
    </w:p>
    <w:p>
      <w:pPr>
        <w:sectPr>
          <w:pgSz w:w="12240" w:h="15840" w:orient="portrait"/>
          <w:cols w:equalWidth="0" w:num="1">
            <w:col w:w="11242"/>
          </w:cols>
          <w:pgMar w:left="498" w:top="687" w:right="500" w:bottom="0" w:gutter="0" w:footer="0" w:header="0"/>
        </w:sectPr>
      </w:pPr>
    </w:p>
    <w:bookmarkStart w:id="127" w:name="page128"/>
    <w:bookmarkEnd w:id="127"/>
    <w:p>
      <w:pPr>
        <w:jc w:val="center"/>
        <w:ind w:left="3202"/>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left="3202"/>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left="3202"/>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left="3202"/>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2" w:right="2940" w:hanging="2"/>
        <w:spacing w:after="0" w:line="500" w:lineRule="auto"/>
        <w:tabs>
          <w:tab w:leader="none" w:pos="65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 and Retirement Plans</w:t>
      </w:r>
      <w:r>
        <w:rPr>
          <w:rFonts w:ascii="Times New Roman" w:cs="Times New Roman" w:eastAsia="Times New Roman" w:hAnsi="Times New Roman"/>
          <w:sz w:val="18"/>
          <w:szCs w:val="18"/>
          <w:color w:val="auto"/>
        </w:rPr>
        <w:t xml:space="preserve"> (Continued) The activity of the Plans is summarized as follows:</w:t>
      </w:r>
    </w:p>
    <w:p>
      <w:pPr>
        <w:spacing w:after="0" w:line="1" w:lineRule="exact"/>
        <w:rPr>
          <w:sz w:val="20"/>
          <w:szCs w:val="20"/>
          <w:color w:val="auto"/>
        </w:rPr>
      </w:pPr>
    </w:p>
    <w:tbl>
      <w:tblPr>
        <w:tblLayout w:type="fixed"/>
        <w:tblInd w:w="2"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Class A</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Exercise</w:t>
            </w:r>
          </w:p>
        </w:tc>
        <w:tc>
          <w:tcPr>
            <w:tcW w:w="0" w:type="dxa"/>
            <w:vAlign w:val="bottom"/>
          </w:tcPr>
          <w:p>
            <w:pPr>
              <w:spacing w:after="0"/>
              <w:rPr>
                <w:sz w:val="1"/>
                <w:szCs w:val="1"/>
                <w:color w:val="auto"/>
              </w:rPr>
            </w:pPr>
          </w:p>
        </w:tc>
      </w:tr>
      <w:tr>
        <w:trPr>
          <w:trHeight w:val="235"/>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Price (2)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180" w:type="dxa"/>
            <w:vAlign w:val="bottom"/>
            <w:vMerge w:val="continue"/>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833,570</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Adjustment for the effect of stock dividends</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80" w:type="dxa"/>
            <w:vAlign w:val="bottom"/>
            <w:vMerge w:val="continue"/>
          </w:tcPr>
          <w:p>
            <w:pPr>
              <w:spacing w:after="0"/>
              <w:rPr>
                <w:sz w:val="15"/>
                <w:szCs w:val="15"/>
                <w:color w:val="auto"/>
              </w:rPr>
            </w:pPr>
          </w:p>
        </w:tc>
        <w:tc>
          <w:tcPr>
            <w:tcW w:w="12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38,724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(267,491)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(17,409)</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646,594</w:t>
            </w:r>
          </w:p>
        </w:tc>
        <w:tc>
          <w:tcPr>
            <w:tcW w:w="2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Adjustment for the effect of stock dividends</w:t>
            </w: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80" w:type="dxa"/>
            <w:vAlign w:val="bottom"/>
            <w:vMerge w:val="continue"/>
          </w:tcPr>
          <w:p>
            <w:pPr>
              <w:spacing w:after="0"/>
              <w:rPr>
                <w:sz w:val="15"/>
                <w:szCs w:val="15"/>
                <w:color w:val="auto"/>
              </w:rPr>
            </w:pPr>
          </w:p>
        </w:tc>
        <w:tc>
          <w:tcPr>
            <w:tcW w:w="126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27,898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(162,467)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Cancelled</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(35,894)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-1627505</wp:posOffset>
                </wp:positionV>
                <wp:extent cx="7132320" cy="17145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2320" cy="171450"/>
                        </a:xfrm>
                        <a:prstGeom prst="rect">
                          <a:avLst/>
                        </a:prstGeom>
                        <a:solidFill>
                          <a:srgbClr val="DEDEDE"/>
                        </a:solidFill>
                      </wps:spPr>
                      <wps:bodyPr/>
                    </wps:wsp>
                  </a:graphicData>
                </a:graphic>
              </wp:anchor>
            </w:drawing>
          </mc:Choice>
          <mc:Fallback>
            <w:pict>
              <v:rect id="Shape 195" o:spid="_x0000_s1220" style="position:absolute;margin-left:0pt;margin-top:-128.1499pt;width:561.6pt;height: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-1301750</wp:posOffset>
                </wp:positionV>
                <wp:extent cx="7132320" cy="13716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2320" cy="137160"/>
                        </a:xfrm>
                        <a:prstGeom prst="rect">
                          <a:avLst/>
                        </a:prstGeom>
                        <a:solidFill>
                          <a:srgbClr val="DEDEDE"/>
                        </a:solidFill>
                      </wps:spPr>
                      <wps:bodyPr/>
                    </wps:wsp>
                  </a:graphicData>
                </a:graphic>
              </wp:anchor>
            </w:drawing>
          </mc:Choice>
          <mc:Fallback>
            <w:pict>
              <v:rect id="Shape 196" o:spid="_x0000_s1221" style="position:absolute;margin-left:0pt;margin-top:-102.4999pt;width:561.6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-1027430</wp:posOffset>
                </wp:positionV>
                <wp:extent cx="7132320" cy="145415"/>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2320" cy="145415"/>
                        </a:xfrm>
                        <a:prstGeom prst="rect">
                          <a:avLst/>
                        </a:prstGeom>
                        <a:solidFill>
                          <a:srgbClr val="DEDEDE"/>
                        </a:solidFill>
                      </wps:spPr>
                      <wps:bodyPr/>
                    </wps:wsp>
                  </a:graphicData>
                </a:graphic>
              </wp:anchor>
            </w:drawing>
          </mc:Choice>
          <mc:Fallback>
            <w:pict>
              <v:rect id="Shape 197" o:spid="_x0000_s1222" style="position:absolute;margin-left:0pt;margin-top:-80.8999pt;width:561.6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-735965</wp:posOffset>
                </wp:positionV>
                <wp:extent cx="7132320" cy="16256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2320" cy="162560"/>
                        </a:xfrm>
                        <a:prstGeom prst="rect">
                          <a:avLst/>
                        </a:prstGeom>
                        <a:solidFill>
                          <a:srgbClr val="DEDEDE"/>
                        </a:solidFill>
                      </wps:spPr>
                      <wps:bodyPr/>
                    </wps:wsp>
                  </a:graphicData>
                </a:graphic>
              </wp:anchor>
            </w:drawing>
          </mc:Choice>
          <mc:Fallback>
            <w:pict>
              <v:rect id="Shape 198" o:spid="_x0000_s1223" style="position:absolute;margin-left:0pt;margin-top:-57.9499pt;width:561.6pt;height:12.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-419100</wp:posOffset>
                </wp:positionV>
                <wp:extent cx="7132320" cy="13716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2320" cy="137160"/>
                        </a:xfrm>
                        <a:prstGeom prst="rect">
                          <a:avLst/>
                        </a:prstGeom>
                        <a:solidFill>
                          <a:srgbClr val="DEDEDE"/>
                        </a:solidFill>
                      </wps:spPr>
                      <wps:bodyPr/>
                    </wps:wsp>
                  </a:graphicData>
                </a:graphic>
              </wp:anchor>
            </w:drawing>
          </mc:Choice>
          <mc:Fallback>
            <w:pict>
              <v:rect id="Shape 199" o:spid="_x0000_s1224" style="position:absolute;margin-left:0pt;margin-top:-33pt;width:561.6pt;height:10.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-144780</wp:posOffset>
                </wp:positionV>
                <wp:extent cx="7132320" cy="145415"/>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32320" cy="145415"/>
                        </a:xfrm>
                        <a:prstGeom prst="rect">
                          <a:avLst/>
                        </a:prstGeom>
                        <a:solidFill>
                          <a:srgbClr val="DEDEDE"/>
                        </a:solidFill>
                      </wps:spPr>
                      <wps:bodyPr/>
                    </wps:wsp>
                  </a:graphicData>
                </a:graphic>
              </wp:anchor>
            </w:drawing>
          </mc:Choice>
          <mc:Fallback>
            <w:pict>
              <v:rect id="Shape 200" o:spid="_x0000_s1225" style="position:absolute;margin-left:0pt;margin-top:-11.3999pt;width:561.6pt;height:11.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mc:AlternateContent>
          <mc:Choice Requires="wps">
            <w:drawing>
              <wp:anchor simplePos="0" relativeHeight="251657728" behindDoc="1" locked="0" layoutInCell="0" allowOverlap="1">
                <wp:simplePos x="0" y="0"/>
                <wp:positionH relativeFrom="column">
                  <wp:posOffset>3291840</wp:posOffset>
                </wp:positionH>
                <wp:positionV relativeFrom="paragraph">
                  <wp:posOffset>5080</wp:posOffset>
                </wp:positionV>
                <wp:extent cx="796925" cy="0"/>
                <wp:wrapNone/>
                <wp:docPr id="201" name="Shape 2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6925"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201" o:spid="_x0000_s122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2pt,0.4pt" to="321.95pt,0.4pt" o:allowincell="f" strokecolor="#000000" strokeweight="0.675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Weighted</w:t>
            </w:r>
          </w:p>
        </w:tc>
      </w:tr>
      <w:tr>
        <w:trPr>
          <w:trHeight w:val="216"/>
        </w:trPr>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Number of</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5"/>
              </w:rPr>
              <w:t>Average</w:t>
            </w:r>
          </w:p>
        </w:tc>
      </w:tr>
      <w:tr>
        <w:trPr>
          <w:trHeight w:val="216"/>
        </w:trPr>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Class C</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Exercise</w:t>
            </w:r>
          </w:p>
        </w:tc>
      </w:tr>
      <w:tr>
        <w:trPr>
          <w:trHeight w:val="235"/>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Price (2)</w:t>
            </w:r>
          </w:p>
        </w:tc>
      </w:tr>
      <w:tr>
        <w:trPr>
          <w:trHeight w:val="237"/>
        </w:trPr>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1,520,062</w:t>
            </w:r>
          </w:p>
        </w:tc>
        <w:tc>
          <w:tcPr>
            <w:tcW w:w="140" w:type="dxa"/>
            <w:vAlign w:val="bottom"/>
          </w:tcPr>
          <w:p>
            <w:pPr>
              <w:spacing w:after="0"/>
              <w:rPr>
                <w:sz w:val="20"/>
                <w:szCs w:val="20"/>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r>
      <w:tr>
        <w:trPr>
          <w:trHeight w:val="20"/>
        </w:trPr>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7"/>
        </w:trPr>
        <w:tc>
          <w:tcPr>
            <w:tcW w:w="12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76,005</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6"/>
        </w:trPr>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(201,667)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5"/>
        </w:trPr>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3"/>
        </w:trPr>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1,724,400</w:t>
            </w:r>
          </w:p>
        </w:tc>
        <w:tc>
          <w:tcPr>
            <w:tcW w:w="200" w:type="dxa"/>
            <w:vAlign w:val="bottom"/>
          </w:tcPr>
          <w:p>
            <w:pPr>
              <w:spacing w:after="0"/>
              <w:rPr>
                <w:sz w:val="24"/>
                <w:szCs w:val="24"/>
                <w:color w:val="auto"/>
              </w:rPr>
            </w:pP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77"/>
        </w:trPr>
        <w:tc>
          <w:tcPr>
            <w:tcW w:w="12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80,571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ind w:left="640"/>
        <w:spacing w:after="0"/>
        <w:rPr>
          <w:sz w:val="20"/>
          <w:szCs w:val="20"/>
          <w:color w:val="auto"/>
        </w:rPr>
      </w:pPr>
      <w:r>
        <w:rPr>
          <w:rFonts w:ascii="Times New Roman" w:cs="Times New Roman" w:eastAsia="Times New Roman" w:hAnsi="Times New Roman"/>
          <w:sz w:val="18"/>
          <w:szCs w:val="18"/>
          <w:color w:val="auto"/>
        </w:rPr>
        <w:t>674,343</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(113,023)</w:t>
      </w:r>
    </w:p>
    <w:p>
      <w:pPr>
        <w:spacing w:after="0" w:line="2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wp:posOffset>
                </wp:positionH>
                <wp:positionV relativeFrom="paragraph">
                  <wp:posOffset>22860</wp:posOffset>
                </wp:positionV>
                <wp:extent cx="779780"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97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05pt,1.8pt" to="61.45pt,1.8pt" o:allowincell="f" strokecolor="#000000" strokeweight="0.675pt"/>
            </w:pict>
          </mc:Fallback>
        </mc:AlternateContent>
      </w:r>
    </w:p>
    <w:p>
      <w:pPr>
        <w:spacing w:after="0" w:line="228" w:lineRule="exact"/>
        <w:rPr>
          <w:sz w:val="20"/>
          <w:szCs w:val="20"/>
          <w:color w:val="auto"/>
        </w:rPr>
      </w:pPr>
    </w:p>
    <w:p>
      <w:pPr>
        <w:sectPr>
          <w:pgSz w:w="12240" w:h="15840" w:orient="portrait"/>
          <w:cols w:equalWidth="0" w:num="2">
            <w:col w:w="8022" w:space="320"/>
            <w:col w:w="2900"/>
          </w:cols>
          <w:pgMar w:left="498" w:top="687" w:right="500" w:bottom="0" w:gutter="0" w:footer="0" w:header="0"/>
        </w:sectPr>
      </w:pPr>
    </w:p>
    <w:p>
      <w:pPr>
        <w:spacing w:after="0" w:line="10" w:lineRule="exact"/>
        <w:rPr>
          <w:sz w:val="20"/>
          <w:szCs w:val="20"/>
          <w:color w:val="auto"/>
        </w:rPr>
      </w:pPr>
    </w:p>
    <w:tbl>
      <w:tblPr>
        <w:tblLayout w:type="fixed"/>
        <w:tblInd w:w="2" w:type="dxa"/>
        <w:tblCellMar>
          <w:top w:w="0" w:type="dxa"/>
          <w:left w:w="0" w:type="dxa"/>
          <w:bottom w:w="0" w:type="dxa"/>
          <w:right w:w="0" w:type="dxa"/>
        </w:tblCellMar>
      </w:tblPr>
      <w:tr>
        <w:trPr>
          <w:trHeight w:val="21"/>
        </w:trPr>
        <w:tc>
          <w:tcPr>
            <w:tcW w:w="2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200" w:type="dxa"/>
            <w:vAlign w:val="bottom"/>
            <w:tcBorders>
              <w:bottom w:val="single" w:sz="8" w:color="DEDEDE"/>
            </w:tcBorders>
            <w:shd w:val="clear" w:color="auto" w:fill="DEDEDE"/>
          </w:tcPr>
          <w:p>
            <w:pPr>
              <w:spacing w:after="0"/>
              <w:rPr>
                <w:sz w:val="21"/>
                <w:szCs w:val="21"/>
                <w:color w:val="auto"/>
              </w:rPr>
            </w:pPr>
          </w:p>
        </w:tc>
        <w:tc>
          <w:tcPr>
            <w:tcW w:w="300" w:type="dxa"/>
            <w:vAlign w:val="bottom"/>
            <w:tcBorders>
              <w:bottom w:val="single" w:sz="8" w:color="auto"/>
            </w:tcBorders>
            <w:shd w:val="clear" w:color="auto" w:fill="DEDEDE"/>
          </w:tcPr>
          <w:p>
            <w:pPr>
              <w:spacing w:after="0"/>
              <w:rPr>
                <w:sz w:val="21"/>
                <w:szCs w:val="21"/>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760,838</w:t>
            </w:r>
          </w:p>
        </w:tc>
        <w:tc>
          <w:tcPr>
            <w:tcW w:w="840" w:type="dxa"/>
            <w:vAlign w:val="bottom"/>
            <w:tcBorders>
              <w:bottom w:val="single" w:sz="8" w:color="DEDEDE"/>
            </w:tcBorders>
            <w:shd w:val="clear" w:color="auto" w:fill="DEDED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DEDEDE"/>
            </w:tcBorders>
            <w:shd w:val="clear" w:color="auto" w:fill="DEDEDE"/>
          </w:tcPr>
          <w:p>
            <w:pPr>
              <w:jc w:val="right"/>
              <w:ind w:right="70"/>
              <w:spacing w:after="0"/>
              <w:rPr>
                <w:sz w:val="20"/>
                <w:szCs w:val="20"/>
                <w:color w:val="auto"/>
              </w:rPr>
            </w:pPr>
            <w:r>
              <w:rPr>
                <w:rFonts w:ascii="Times New Roman" w:cs="Times New Roman" w:eastAsia="Times New Roman" w:hAnsi="Times New Roman"/>
                <w:sz w:val="18"/>
                <w:szCs w:val="18"/>
                <w:color w:val="auto"/>
              </w:rPr>
              <w:t>6.85</w:t>
            </w:r>
          </w:p>
        </w:tc>
        <w:tc>
          <w:tcPr>
            <w:tcW w:w="160" w:type="dxa"/>
            <w:vAlign w:val="bottom"/>
            <w:tcBorders>
              <w:bottom w:val="single" w:sz="8" w:color="DEDEDE"/>
            </w:tcBorders>
            <w:shd w:val="clear" w:color="auto" w:fill="DEDEDE"/>
          </w:tcPr>
          <w:p>
            <w:pPr>
              <w:spacing w:after="0"/>
              <w:rPr>
                <w:sz w:val="21"/>
                <w:szCs w:val="21"/>
                <w:color w:val="auto"/>
              </w:rPr>
            </w:pPr>
          </w:p>
        </w:tc>
        <w:tc>
          <w:tcPr>
            <w:tcW w:w="280" w:type="dxa"/>
            <w:vAlign w:val="bottom"/>
            <w:tcBorders>
              <w:bottom w:val="single" w:sz="8" w:color="auto"/>
            </w:tcBorders>
            <w:shd w:val="clear" w:color="auto" w:fill="DEDEDE"/>
          </w:tcPr>
          <w:p>
            <w:pPr>
              <w:spacing w:after="0"/>
              <w:rPr>
                <w:sz w:val="21"/>
                <w:szCs w:val="21"/>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2,366,291</w:t>
            </w:r>
          </w:p>
        </w:tc>
        <w:tc>
          <w:tcPr>
            <w:tcW w:w="840" w:type="dxa"/>
            <w:vAlign w:val="bottom"/>
            <w:tcBorders>
              <w:bottom w:val="single" w:sz="8" w:color="DEDEDE"/>
            </w:tcBorders>
            <w:shd w:val="clear" w:color="auto" w:fill="DEDEDE"/>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DEDEDE"/>
            </w:tcBorders>
            <w:shd w:val="clear" w:color="auto" w:fill="DEDEDE"/>
          </w:tcPr>
          <w:p>
            <w:pPr>
              <w:jc w:val="right"/>
              <w:ind w:right="30"/>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200" w:type="dxa"/>
            <w:vAlign w:val="bottom"/>
            <w:tcBorders>
              <w:bottom w:val="single" w:sz="8" w:color="DEDEDE"/>
            </w:tcBorders>
            <w:shd w:val="clear" w:color="auto" w:fill="DEDEDE"/>
          </w:tcPr>
          <w:p>
            <w:pPr>
              <w:spacing w:after="0"/>
              <w:rPr>
                <w:sz w:val="21"/>
                <w:szCs w:val="21"/>
                <w:color w:val="auto"/>
              </w:rPr>
            </w:pPr>
          </w:p>
        </w:tc>
        <w:tc>
          <w:tcPr>
            <w:tcW w:w="300" w:type="dxa"/>
            <w:vAlign w:val="bottom"/>
            <w:tcBorders>
              <w:bottom w:val="single" w:sz="8" w:color="auto"/>
            </w:tcBorders>
            <w:shd w:val="clear" w:color="auto" w:fill="DEDEDE"/>
          </w:tcPr>
          <w:p>
            <w:pPr>
              <w:spacing w:after="0"/>
              <w:rPr>
                <w:sz w:val="21"/>
                <w:szCs w:val="21"/>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494,756</w:t>
            </w:r>
          </w:p>
        </w:tc>
        <w:tc>
          <w:tcPr>
            <w:tcW w:w="840" w:type="dxa"/>
            <w:vAlign w:val="bottom"/>
            <w:tcBorders>
              <w:bottom w:val="single" w:sz="8" w:color="DEDEDE"/>
            </w:tcBorders>
            <w:shd w:val="clear" w:color="auto" w:fill="DEDEDE"/>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DEDEDE"/>
            </w:tcBorders>
            <w:shd w:val="clear" w:color="auto" w:fill="DEDEDE"/>
          </w:tcPr>
          <w:p>
            <w:pPr>
              <w:jc w:val="right"/>
              <w:ind w:right="70"/>
              <w:spacing w:after="0"/>
              <w:rPr>
                <w:sz w:val="20"/>
                <w:szCs w:val="20"/>
                <w:color w:val="auto"/>
              </w:rPr>
            </w:pPr>
            <w:r>
              <w:rPr>
                <w:rFonts w:ascii="Times New Roman" w:cs="Times New Roman" w:eastAsia="Times New Roman" w:hAnsi="Times New Roman"/>
                <w:sz w:val="18"/>
                <w:szCs w:val="18"/>
                <w:color w:val="auto"/>
              </w:rPr>
              <w:t>5.89</w:t>
            </w:r>
          </w:p>
        </w:tc>
        <w:tc>
          <w:tcPr>
            <w:tcW w:w="160" w:type="dxa"/>
            <w:vAlign w:val="bottom"/>
            <w:tcBorders>
              <w:bottom w:val="single" w:sz="8" w:color="DEDEDE"/>
            </w:tcBorders>
            <w:shd w:val="clear" w:color="auto" w:fill="DEDEDE"/>
          </w:tcPr>
          <w:p>
            <w:pPr>
              <w:spacing w:after="0"/>
              <w:rPr>
                <w:sz w:val="21"/>
                <w:szCs w:val="21"/>
                <w:color w:val="auto"/>
              </w:rPr>
            </w:pPr>
          </w:p>
        </w:tc>
        <w:tc>
          <w:tcPr>
            <w:tcW w:w="280" w:type="dxa"/>
            <w:vAlign w:val="bottom"/>
            <w:tcBorders>
              <w:bottom w:val="single" w:sz="8" w:color="auto"/>
            </w:tcBorders>
            <w:shd w:val="clear" w:color="auto" w:fill="DEDEDE"/>
          </w:tcPr>
          <w:p>
            <w:pPr>
              <w:spacing w:after="0"/>
              <w:rPr>
                <w:sz w:val="21"/>
                <w:szCs w:val="21"/>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1,691,948</w:t>
            </w:r>
          </w:p>
        </w:tc>
        <w:tc>
          <w:tcPr>
            <w:tcW w:w="840" w:type="dxa"/>
            <w:vAlign w:val="bottom"/>
            <w:tcBorders>
              <w:bottom w:val="single" w:sz="8" w:color="DEDEDE"/>
            </w:tcBorders>
            <w:shd w:val="clear" w:color="auto" w:fill="DEDEDE"/>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DEDEDE"/>
            </w:tcBorders>
            <w:shd w:val="clear" w:color="auto" w:fill="DEDEDE"/>
          </w:tcPr>
          <w:p>
            <w:pPr>
              <w:jc w:val="right"/>
              <w:ind w:right="3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96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Available options for future grant</w:t>
            </w:r>
          </w:p>
        </w:tc>
        <w:tc>
          <w:tcPr>
            <w:tcW w:w="200" w:type="dxa"/>
            <w:vAlign w:val="bottom"/>
            <w:tcBorders>
              <w:bottom w:val="single" w:sz="8" w:color="DEDEDE"/>
            </w:tcBorders>
            <w:shd w:val="clear" w:color="auto" w:fill="DEDEDE"/>
          </w:tcPr>
          <w:p>
            <w:pPr>
              <w:spacing w:after="0"/>
              <w:rPr>
                <w:sz w:val="21"/>
                <w:szCs w:val="21"/>
                <w:color w:val="auto"/>
              </w:rPr>
            </w:pPr>
          </w:p>
        </w:tc>
        <w:tc>
          <w:tcPr>
            <w:tcW w:w="300" w:type="dxa"/>
            <w:vAlign w:val="bottom"/>
            <w:tcBorders>
              <w:bottom w:val="single" w:sz="8" w:color="auto"/>
            </w:tcBorders>
            <w:shd w:val="clear" w:color="auto" w:fill="DEDEDE"/>
          </w:tcPr>
          <w:p>
            <w:pPr>
              <w:spacing w:after="0"/>
              <w:rPr>
                <w:sz w:val="21"/>
                <w:szCs w:val="21"/>
                <w:color w:val="auto"/>
              </w:rPr>
            </w:pPr>
          </w:p>
        </w:tc>
        <w:tc>
          <w:tcPr>
            <w:tcW w:w="9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1,903,835</w:t>
            </w:r>
          </w:p>
        </w:tc>
        <w:tc>
          <w:tcPr>
            <w:tcW w:w="840" w:type="dxa"/>
            <w:vAlign w:val="bottom"/>
            <w:tcBorders>
              <w:bottom w:val="single" w:sz="8" w:color="DEDEDE"/>
            </w:tcBorders>
            <w:shd w:val="clear" w:color="auto" w:fill="DEDEDE"/>
          </w:tcPr>
          <w:p>
            <w:pPr>
              <w:spacing w:after="0"/>
              <w:rPr>
                <w:sz w:val="21"/>
                <w:szCs w:val="21"/>
                <w:color w:val="auto"/>
              </w:rPr>
            </w:pPr>
          </w:p>
        </w:tc>
        <w:tc>
          <w:tcPr>
            <w:tcW w:w="900" w:type="dxa"/>
            <w:vAlign w:val="bottom"/>
            <w:tcBorders>
              <w:bottom w:val="single" w:sz="8" w:color="DEDEDE"/>
            </w:tcBorders>
            <w:shd w:val="clear" w:color="auto" w:fill="DEDEDE"/>
          </w:tcPr>
          <w:p>
            <w:pPr>
              <w:spacing w:after="0"/>
              <w:rPr>
                <w:sz w:val="21"/>
                <w:szCs w:val="21"/>
                <w:color w:val="auto"/>
              </w:rPr>
            </w:pPr>
          </w:p>
        </w:tc>
        <w:tc>
          <w:tcPr>
            <w:tcW w:w="160" w:type="dxa"/>
            <w:vAlign w:val="bottom"/>
            <w:tcBorders>
              <w:bottom w:val="single" w:sz="8" w:color="DEDEDE"/>
            </w:tcBorders>
            <w:shd w:val="clear" w:color="auto" w:fill="DEDEDE"/>
          </w:tcPr>
          <w:p>
            <w:pPr>
              <w:spacing w:after="0"/>
              <w:rPr>
                <w:sz w:val="21"/>
                <w:szCs w:val="21"/>
                <w:color w:val="auto"/>
              </w:rPr>
            </w:pPr>
          </w:p>
        </w:tc>
        <w:tc>
          <w:tcPr>
            <w:tcW w:w="280" w:type="dxa"/>
            <w:vAlign w:val="bottom"/>
            <w:tcBorders>
              <w:bottom w:val="single" w:sz="8" w:color="auto"/>
            </w:tcBorders>
            <w:shd w:val="clear" w:color="auto" w:fill="DEDEDE"/>
          </w:tcPr>
          <w:p>
            <w:pPr>
              <w:spacing w:after="0"/>
              <w:rPr>
                <w:sz w:val="21"/>
                <w:szCs w:val="21"/>
                <w:color w:val="auto"/>
              </w:rPr>
            </w:pPr>
          </w:p>
        </w:tc>
        <w:tc>
          <w:tcPr>
            <w:tcW w:w="9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840" w:type="dxa"/>
            <w:vAlign w:val="bottom"/>
            <w:tcBorders>
              <w:bottom w:val="single" w:sz="8" w:color="DEDEDE"/>
            </w:tcBorders>
            <w:shd w:val="clear" w:color="auto" w:fill="DEDEDE"/>
          </w:tcPr>
          <w:p>
            <w:pPr>
              <w:spacing w:after="0"/>
              <w:rPr>
                <w:sz w:val="21"/>
                <w:szCs w:val="21"/>
                <w:color w:val="auto"/>
              </w:rPr>
            </w:pPr>
          </w:p>
        </w:tc>
        <w:tc>
          <w:tcPr>
            <w:tcW w:w="840" w:type="dxa"/>
            <w:vAlign w:val="bottom"/>
            <w:tcBorders>
              <w:bottom w:val="single" w:sz="8" w:color="DEDEDE"/>
            </w:tcBorders>
            <w:shd w:val="clear" w:color="auto" w:fill="DEDED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960" w:type="dxa"/>
            <w:vAlign w:val="bottom"/>
            <w:shd w:val="clear" w:color="auto" w:fill="DEDEDE"/>
          </w:tcPr>
          <w:p>
            <w:pPr>
              <w:spacing w:after="0" w:line="195" w:lineRule="exact"/>
              <w:rPr>
                <w:sz w:val="20"/>
                <w:szCs w:val="20"/>
                <w:color w:val="auto"/>
              </w:rPr>
            </w:pPr>
            <w:r>
              <w:rPr>
                <w:rFonts w:ascii="Times New Roman" w:cs="Times New Roman" w:eastAsia="Times New Roman" w:hAnsi="Times New Roman"/>
                <w:sz w:val="18"/>
                <w:szCs w:val="18"/>
                <w:color w:val="auto"/>
              </w:rPr>
              <w:t>Weighted average contractual term of options outstanding at</w:t>
            </w:r>
          </w:p>
        </w:tc>
        <w:tc>
          <w:tcPr>
            <w:tcW w:w="200" w:type="dxa"/>
            <w:vAlign w:val="bottom"/>
            <w:shd w:val="clear" w:color="auto" w:fill="DEDEDE"/>
          </w:tcPr>
          <w:p>
            <w:pPr>
              <w:spacing w:after="0"/>
              <w:rPr>
                <w:sz w:val="16"/>
                <w:szCs w:val="16"/>
                <w:color w:val="auto"/>
              </w:rPr>
            </w:pPr>
          </w:p>
        </w:tc>
        <w:tc>
          <w:tcPr>
            <w:tcW w:w="300" w:type="dxa"/>
            <w:vAlign w:val="bottom"/>
            <w:shd w:val="clear" w:color="auto" w:fill="DEDEDE"/>
          </w:tcPr>
          <w:p>
            <w:pPr>
              <w:spacing w:after="0"/>
              <w:rPr>
                <w:sz w:val="16"/>
                <w:szCs w:val="16"/>
                <w:color w:val="auto"/>
              </w:rPr>
            </w:pPr>
          </w:p>
        </w:tc>
        <w:tc>
          <w:tcPr>
            <w:tcW w:w="960" w:type="dxa"/>
            <w:vAlign w:val="bottom"/>
            <w:shd w:val="clear" w:color="auto" w:fill="DEDEDE"/>
          </w:tcPr>
          <w:p>
            <w:pPr>
              <w:spacing w:after="0"/>
              <w:rPr>
                <w:sz w:val="16"/>
                <w:szCs w:val="16"/>
                <w:color w:val="auto"/>
              </w:rPr>
            </w:pPr>
          </w:p>
        </w:tc>
        <w:tc>
          <w:tcPr>
            <w:tcW w:w="840" w:type="dxa"/>
            <w:vAlign w:val="bottom"/>
            <w:shd w:val="clear" w:color="auto" w:fill="DEDEDE"/>
          </w:tcPr>
          <w:p>
            <w:pPr>
              <w:spacing w:after="0"/>
              <w:rPr>
                <w:sz w:val="16"/>
                <w:szCs w:val="16"/>
                <w:color w:val="auto"/>
              </w:rPr>
            </w:pPr>
          </w:p>
        </w:tc>
        <w:tc>
          <w:tcPr>
            <w:tcW w:w="900" w:type="dxa"/>
            <w:vAlign w:val="bottom"/>
            <w:shd w:val="clear" w:color="auto" w:fill="DEDEDE"/>
          </w:tcPr>
          <w:p>
            <w:pPr>
              <w:spacing w:after="0"/>
              <w:rPr>
                <w:sz w:val="16"/>
                <w:szCs w:val="16"/>
                <w:color w:val="auto"/>
              </w:rPr>
            </w:pPr>
          </w:p>
        </w:tc>
        <w:tc>
          <w:tcPr>
            <w:tcW w:w="160" w:type="dxa"/>
            <w:vAlign w:val="bottom"/>
            <w:shd w:val="clear" w:color="auto" w:fill="DEDEDE"/>
          </w:tcPr>
          <w:p>
            <w:pPr>
              <w:spacing w:after="0"/>
              <w:rPr>
                <w:sz w:val="16"/>
                <w:szCs w:val="16"/>
                <w:color w:val="auto"/>
              </w:rPr>
            </w:pPr>
          </w:p>
        </w:tc>
        <w:tc>
          <w:tcPr>
            <w:tcW w:w="280" w:type="dxa"/>
            <w:vAlign w:val="bottom"/>
            <w:shd w:val="clear" w:color="auto" w:fill="DEDEDE"/>
          </w:tcPr>
          <w:p>
            <w:pPr>
              <w:spacing w:after="0"/>
              <w:rPr>
                <w:sz w:val="16"/>
                <w:szCs w:val="16"/>
                <w:color w:val="auto"/>
              </w:rPr>
            </w:pPr>
          </w:p>
        </w:tc>
        <w:tc>
          <w:tcPr>
            <w:tcW w:w="940" w:type="dxa"/>
            <w:vAlign w:val="bottom"/>
            <w:shd w:val="clear" w:color="auto" w:fill="DEDEDE"/>
          </w:tcPr>
          <w:p>
            <w:pPr>
              <w:spacing w:after="0"/>
              <w:rPr>
                <w:sz w:val="16"/>
                <w:szCs w:val="16"/>
                <w:color w:val="auto"/>
              </w:rPr>
            </w:pPr>
          </w:p>
        </w:tc>
        <w:tc>
          <w:tcPr>
            <w:tcW w:w="840" w:type="dxa"/>
            <w:vAlign w:val="bottom"/>
            <w:shd w:val="clear" w:color="auto" w:fill="DEDEDE"/>
          </w:tcPr>
          <w:p>
            <w:pPr>
              <w:spacing w:after="0"/>
              <w:rPr>
                <w:sz w:val="16"/>
                <w:szCs w:val="16"/>
                <w:color w:val="auto"/>
              </w:rPr>
            </w:pPr>
          </w:p>
        </w:tc>
        <w:tc>
          <w:tcPr>
            <w:tcW w:w="840" w:type="dxa"/>
            <w:vAlign w:val="bottom"/>
            <w:shd w:val="clear" w:color="auto" w:fill="DEDED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6.71 years</w:t>
            </w:r>
          </w:p>
        </w:tc>
        <w:tc>
          <w:tcPr>
            <w:tcW w:w="840" w:type="dxa"/>
            <w:vAlign w:val="bottom"/>
            <w:shd w:val="clear" w:color="auto" w:fill="DEDEDE"/>
          </w:tcPr>
          <w:p>
            <w:pPr>
              <w:spacing w:after="0"/>
              <w:rPr>
                <w:sz w:val="20"/>
                <w:szCs w:val="20"/>
                <w:color w:val="auto"/>
              </w:rPr>
            </w:pPr>
          </w:p>
        </w:tc>
        <w:tc>
          <w:tcPr>
            <w:tcW w:w="90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6.99 years</w:t>
            </w:r>
          </w:p>
        </w:tc>
        <w:tc>
          <w:tcPr>
            <w:tcW w:w="840" w:type="dxa"/>
            <w:vAlign w:val="bottom"/>
            <w:shd w:val="clear" w:color="auto" w:fill="DEDEDE"/>
          </w:tcPr>
          <w:p>
            <w:pPr>
              <w:spacing w:after="0"/>
              <w:rPr>
                <w:sz w:val="20"/>
                <w:szCs w:val="20"/>
                <w:color w:val="auto"/>
              </w:rPr>
            </w:pPr>
          </w:p>
        </w:tc>
        <w:tc>
          <w:tcPr>
            <w:tcW w:w="84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960" w:type="dxa"/>
            <w:vAlign w:val="bottom"/>
            <w:shd w:val="clear" w:color="auto" w:fill="DEDEDE"/>
          </w:tcPr>
          <w:p>
            <w:pPr>
              <w:spacing w:after="0" w:line="195" w:lineRule="exact"/>
              <w:rPr>
                <w:sz w:val="20"/>
                <w:szCs w:val="20"/>
                <w:color w:val="auto"/>
              </w:rPr>
            </w:pPr>
            <w:r>
              <w:rPr>
                <w:rFonts w:ascii="Times New Roman" w:cs="Times New Roman" w:eastAsia="Times New Roman" w:hAnsi="Times New Roman"/>
                <w:sz w:val="18"/>
                <w:szCs w:val="18"/>
                <w:color w:val="auto"/>
              </w:rPr>
              <w:t>Weighted average contractual term of options exercisable at</w:t>
            </w:r>
          </w:p>
        </w:tc>
        <w:tc>
          <w:tcPr>
            <w:tcW w:w="200" w:type="dxa"/>
            <w:vAlign w:val="bottom"/>
            <w:shd w:val="clear" w:color="auto" w:fill="DEDEDE"/>
          </w:tcPr>
          <w:p>
            <w:pPr>
              <w:spacing w:after="0"/>
              <w:rPr>
                <w:sz w:val="16"/>
                <w:szCs w:val="16"/>
                <w:color w:val="auto"/>
              </w:rPr>
            </w:pPr>
          </w:p>
        </w:tc>
        <w:tc>
          <w:tcPr>
            <w:tcW w:w="300" w:type="dxa"/>
            <w:vAlign w:val="bottom"/>
            <w:shd w:val="clear" w:color="auto" w:fill="DEDEDE"/>
          </w:tcPr>
          <w:p>
            <w:pPr>
              <w:spacing w:after="0"/>
              <w:rPr>
                <w:sz w:val="16"/>
                <w:szCs w:val="16"/>
                <w:color w:val="auto"/>
              </w:rPr>
            </w:pPr>
          </w:p>
        </w:tc>
        <w:tc>
          <w:tcPr>
            <w:tcW w:w="960" w:type="dxa"/>
            <w:vAlign w:val="bottom"/>
            <w:shd w:val="clear" w:color="auto" w:fill="DEDEDE"/>
          </w:tcPr>
          <w:p>
            <w:pPr>
              <w:spacing w:after="0"/>
              <w:rPr>
                <w:sz w:val="16"/>
                <w:szCs w:val="16"/>
                <w:color w:val="auto"/>
              </w:rPr>
            </w:pPr>
          </w:p>
        </w:tc>
        <w:tc>
          <w:tcPr>
            <w:tcW w:w="840" w:type="dxa"/>
            <w:vAlign w:val="bottom"/>
            <w:shd w:val="clear" w:color="auto" w:fill="DEDEDE"/>
          </w:tcPr>
          <w:p>
            <w:pPr>
              <w:spacing w:after="0"/>
              <w:rPr>
                <w:sz w:val="16"/>
                <w:szCs w:val="16"/>
                <w:color w:val="auto"/>
              </w:rPr>
            </w:pPr>
          </w:p>
        </w:tc>
        <w:tc>
          <w:tcPr>
            <w:tcW w:w="900" w:type="dxa"/>
            <w:vAlign w:val="bottom"/>
            <w:shd w:val="clear" w:color="auto" w:fill="DEDEDE"/>
          </w:tcPr>
          <w:p>
            <w:pPr>
              <w:spacing w:after="0"/>
              <w:rPr>
                <w:sz w:val="16"/>
                <w:szCs w:val="16"/>
                <w:color w:val="auto"/>
              </w:rPr>
            </w:pPr>
          </w:p>
        </w:tc>
        <w:tc>
          <w:tcPr>
            <w:tcW w:w="160" w:type="dxa"/>
            <w:vAlign w:val="bottom"/>
            <w:shd w:val="clear" w:color="auto" w:fill="DEDEDE"/>
          </w:tcPr>
          <w:p>
            <w:pPr>
              <w:spacing w:after="0"/>
              <w:rPr>
                <w:sz w:val="16"/>
                <w:szCs w:val="16"/>
                <w:color w:val="auto"/>
              </w:rPr>
            </w:pPr>
          </w:p>
        </w:tc>
        <w:tc>
          <w:tcPr>
            <w:tcW w:w="280" w:type="dxa"/>
            <w:vAlign w:val="bottom"/>
            <w:shd w:val="clear" w:color="auto" w:fill="DEDEDE"/>
          </w:tcPr>
          <w:p>
            <w:pPr>
              <w:spacing w:after="0"/>
              <w:rPr>
                <w:sz w:val="16"/>
                <w:szCs w:val="16"/>
                <w:color w:val="auto"/>
              </w:rPr>
            </w:pPr>
          </w:p>
        </w:tc>
        <w:tc>
          <w:tcPr>
            <w:tcW w:w="940" w:type="dxa"/>
            <w:vAlign w:val="bottom"/>
            <w:shd w:val="clear" w:color="auto" w:fill="DEDEDE"/>
          </w:tcPr>
          <w:p>
            <w:pPr>
              <w:spacing w:after="0"/>
              <w:rPr>
                <w:sz w:val="16"/>
                <w:szCs w:val="16"/>
                <w:color w:val="auto"/>
              </w:rPr>
            </w:pPr>
          </w:p>
        </w:tc>
        <w:tc>
          <w:tcPr>
            <w:tcW w:w="840" w:type="dxa"/>
            <w:vAlign w:val="bottom"/>
            <w:shd w:val="clear" w:color="auto" w:fill="DEDEDE"/>
          </w:tcPr>
          <w:p>
            <w:pPr>
              <w:spacing w:after="0"/>
              <w:rPr>
                <w:sz w:val="16"/>
                <w:szCs w:val="16"/>
                <w:color w:val="auto"/>
              </w:rPr>
            </w:pPr>
          </w:p>
        </w:tc>
        <w:tc>
          <w:tcPr>
            <w:tcW w:w="840" w:type="dxa"/>
            <w:vAlign w:val="bottom"/>
            <w:shd w:val="clear" w:color="auto" w:fill="DEDED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00" w:type="dxa"/>
            <w:vAlign w:val="bottom"/>
            <w:shd w:val="clear" w:color="auto" w:fill="DEDEDE"/>
          </w:tcPr>
          <w:p>
            <w:pPr>
              <w:spacing w:after="0"/>
              <w:rPr>
                <w:sz w:val="20"/>
                <w:szCs w:val="20"/>
                <w:color w:val="auto"/>
              </w:rPr>
            </w:pPr>
          </w:p>
        </w:tc>
        <w:tc>
          <w:tcPr>
            <w:tcW w:w="300" w:type="dxa"/>
            <w:vAlign w:val="bottom"/>
            <w:shd w:val="clear" w:color="auto" w:fill="DEDEDE"/>
          </w:tcPr>
          <w:p>
            <w:pPr>
              <w:spacing w:after="0"/>
              <w:rPr>
                <w:sz w:val="20"/>
                <w:szCs w:val="20"/>
                <w:color w:val="auto"/>
              </w:rPr>
            </w:pP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5.09 years</w:t>
            </w:r>
          </w:p>
        </w:tc>
        <w:tc>
          <w:tcPr>
            <w:tcW w:w="840" w:type="dxa"/>
            <w:vAlign w:val="bottom"/>
            <w:shd w:val="clear" w:color="auto" w:fill="DEDEDE"/>
          </w:tcPr>
          <w:p>
            <w:pPr>
              <w:spacing w:after="0"/>
              <w:rPr>
                <w:sz w:val="20"/>
                <w:szCs w:val="20"/>
                <w:color w:val="auto"/>
              </w:rPr>
            </w:pPr>
          </w:p>
        </w:tc>
        <w:tc>
          <w:tcPr>
            <w:tcW w:w="900" w:type="dxa"/>
            <w:vAlign w:val="bottom"/>
            <w:shd w:val="clear" w:color="auto" w:fill="DEDEDE"/>
          </w:tcPr>
          <w:p>
            <w:pPr>
              <w:spacing w:after="0"/>
              <w:rPr>
                <w:sz w:val="20"/>
                <w:szCs w:val="20"/>
                <w:color w:val="auto"/>
              </w:rPr>
            </w:pPr>
          </w:p>
        </w:tc>
        <w:tc>
          <w:tcPr>
            <w:tcW w:w="160" w:type="dxa"/>
            <w:vAlign w:val="bottom"/>
            <w:shd w:val="clear" w:color="auto" w:fill="DEDEDE"/>
          </w:tcPr>
          <w:p>
            <w:pPr>
              <w:spacing w:after="0"/>
              <w:rPr>
                <w:sz w:val="20"/>
                <w:szCs w:val="20"/>
                <w:color w:val="auto"/>
              </w:rPr>
            </w:pPr>
          </w:p>
        </w:tc>
        <w:tc>
          <w:tcPr>
            <w:tcW w:w="280" w:type="dxa"/>
            <w:vAlign w:val="bottom"/>
            <w:shd w:val="clear" w:color="auto" w:fill="DEDEDE"/>
          </w:tcPr>
          <w:p>
            <w:pPr>
              <w:spacing w:after="0"/>
              <w:rPr>
                <w:sz w:val="20"/>
                <w:szCs w:val="20"/>
                <w:color w:val="auto"/>
              </w:rPr>
            </w:pP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5.89 years</w:t>
            </w:r>
          </w:p>
        </w:tc>
        <w:tc>
          <w:tcPr>
            <w:tcW w:w="840" w:type="dxa"/>
            <w:vAlign w:val="bottom"/>
            <w:shd w:val="clear" w:color="auto" w:fill="DEDEDE"/>
          </w:tcPr>
          <w:p>
            <w:pPr>
              <w:spacing w:after="0"/>
              <w:rPr>
                <w:sz w:val="20"/>
                <w:szCs w:val="20"/>
                <w:color w:val="auto"/>
              </w:rPr>
            </w:pPr>
          </w:p>
        </w:tc>
        <w:tc>
          <w:tcPr>
            <w:tcW w:w="840" w:type="dxa"/>
            <w:vAlign w:val="bottom"/>
            <w:shd w:val="clear" w:color="auto" w:fill="DEDED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60" w:type="dxa"/>
            <w:vAlign w:val="bottom"/>
            <w:shd w:val="clear" w:color="auto" w:fill="DEDEDE"/>
          </w:tcPr>
          <w:p>
            <w:pPr>
              <w:spacing w:after="0" w:line="197" w:lineRule="exact"/>
              <w:rPr>
                <w:sz w:val="20"/>
                <w:szCs w:val="20"/>
                <w:color w:val="auto"/>
              </w:rPr>
            </w:pPr>
            <w:r>
              <w:rPr>
                <w:rFonts w:ascii="Times New Roman" w:cs="Times New Roman" w:eastAsia="Times New Roman" w:hAnsi="Times New Roman"/>
                <w:sz w:val="18"/>
                <w:szCs w:val="18"/>
                <w:color w:val="auto"/>
              </w:rPr>
              <w:t>Aggregated intrinsic value of options outstanding at December 31,</w:t>
            </w:r>
          </w:p>
        </w:tc>
        <w:tc>
          <w:tcPr>
            <w:tcW w:w="200" w:type="dxa"/>
            <w:vAlign w:val="bottom"/>
            <w:shd w:val="clear" w:color="auto" w:fill="DEDEDE"/>
          </w:tcPr>
          <w:p>
            <w:pPr>
              <w:spacing w:after="0"/>
              <w:rPr>
                <w:sz w:val="17"/>
                <w:szCs w:val="17"/>
                <w:color w:val="auto"/>
              </w:rPr>
            </w:pPr>
          </w:p>
        </w:tc>
        <w:tc>
          <w:tcPr>
            <w:tcW w:w="300" w:type="dxa"/>
            <w:vAlign w:val="bottom"/>
            <w:shd w:val="clear" w:color="auto" w:fill="DEDEDE"/>
          </w:tcPr>
          <w:p>
            <w:pPr>
              <w:spacing w:after="0"/>
              <w:rPr>
                <w:sz w:val="17"/>
                <w:szCs w:val="17"/>
                <w:color w:val="auto"/>
              </w:rPr>
            </w:pPr>
          </w:p>
        </w:tc>
        <w:tc>
          <w:tcPr>
            <w:tcW w:w="960" w:type="dxa"/>
            <w:vAlign w:val="bottom"/>
            <w:shd w:val="clear" w:color="auto" w:fill="DEDEDE"/>
          </w:tcPr>
          <w:p>
            <w:pPr>
              <w:spacing w:after="0"/>
              <w:rPr>
                <w:sz w:val="17"/>
                <w:szCs w:val="17"/>
                <w:color w:val="auto"/>
              </w:rPr>
            </w:pPr>
          </w:p>
        </w:tc>
        <w:tc>
          <w:tcPr>
            <w:tcW w:w="840" w:type="dxa"/>
            <w:vAlign w:val="bottom"/>
            <w:shd w:val="clear" w:color="auto" w:fill="DEDEDE"/>
          </w:tcPr>
          <w:p>
            <w:pPr>
              <w:spacing w:after="0"/>
              <w:rPr>
                <w:sz w:val="17"/>
                <w:szCs w:val="17"/>
                <w:color w:val="auto"/>
              </w:rPr>
            </w:pPr>
          </w:p>
        </w:tc>
        <w:tc>
          <w:tcPr>
            <w:tcW w:w="9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280" w:type="dxa"/>
            <w:vAlign w:val="bottom"/>
            <w:shd w:val="clear" w:color="auto" w:fill="DEDEDE"/>
          </w:tcPr>
          <w:p>
            <w:pPr>
              <w:spacing w:after="0"/>
              <w:rPr>
                <w:sz w:val="17"/>
                <w:szCs w:val="17"/>
                <w:color w:val="auto"/>
              </w:rPr>
            </w:pPr>
          </w:p>
        </w:tc>
        <w:tc>
          <w:tcPr>
            <w:tcW w:w="940" w:type="dxa"/>
            <w:vAlign w:val="bottom"/>
            <w:shd w:val="clear" w:color="auto" w:fill="DEDEDE"/>
          </w:tcPr>
          <w:p>
            <w:pPr>
              <w:spacing w:after="0"/>
              <w:rPr>
                <w:sz w:val="17"/>
                <w:szCs w:val="17"/>
                <w:color w:val="auto"/>
              </w:rPr>
            </w:pPr>
          </w:p>
        </w:tc>
        <w:tc>
          <w:tcPr>
            <w:tcW w:w="840" w:type="dxa"/>
            <w:vAlign w:val="bottom"/>
            <w:shd w:val="clear" w:color="auto" w:fill="DEDEDE"/>
          </w:tcPr>
          <w:p>
            <w:pPr>
              <w:spacing w:after="0"/>
              <w:rPr>
                <w:sz w:val="17"/>
                <w:szCs w:val="17"/>
                <w:color w:val="auto"/>
              </w:rPr>
            </w:pPr>
          </w:p>
        </w:tc>
        <w:tc>
          <w:tcPr>
            <w:tcW w:w="84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9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2025 (1)</w:t>
            </w:r>
          </w:p>
        </w:tc>
        <w:tc>
          <w:tcPr>
            <w:tcW w:w="50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1,822,785</w:t>
            </w:r>
          </w:p>
        </w:tc>
        <w:tc>
          <w:tcPr>
            <w:tcW w:w="840" w:type="dxa"/>
            <w:vAlign w:val="bottom"/>
            <w:shd w:val="clear" w:color="auto" w:fill="DEDEDE"/>
          </w:tcPr>
          <w:p>
            <w:pPr>
              <w:spacing w:after="0"/>
              <w:rPr>
                <w:sz w:val="22"/>
                <w:szCs w:val="22"/>
                <w:color w:val="auto"/>
              </w:rPr>
            </w:pPr>
          </w:p>
        </w:tc>
        <w:tc>
          <w:tcPr>
            <w:tcW w:w="900" w:type="dxa"/>
            <w:vAlign w:val="bottom"/>
            <w:shd w:val="clear" w:color="auto" w:fill="DEDEDE"/>
          </w:tcPr>
          <w:p>
            <w:pPr>
              <w:spacing w:after="0"/>
              <w:rPr>
                <w:sz w:val="22"/>
                <w:szCs w:val="22"/>
                <w:color w:val="auto"/>
              </w:rPr>
            </w:pPr>
          </w:p>
        </w:tc>
        <w:tc>
          <w:tcPr>
            <w:tcW w:w="44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4,717,929</w:t>
            </w:r>
          </w:p>
        </w:tc>
        <w:tc>
          <w:tcPr>
            <w:tcW w:w="840" w:type="dxa"/>
            <w:vAlign w:val="bottom"/>
            <w:shd w:val="clear" w:color="auto" w:fill="DEDEDE"/>
          </w:tcPr>
          <w:p>
            <w:pPr>
              <w:spacing w:after="0"/>
              <w:rPr>
                <w:sz w:val="22"/>
                <w:szCs w:val="22"/>
                <w:color w:val="auto"/>
              </w:rPr>
            </w:pPr>
          </w:p>
        </w:tc>
        <w:tc>
          <w:tcPr>
            <w:tcW w:w="840" w:type="dxa"/>
            <w:vAlign w:val="bottom"/>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DEDEDE"/>
            </w:tcBorders>
          </w:tcPr>
          <w:p>
            <w:pPr>
              <w:spacing w:after="0" w:line="20" w:lineRule="exact"/>
              <w:rPr>
                <w:sz w:val="1"/>
                <w:szCs w:val="1"/>
                <w:color w:val="auto"/>
              </w:rPr>
            </w:pPr>
          </w:p>
        </w:tc>
        <w:tc>
          <w:tcPr>
            <w:tcW w:w="9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DEDEDE"/>
            </w:tcBorders>
          </w:tcPr>
          <w:p>
            <w:pPr>
              <w:spacing w:after="0" w:line="20" w:lineRule="exact"/>
              <w:rPr>
                <w:sz w:val="1"/>
                <w:szCs w:val="1"/>
                <w:color w:val="auto"/>
              </w:rPr>
            </w:pPr>
          </w:p>
        </w:tc>
        <w:tc>
          <w:tcPr>
            <w:tcW w:w="84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960" w:type="dxa"/>
            <w:vAlign w:val="bottom"/>
            <w:shd w:val="clear" w:color="auto" w:fill="DEDEDE"/>
          </w:tcPr>
          <w:p>
            <w:pPr>
              <w:spacing w:after="0" w:line="197" w:lineRule="exact"/>
              <w:rPr>
                <w:sz w:val="20"/>
                <w:szCs w:val="20"/>
                <w:color w:val="auto"/>
              </w:rPr>
            </w:pPr>
            <w:r>
              <w:rPr>
                <w:rFonts w:ascii="Times New Roman" w:cs="Times New Roman" w:eastAsia="Times New Roman" w:hAnsi="Times New Roman"/>
                <w:sz w:val="18"/>
                <w:szCs w:val="18"/>
                <w:color w:val="auto"/>
              </w:rPr>
              <w:t>Aggregated intrinsic value of options exercisable at December 31,</w:t>
            </w:r>
          </w:p>
        </w:tc>
        <w:tc>
          <w:tcPr>
            <w:tcW w:w="200" w:type="dxa"/>
            <w:vAlign w:val="bottom"/>
            <w:shd w:val="clear" w:color="auto" w:fill="DEDEDE"/>
          </w:tcPr>
          <w:p>
            <w:pPr>
              <w:spacing w:after="0"/>
              <w:rPr>
                <w:sz w:val="17"/>
                <w:szCs w:val="17"/>
                <w:color w:val="auto"/>
              </w:rPr>
            </w:pPr>
          </w:p>
        </w:tc>
        <w:tc>
          <w:tcPr>
            <w:tcW w:w="300" w:type="dxa"/>
            <w:vAlign w:val="bottom"/>
            <w:shd w:val="clear" w:color="auto" w:fill="DEDEDE"/>
          </w:tcPr>
          <w:p>
            <w:pPr>
              <w:spacing w:after="0"/>
              <w:rPr>
                <w:sz w:val="17"/>
                <w:szCs w:val="17"/>
                <w:color w:val="auto"/>
              </w:rPr>
            </w:pPr>
          </w:p>
        </w:tc>
        <w:tc>
          <w:tcPr>
            <w:tcW w:w="960" w:type="dxa"/>
            <w:vAlign w:val="bottom"/>
            <w:shd w:val="clear" w:color="auto" w:fill="DEDEDE"/>
          </w:tcPr>
          <w:p>
            <w:pPr>
              <w:spacing w:after="0"/>
              <w:rPr>
                <w:sz w:val="17"/>
                <w:szCs w:val="17"/>
                <w:color w:val="auto"/>
              </w:rPr>
            </w:pPr>
          </w:p>
        </w:tc>
        <w:tc>
          <w:tcPr>
            <w:tcW w:w="840" w:type="dxa"/>
            <w:vAlign w:val="bottom"/>
            <w:shd w:val="clear" w:color="auto" w:fill="DEDEDE"/>
          </w:tcPr>
          <w:p>
            <w:pPr>
              <w:spacing w:after="0"/>
              <w:rPr>
                <w:sz w:val="17"/>
                <w:szCs w:val="17"/>
                <w:color w:val="auto"/>
              </w:rPr>
            </w:pPr>
          </w:p>
        </w:tc>
        <w:tc>
          <w:tcPr>
            <w:tcW w:w="900" w:type="dxa"/>
            <w:vAlign w:val="bottom"/>
            <w:shd w:val="clear" w:color="auto" w:fill="DEDEDE"/>
          </w:tcPr>
          <w:p>
            <w:pPr>
              <w:spacing w:after="0"/>
              <w:rPr>
                <w:sz w:val="17"/>
                <w:szCs w:val="17"/>
                <w:color w:val="auto"/>
              </w:rPr>
            </w:pPr>
          </w:p>
        </w:tc>
        <w:tc>
          <w:tcPr>
            <w:tcW w:w="160" w:type="dxa"/>
            <w:vAlign w:val="bottom"/>
            <w:shd w:val="clear" w:color="auto" w:fill="DEDEDE"/>
          </w:tcPr>
          <w:p>
            <w:pPr>
              <w:spacing w:after="0"/>
              <w:rPr>
                <w:sz w:val="17"/>
                <w:szCs w:val="17"/>
                <w:color w:val="auto"/>
              </w:rPr>
            </w:pPr>
          </w:p>
        </w:tc>
        <w:tc>
          <w:tcPr>
            <w:tcW w:w="280" w:type="dxa"/>
            <w:vAlign w:val="bottom"/>
            <w:shd w:val="clear" w:color="auto" w:fill="DEDEDE"/>
          </w:tcPr>
          <w:p>
            <w:pPr>
              <w:spacing w:after="0"/>
              <w:rPr>
                <w:sz w:val="17"/>
                <w:szCs w:val="17"/>
                <w:color w:val="auto"/>
              </w:rPr>
            </w:pPr>
          </w:p>
        </w:tc>
        <w:tc>
          <w:tcPr>
            <w:tcW w:w="940" w:type="dxa"/>
            <w:vAlign w:val="bottom"/>
            <w:shd w:val="clear" w:color="auto" w:fill="DEDEDE"/>
          </w:tcPr>
          <w:p>
            <w:pPr>
              <w:spacing w:after="0"/>
              <w:rPr>
                <w:sz w:val="17"/>
                <w:szCs w:val="17"/>
                <w:color w:val="auto"/>
              </w:rPr>
            </w:pPr>
          </w:p>
        </w:tc>
        <w:tc>
          <w:tcPr>
            <w:tcW w:w="840" w:type="dxa"/>
            <w:vAlign w:val="bottom"/>
            <w:shd w:val="clear" w:color="auto" w:fill="DEDEDE"/>
          </w:tcPr>
          <w:p>
            <w:pPr>
              <w:spacing w:after="0"/>
              <w:rPr>
                <w:sz w:val="17"/>
                <w:szCs w:val="17"/>
                <w:color w:val="auto"/>
              </w:rPr>
            </w:pPr>
          </w:p>
        </w:tc>
        <w:tc>
          <w:tcPr>
            <w:tcW w:w="84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496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2025 (1)</w:t>
            </w:r>
          </w:p>
        </w:tc>
        <w:tc>
          <w:tcPr>
            <w:tcW w:w="500" w:type="dxa"/>
            <w:vAlign w:val="bottom"/>
            <w:gridSpan w:val="2"/>
            <w:shd w:val="clear" w:color="auto" w:fill="DEDED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1,702,761</w:t>
            </w:r>
          </w:p>
        </w:tc>
        <w:tc>
          <w:tcPr>
            <w:tcW w:w="840" w:type="dxa"/>
            <w:vAlign w:val="bottom"/>
            <w:shd w:val="clear" w:color="auto" w:fill="DEDEDE"/>
          </w:tcPr>
          <w:p>
            <w:pPr>
              <w:spacing w:after="0"/>
              <w:rPr>
                <w:sz w:val="22"/>
                <w:szCs w:val="22"/>
                <w:color w:val="auto"/>
              </w:rPr>
            </w:pPr>
          </w:p>
        </w:tc>
        <w:tc>
          <w:tcPr>
            <w:tcW w:w="900" w:type="dxa"/>
            <w:vAlign w:val="bottom"/>
            <w:shd w:val="clear" w:color="auto" w:fill="DEDEDE"/>
          </w:tcPr>
          <w:p>
            <w:pPr>
              <w:spacing w:after="0"/>
              <w:rPr>
                <w:sz w:val="22"/>
                <w:szCs w:val="22"/>
                <w:color w:val="auto"/>
              </w:rPr>
            </w:pPr>
          </w:p>
        </w:tc>
        <w:tc>
          <w:tcPr>
            <w:tcW w:w="44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4,404,475</w:t>
            </w:r>
          </w:p>
        </w:tc>
        <w:tc>
          <w:tcPr>
            <w:tcW w:w="840" w:type="dxa"/>
            <w:vAlign w:val="bottom"/>
            <w:shd w:val="clear" w:color="auto" w:fill="DEDEDE"/>
          </w:tcPr>
          <w:p>
            <w:pPr>
              <w:spacing w:after="0"/>
              <w:rPr>
                <w:sz w:val="22"/>
                <w:szCs w:val="22"/>
                <w:color w:val="auto"/>
              </w:rPr>
            </w:pPr>
          </w:p>
        </w:tc>
        <w:tc>
          <w:tcPr>
            <w:tcW w:w="840" w:type="dxa"/>
            <w:vAlign w:val="bottom"/>
            <w:shd w:val="clear" w:color="auto" w:fill="DEDED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DEDEDE"/>
            </w:tcBorders>
          </w:tcPr>
          <w:p>
            <w:pPr>
              <w:spacing w:after="0" w:line="20" w:lineRule="exact"/>
              <w:rPr>
                <w:sz w:val="1"/>
                <w:szCs w:val="1"/>
                <w:color w:val="auto"/>
              </w:rPr>
            </w:pPr>
          </w:p>
        </w:tc>
        <w:tc>
          <w:tcPr>
            <w:tcW w:w="200" w:type="dxa"/>
            <w:vAlign w:val="bottom"/>
            <w:tcBorders>
              <w:top w:val="single" w:sz="8" w:color="DEDED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DEDEDE"/>
            </w:tcBorders>
          </w:tcPr>
          <w:p>
            <w:pPr>
              <w:spacing w:after="0" w:line="20" w:lineRule="exact"/>
              <w:rPr>
                <w:sz w:val="1"/>
                <w:szCs w:val="1"/>
                <w:color w:val="auto"/>
              </w:rPr>
            </w:pPr>
          </w:p>
        </w:tc>
        <w:tc>
          <w:tcPr>
            <w:tcW w:w="900" w:type="dxa"/>
            <w:vAlign w:val="bottom"/>
            <w:tcBorders>
              <w:top w:val="single" w:sz="8" w:color="DEDEDE"/>
            </w:tcBorders>
          </w:tcPr>
          <w:p>
            <w:pPr>
              <w:spacing w:after="0" w:line="20" w:lineRule="exact"/>
              <w:rPr>
                <w:sz w:val="1"/>
                <w:szCs w:val="1"/>
                <w:color w:val="auto"/>
              </w:rPr>
            </w:pPr>
          </w:p>
        </w:tc>
        <w:tc>
          <w:tcPr>
            <w:tcW w:w="160" w:type="dxa"/>
            <w:vAlign w:val="bottom"/>
            <w:tcBorders>
              <w:top w:val="single" w:sz="8" w:color="DEDED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DEDEDE"/>
            </w:tcBorders>
          </w:tcPr>
          <w:p>
            <w:pPr>
              <w:spacing w:after="0" w:line="20" w:lineRule="exact"/>
              <w:rPr>
                <w:sz w:val="1"/>
                <w:szCs w:val="1"/>
                <w:color w:val="auto"/>
              </w:rPr>
            </w:pPr>
          </w:p>
        </w:tc>
        <w:tc>
          <w:tcPr>
            <w:tcW w:w="840" w:type="dxa"/>
            <w:vAlign w:val="bottom"/>
            <w:tcBorders>
              <w:top w:val="single" w:sz="8" w:color="DEDE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140970</wp:posOffset>
                </wp:positionV>
                <wp:extent cx="1783080"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1.1pt" to="140.4pt,11.1pt" o:allowincell="f" strokecolor="#000000" strokeweight="0.675pt"/>
            </w:pict>
          </mc:Fallback>
        </mc:AlternateContent>
      </w:r>
    </w:p>
    <w:p>
      <w:pPr>
        <w:spacing w:after="0" w:line="204" w:lineRule="exact"/>
        <w:rPr>
          <w:sz w:val="20"/>
          <w:szCs w:val="20"/>
          <w:color w:val="auto"/>
        </w:rPr>
      </w:pPr>
    </w:p>
    <w:p>
      <w:pPr>
        <w:ind w:left="322" w:hanging="322"/>
        <w:spacing w:after="0"/>
        <w:tabs>
          <w:tab w:leader="none" w:pos="32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used a stock price of $9.01 as of December 31, 2025 to derive intrinsic value.</w:t>
      </w:r>
    </w:p>
    <w:p>
      <w:pPr>
        <w:spacing w:after="0" w:line="8" w:lineRule="exact"/>
        <w:rPr>
          <w:rFonts w:ascii="Times New Roman" w:cs="Times New Roman" w:eastAsia="Times New Roman" w:hAnsi="Times New Roman"/>
          <w:sz w:val="18"/>
          <w:szCs w:val="18"/>
          <w:color w:val="auto"/>
        </w:rPr>
      </w:pPr>
    </w:p>
    <w:p>
      <w:pPr>
        <w:ind w:left="322" w:hanging="322"/>
        <w:spacing w:after="0"/>
        <w:tabs>
          <w:tab w:leader="none" w:pos="32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for the effect of annual stock dividends.</w:t>
      </w:r>
    </w:p>
    <w:p>
      <w:pPr>
        <w:spacing w:after="0" w:line="225" w:lineRule="exact"/>
        <w:rPr>
          <w:sz w:val="20"/>
          <w:szCs w:val="20"/>
          <w:color w:val="auto"/>
        </w:rPr>
      </w:pPr>
    </w:p>
    <w:p>
      <w:pPr>
        <w:ind w:left="2" w:right="20"/>
        <w:spacing w:after="0" w:line="283" w:lineRule="auto"/>
        <w:rPr>
          <w:sz w:val="20"/>
          <w:szCs w:val="20"/>
          <w:color w:val="auto"/>
        </w:rPr>
      </w:pPr>
      <w:r>
        <w:rPr>
          <w:rFonts w:ascii="Times New Roman" w:cs="Times New Roman" w:eastAsia="Times New Roman" w:hAnsi="Times New Roman"/>
          <w:sz w:val="18"/>
          <w:szCs w:val="18"/>
          <w:color w:val="auto"/>
        </w:rPr>
        <w:t>The total intrinsic value (which is the amount by which the fair value of the underlying stock exceeds the exercise price of an option on the exercise date) of stock options exercised during 2025, and 2024 was $1,503,525 and $3,104,163,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100</w:t>
      </w:r>
    </w:p>
    <w:p>
      <w:pPr>
        <w:sectPr>
          <w:pgSz w:w="12240" w:h="15840" w:orient="portrait"/>
          <w:cols w:equalWidth="0" w:num="1">
            <w:col w:w="11242"/>
          </w:cols>
          <w:pgMar w:left="498" w:top="687" w:right="500" w:bottom="0" w:gutter="0" w:footer="0" w:header="0"/>
          <w:type w:val="continuous"/>
        </w:sectPr>
      </w:pPr>
    </w:p>
    <w:bookmarkStart w:id="128" w:name="page129"/>
    <w:bookmarkEnd w:id="128"/>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2" w:right="6160" w:hanging="2"/>
        <w:spacing w:after="0" w:line="500" w:lineRule="auto"/>
        <w:tabs>
          <w:tab w:leader="none" w:pos="65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 and Retirement Plans</w:t>
      </w:r>
      <w:r>
        <w:rPr>
          <w:rFonts w:ascii="Times New Roman" w:cs="Times New Roman" w:eastAsia="Times New Roman" w:hAnsi="Times New Roman"/>
          <w:sz w:val="18"/>
          <w:szCs w:val="18"/>
          <w:color w:val="auto"/>
        </w:rPr>
        <w:t xml:space="preserve"> (Continued) </w:t>
      </w:r>
      <w:r>
        <w:rPr>
          <w:rFonts w:ascii="Times New Roman" w:cs="Times New Roman" w:eastAsia="Times New Roman" w:hAnsi="Times New Roman"/>
          <w:sz w:val="18"/>
          <w:szCs w:val="18"/>
          <w:u w:val="single" w:color="auto"/>
          <w:color w:val="auto"/>
        </w:rPr>
        <w:t>Restricted Stock Units (“RSUs”)</w:t>
      </w:r>
    </w:p>
    <w:p>
      <w:pPr>
        <w:spacing w:after="0" w:line="1"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Stock based compensation expense for RSUs issued of $38,928 and $6,166 has been recognized under these plans for the 2025 and 2024, respectively, and is included in personnel expenses on the consolidated statements of earnings. As of December 31, 2025, the total unrecognized compensation expense related to the RSUs issued was $26,626, which is expected to be recognized over the remaining vesting period.</w:t>
      </w:r>
    </w:p>
    <w:p>
      <w:pPr>
        <w:sectPr>
          <w:pgSz w:w="12240" w:h="15840" w:orient="portrait"/>
          <w:cols w:equalWidth="0" w:num="1">
            <w:col w:w="11242"/>
          </w:cols>
          <w:pgMar w:left="498" w:top="687" w:right="500" w:bottom="0" w:gutter="0" w:footer="0" w:header="0"/>
        </w:sectPr>
      </w:pPr>
    </w:p>
    <w:p>
      <w:pPr>
        <w:spacing w:after="0" w:line="17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The activity of the RSUs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Non-vested at December 31, 2023</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-127000</wp:posOffset>
                </wp:positionV>
                <wp:extent cx="4989195" cy="170815"/>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9195" cy="170815"/>
                        </a:xfrm>
                        <a:prstGeom prst="rect">
                          <a:avLst/>
                        </a:prstGeom>
                        <a:solidFill>
                          <a:srgbClr val="DEDEDE"/>
                        </a:solidFill>
                      </wps:spPr>
                      <wps:bodyPr/>
                    </wps:wsp>
                  </a:graphicData>
                </a:graphic>
              </wp:anchor>
            </w:drawing>
          </mc:Choice>
          <mc:Fallback>
            <w:pict>
              <v:rect id="Shape 204" o:spid="_x0000_s1229" style="position:absolute;margin-left:0pt;margin-top:-10pt;width:392.85pt;height:13.4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spacing w:after="0" w:line="272" w:lineRule="exact"/>
        <w:rPr>
          <w:sz w:val="20"/>
          <w:szCs w:val="20"/>
          <w:color w:val="auto"/>
        </w:rPr>
      </w:pPr>
    </w:p>
    <w:p>
      <w:pPr>
        <w:ind w:left="182"/>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-118745</wp:posOffset>
                </wp:positionV>
                <wp:extent cx="4989195" cy="136525"/>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89195" cy="136525"/>
                        </a:xfrm>
                        <a:prstGeom prst="rect">
                          <a:avLst/>
                        </a:prstGeom>
                        <a:solidFill>
                          <a:srgbClr val="DEDEDE"/>
                        </a:solidFill>
                      </wps:spPr>
                      <wps:bodyPr/>
                    </wps:wsp>
                  </a:graphicData>
                </a:graphic>
              </wp:anchor>
            </w:drawing>
          </mc:Choice>
          <mc:Fallback>
            <w:pict>
              <v:rect id="Shape 205" o:spid="_x0000_s1230" style="position:absolute;margin-left:0pt;margin-top:-9.3499pt;width:392.85pt;height:10.7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EDEDE" stroked="f"/>
            </w:pict>
          </mc:Fallback>
        </mc:AlternateContent>
      </w:r>
    </w:p>
    <w:p>
      <w:pPr>
        <w:ind w:left="182"/>
        <w:spacing w:after="0"/>
        <w:rPr>
          <w:sz w:val="20"/>
          <w:szCs w:val="20"/>
          <w:color w:val="auto"/>
        </w:rPr>
      </w:pPr>
      <w:r>
        <w:rPr>
          <w:rFonts w:ascii="Times New Roman" w:cs="Times New Roman" w:eastAsia="Times New Roman" w:hAnsi="Times New Roman"/>
          <w:sz w:val="18"/>
          <w:szCs w:val="18"/>
          <w:color w:val="auto"/>
        </w:rPr>
        <w:t>Vested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Average</w:t>
            </w:r>
          </w:p>
        </w:tc>
      </w:tr>
      <w:tr>
        <w:trPr>
          <w:trHeight w:val="216"/>
        </w:trPr>
        <w:tc>
          <w:tcPr>
            <w:tcW w:w="16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Number of</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Grant Date</w:t>
            </w:r>
          </w:p>
        </w:tc>
      </w:tr>
      <w:tr>
        <w:trPr>
          <w:trHeight w:val="235"/>
        </w:trPr>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Class A Shares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37"/>
        </w:trPr>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93"/>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7"/>
        </w:trPr>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r>
    </w:tbl>
    <w:p>
      <w:pPr>
        <w:spacing w:after="0" w:line="1" w:lineRule="exact"/>
        <w:rPr>
          <w:sz w:val="20"/>
          <w:szCs w:val="20"/>
          <w:color w:val="auto"/>
        </w:rPr>
      </w:pPr>
    </w:p>
    <w:p>
      <w:pPr>
        <w:sectPr>
          <w:pgSz w:w="12240" w:h="15840" w:orient="portrait"/>
          <w:cols w:equalWidth="0" w:num="2">
            <w:col w:w="3842" w:space="720"/>
            <w:col w:w="6680"/>
          </w:cols>
          <w:pgMar w:left="498" w:top="687" w:right="500" w:bottom="0" w:gutter="0" w:footer="0" w:header="0"/>
          <w:type w:val="continuous"/>
        </w:sectPr>
      </w:pPr>
    </w:p>
    <w:tbl>
      <w:tblPr>
        <w:tblLayout w:type="fixed"/>
        <w:tblInd w:w="2" w:type="dxa"/>
        <w:tblCellMar>
          <w:top w:w="0" w:type="dxa"/>
          <w:left w:w="0" w:type="dxa"/>
          <w:bottom w:w="0" w:type="dxa"/>
          <w:right w:w="0" w:type="dxa"/>
        </w:tblCellMar>
      </w:tblPr>
      <w:tr>
        <w:trPr>
          <w:trHeight w:val="212"/>
        </w:trPr>
        <w:tc>
          <w:tcPr>
            <w:tcW w:w="20" w:type="dxa"/>
            <w:vAlign w:val="bottom"/>
            <w:vMerge w:val="restart"/>
          </w:tcPr>
          <w:p>
            <w:pPr>
              <w:spacing w:after="0"/>
              <w:rPr>
                <w:sz w:val="18"/>
                <w:szCs w:val="18"/>
                <w:color w:val="auto"/>
              </w:rPr>
            </w:pPr>
          </w:p>
        </w:tc>
        <w:tc>
          <w:tcPr>
            <w:tcW w:w="4540" w:type="dxa"/>
            <w:vAlign w:val="bottom"/>
            <w:tcBorders>
              <w:top w:val="single" w:sz="8" w:color="DEDEDE"/>
            </w:tcBorders>
            <w:shd w:val="clear" w:color="auto" w:fill="DEDEDE"/>
          </w:tcPr>
          <w:p>
            <w:pPr>
              <w:spacing w:after="0"/>
              <w:rPr>
                <w:sz w:val="18"/>
                <w:szCs w:val="18"/>
                <w:color w:val="auto"/>
              </w:rPr>
            </w:pPr>
          </w:p>
        </w:tc>
        <w:tc>
          <w:tcPr>
            <w:tcW w:w="1500" w:type="dxa"/>
            <w:vAlign w:val="bottom"/>
            <w:tcBorders>
              <w:top w:val="single" w:sz="8" w:color="auto"/>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680" w:type="dxa"/>
            <w:vAlign w:val="bottom"/>
            <w:tcBorders>
              <w:top w:val="single" w:sz="8" w:color="DEDEDE"/>
            </w:tcBorders>
            <w:shd w:val="clear" w:color="auto" w:fill="DEDEDE"/>
          </w:tcPr>
          <w:p>
            <w:pPr>
              <w:spacing w:after="0"/>
              <w:rPr>
                <w:sz w:val="18"/>
                <w:szCs w:val="18"/>
                <w:color w:val="auto"/>
              </w:rPr>
            </w:pPr>
          </w:p>
        </w:tc>
        <w:tc>
          <w:tcPr>
            <w:tcW w:w="98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54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Non-vested at December 31, 2024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140" w:type="dxa"/>
            <w:vAlign w:val="bottom"/>
            <w:tcBorders>
              <w:bottom w:val="single" w:sz="8" w:color="DEDEDE"/>
            </w:tcBorders>
          </w:tcPr>
          <w:p>
            <w:pPr>
              <w:spacing w:after="0"/>
              <w:rPr>
                <w:sz w:val="24"/>
                <w:szCs w:val="24"/>
                <w:color w:val="auto"/>
              </w:rPr>
            </w:pPr>
          </w:p>
        </w:tc>
        <w:tc>
          <w:tcPr>
            <w:tcW w:w="680" w:type="dxa"/>
            <w:vAlign w:val="bottom"/>
            <w:tcBorders>
              <w:bottom w:val="single" w:sz="8" w:color="DEDEDE"/>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40" w:type="dxa"/>
            <w:vAlign w:val="bottom"/>
            <w:shd w:val="clear" w:color="auto" w:fill="DEDEDE"/>
          </w:tcPr>
          <w:p>
            <w:pPr>
              <w:ind w:left="160"/>
              <w:spacing w:after="0" w:line="196" w:lineRule="exact"/>
              <w:rPr>
                <w:sz w:val="20"/>
                <w:szCs w:val="20"/>
                <w:color w:val="auto"/>
              </w:rPr>
            </w:pPr>
            <w:r>
              <w:rPr>
                <w:rFonts w:ascii="Times New Roman" w:cs="Times New Roman" w:eastAsia="Times New Roman" w:hAnsi="Times New Roman"/>
                <w:sz w:val="18"/>
                <w:szCs w:val="18"/>
                <w:color w:val="auto"/>
              </w:rPr>
              <w:t>Granted</w:t>
            </w:r>
          </w:p>
        </w:tc>
        <w:tc>
          <w:tcPr>
            <w:tcW w:w="1500" w:type="dxa"/>
            <w:vAlign w:val="bottom"/>
            <w:shd w:val="clear" w:color="auto" w:fill="DEDEDE"/>
          </w:tcPr>
          <w:p>
            <w:pPr>
              <w:jc w:val="right"/>
              <w:spacing w:after="0" w:line="197" w:lineRule="exact"/>
              <w:rPr>
                <w:sz w:val="20"/>
                <w:szCs w:val="20"/>
                <w:color w:val="auto"/>
              </w:rPr>
            </w:pPr>
            <w:r>
              <w:rPr>
                <w:rFonts w:ascii="Times New Roman" w:cs="Times New Roman" w:eastAsia="Times New Roman" w:hAnsi="Times New Roman"/>
                <w:sz w:val="18"/>
                <w:szCs w:val="18"/>
                <w:color w:val="auto"/>
              </w:rPr>
              <w:t>14,481</w:t>
            </w:r>
          </w:p>
        </w:tc>
        <w:tc>
          <w:tcPr>
            <w:tcW w:w="140" w:type="dxa"/>
            <w:vAlign w:val="bottom"/>
            <w:shd w:val="clear" w:color="auto" w:fill="DEDEDE"/>
          </w:tcPr>
          <w:p>
            <w:pPr>
              <w:spacing w:after="0"/>
              <w:rPr>
                <w:sz w:val="17"/>
                <w:szCs w:val="17"/>
                <w:color w:val="auto"/>
              </w:rPr>
            </w:pPr>
          </w:p>
        </w:tc>
        <w:tc>
          <w:tcPr>
            <w:tcW w:w="680" w:type="dxa"/>
            <w:vAlign w:val="bottom"/>
            <w:shd w:val="clear" w:color="auto" w:fill="DEDEDE"/>
          </w:tcPr>
          <w:p>
            <w:pPr>
              <w:spacing w:after="0"/>
              <w:rPr>
                <w:sz w:val="17"/>
                <w:szCs w:val="17"/>
                <w:color w:val="auto"/>
              </w:rPr>
            </w:pPr>
          </w:p>
        </w:tc>
        <w:tc>
          <w:tcPr>
            <w:tcW w:w="9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(9,726)</w:t>
            </w:r>
          </w:p>
        </w:tc>
        <w:tc>
          <w:tcPr>
            <w:tcW w:w="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540" w:type="dxa"/>
            <w:vAlign w:val="bottom"/>
            <w:tcBorders>
              <w:top w:val="single" w:sz="8" w:color="DEDEDE"/>
            </w:tcBorders>
            <w:shd w:val="clear" w:color="auto" w:fill="DEDEDE"/>
          </w:tcPr>
          <w:p>
            <w:pPr>
              <w:spacing w:after="0"/>
              <w:rPr>
                <w:sz w:val="18"/>
                <w:szCs w:val="18"/>
                <w:color w:val="auto"/>
              </w:rPr>
            </w:pPr>
          </w:p>
        </w:tc>
        <w:tc>
          <w:tcPr>
            <w:tcW w:w="1500" w:type="dxa"/>
            <w:vAlign w:val="bottom"/>
            <w:tcBorders>
              <w:top w:val="single" w:sz="8" w:color="auto"/>
            </w:tcBorders>
            <w:shd w:val="clear" w:color="auto" w:fill="DEDEDE"/>
          </w:tcPr>
          <w:p>
            <w:pPr>
              <w:spacing w:after="0"/>
              <w:rPr>
                <w:sz w:val="18"/>
                <w:szCs w:val="18"/>
                <w:color w:val="auto"/>
              </w:rPr>
            </w:pPr>
          </w:p>
        </w:tc>
        <w:tc>
          <w:tcPr>
            <w:tcW w:w="140" w:type="dxa"/>
            <w:vAlign w:val="bottom"/>
            <w:tcBorders>
              <w:top w:val="single" w:sz="8" w:color="DEDEDE"/>
            </w:tcBorders>
            <w:shd w:val="clear" w:color="auto" w:fill="DEDEDE"/>
          </w:tcPr>
          <w:p>
            <w:pPr>
              <w:spacing w:after="0"/>
              <w:rPr>
                <w:sz w:val="18"/>
                <w:szCs w:val="18"/>
                <w:color w:val="auto"/>
              </w:rPr>
            </w:pPr>
          </w:p>
        </w:tc>
        <w:tc>
          <w:tcPr>
            <w:tcW w:w="680" w:type="dxa"/>
            <w:vAlign w:val="bottom"/>
            <w:tcBorders>
              <w:top w:val="single" w:sz="8" w:color="DEDEDE"/>
            </w:tcBorders>
            <w:shd w:val="clear" w:color="auto" w:fill="DEDEDE"/>
          </w:tcPr>
          <w:p>
            <w:pPr>
              <w:spacing w:after="0"/>
              <w:rPr>
                <w:sz w:val="18"/>
                <w:szCs w:val="18"/>
                <w:color w:val="auto"/>
              </w:rPr>
            </w:pPr>
          </w:p>
        </w:tc>
        <w:tc>
          <w:tcPr>
            <w:tcW w:w="980" w:type="dxa"/>
            <w:vAlign w:val="bottom"/>
            <w:tcBorders>
              <w:top w:val="single" w:sz="8" w:color="DEDEDE"/>
            </w:tcBorders>
            <w:shd w:val="clear" w:color="auto" w:fill="DEDED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20" w:type="dxa"/>
            <w:vAlign w:val="bottom"/>
            <w:vMerge w:val="continue"/>
          </w:tcPr>
          <w:p>
            <w:pPr>
              <w:spacing w:after="0"/>
              <w:rPr>
                <w:sz w:val="24"/>
                <w:szCs w:val="24"/>
                <w:color w:val="auto"/>
              </w:rPr>
            </w:pPr>
          </w:p>
        </w:tc>
        <w:tc>
          <w:tcPr>
            <w:tcW w:w="454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Non-vested at December 31, 2025</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17,568</w:t>
            </w:r>
          </w:p>
        </w:tc>
        <w:tc>
          <w:tcPr>
            <w:tcW w:w="140" w:type="dxa"/>
            <w:vAlign w:val="bottom"/>
            <w:tcBorders>
              <w:bottom w:val="single" w:sz="8" w:color="DEDEDE"/>
            </w:tcBorders>
          </w:tcPr>
          <w:p>
            <w:pPr>
              <w:spacing w:after="0"/>
              <w:rPr>
                <w:sz w:val="24"/>
                <w:szCs w:val="24"/>
                <w:color w:val="auto"/>
              </w:rPr>
            </w:pPr>
          </w:p>
        </w:tc>
        <w:tc>
          <w:tcPr>
            <w:tcW w:w="680" w:type="dxa"/>
            <w:vAlign w:val="bottom"/>
            <w:tcBorders>
              <w:bottom w:val="single" w:sz="8" w:color="DEDEDE"/>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DEDEDE"/>
            </w:tcBorders>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540" w:type="dxa"/>
            <w:vAlign w:val="bottom"/>
            <w:shd w:val="clear" w:color="auto" w:fill="DEDEDE"/>
          </w:tcPr>
          <w:p>
            <w:pPr>
              <w:spacing w:after="0"/>
              <w:rPr>
                <w:sz w:val="17"/>
                <w:szCs w:val="17"/>
                <w:color w:val="auto"/>
              </w:rPr>
            </w:pPr>
          </w:p>
        </w:tc>
        <w:tc>
          <w:tcPr>
            <w:tcW w:w="1500" w:type="dxa"/>
            <w:vAlign w:val="bottom"/>
            <w:shd w:val="clear" w:color="auto" w:fill="DEDEDE"/>
          </w:tcPr>
          <w:p>
            <w:pPr>
              <w:spacing w:after="0"/>
              <w:rPr>
                <w:sz w:val="17"/>
                <w:szCs w:val="17"/>
                <w:color w:val="auto"/>
              </w:rPr>
            </w:pPr>
          </w:p>
        </w:tc>
        <w:tc>
          <w:tcPr>
            <w:tcW w:w="140" w:type="dxa"/>
            <w:vAlign w:val="bottom"/>
            <w:shd w:val="clear" w:color="auto" w:fill="DEDEDE"/>
          </w:tcPr>
          <w:p>
            <w:pPr>
              <w:spacing w:after="0"/>
              <w:rPr>
                <w:sz w:val="17"/>
                <w:szCs w:val="17"/>
                <w:color w:val="auto"/>
              </w:rPr>
            </w:pPr>
          </w:p>
        </w:tc>
        <w:tc>
          <w:tcPr>
            <w:tcW w:w="680" w:type="dxa"/>
            <w:vAlign w:val="bottom"/>
            <w:shd w:val="clear" w:color="auto" w:fill="DEDEDE"/>
          </w:tcPr>
          <w:p>
            <w:pPr>
              <w:spacing w:after="0"/>
              <w:rPr>
                <w:sz w:val="17"/>
                <w:szCs w:val="17"/>
                <w:color w:val="auto"/>
              </w:rPr>
            </w:pPr>
          </w:p>
        </w:tc>
        <w:tc>
          <w:tcPr>
            <w:tcW w:w="980" w:type="dxa"/>
            <w:vAlign w:val="bottom"/>
            <w:shd w:val="clear" w:color="auto" w:fill="DEDEDE"/>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Available RSUs for future grant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489,706</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Retirement Plans</w:t>
            </w: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56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left="2" w:right="20"/>
        <w:spacing w:after="0" w:line="258" w:lineRule="auto"/>
        <w:rPr>
          <w:sz w:val="20"/>
          <w:szCs w:val="20"/>
          <w:color w:val="auto"/>
        </w:rPr>
      </w:pPr>
      <w:r>
        <w:rPr>
          <w:rFonts w:ascii="Times New Roman" w:cs="Times New Roman" w:eastAsia="Times New Roman" w:hAnsi="Times New Roman"/>
          <w:sz w:val="18"/>
          <w:szCs w:val="18"/>
          <w:color w:val="auto"/>
        </w:rPr>
        <w:t>The Company has three 401(k) savings plans covering all eligible employees which include employer participation in accordance with the provisions of Section 401(k) of the Internal Revenue Code. The plans allow participants to make pretax contributions up to a maximum of $23,500 and $23,000 for the years 2025 and 2024, respectively or the statutory limits. The Company matched 100% of up to 3% of an employee’s total annual compensation and matched 50% of 4% to 5% of an employee’s annual compensation. The match was in Company stock. The Company’s contribution for 2025 and 2024 was $811,622 and $768,288, respectively under the plan.</w:t>
      </w:r>
    </w:p>
    <w:p>
      <w:pPr>
        <w:spacing w:after="0" w:line="183"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The Company has a Non-Qualified Deferred Compensation Plan. Under the terms of the Plan, the Company will provide deferred compensation for a select group of management or highly compensated employees, within the meaning of Sections 201(2), 301(a)(3) and 401(a)(1) of the Employee Retirement Income Security Act of 1974, as amended. The Board has appointed a Committee of the Company to be the Plan Administrator and to determine the employees who are eligible to participate in the plan. The employees who participate may elect to defer a portion of their compensation into the plan. The Company may contribute into the plan at the discretion of the Company’s Board of Directors. The Company’s contribution for 2025 and 2024 was $503,654 and nil, respectively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101</w:t>
      </w:r>
    </w:p>
    <w:p>
      <w:pPr>
        <w:sectPr>
          <w:pgSz w:w="12240" w:h="15840" w:orient="portrait"/>
          <w:cols w:equalWidth="0" w:num="1">
            <w:col w:w="11242"/>
          </w:cols>
          <w:pgMar w:left="498" w:top="687" w:right="500" w:bottom="0" w:gutter="0" w:footer="0" w:header="0"/>
          <w:type w:val="continuous"/>
        </w:sectPr>
      </w:pPr>
    </w:p>
    <w:bookmarkStart w:id="129" w:name="page130"/>
    <w:bookmarkEnd w:id="129"/>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Compensation Plans and Retirement Plans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In June 2024, the Board members approved a motion to extend the Chief Executive Officer’s employment agreement, dated December 4, 2012, for an additional six-year term ending December 31, 2030. In the event of disability, the Chief Executive Officer’s salary would be continued for up to five years at 75% of its current level of compensation. In the event of a sale or merger of the Company and the Chief Executive Officer is not retained in his current position, the Company would be obligated to continue paying the Chief Executive Officer’s current compensation and benefits for seven years following the merger or sale. The agreement further provides that the Chief Executive Officer is entitled to receive annual retirement benefits beginning (i) one month from the date of his retirement (to commence no sooner than age 65), (ii) five years following complete disability, or (iii) upon termination of his employment without cause. These retirement benefits are to be paid for a period of twenty years in annual installments in the amount equal to 75% of his then current level of compensation. If the Chief Executive Officer dies prior to receiving all retirement benefits thereunder, the remaining benefits are to be paid to his heirs. The Company adjusted the accrual by $1,479,348 and $340,557 during 2025 and 2024, respectively, to cover the present value of anticipated retirement benefits under the employment agreement. The liability accrued was $8,695,154 and $7,215,806 as of December 31, 2025 and 2024, respectively.</w:t>
      </w:r>
    </w:p>
    <w:p>
      <w:pPr>
        <w:spacing w:after="0" w:line="191" w:lineRule="exact"/>
        <w:rPr>
          <w:sz w:val="20"/>
          <w:szCs w:val="20"/>
          <w:color w:val="auto"/>
        </w:rPr>
      </w:pPr>
    </w:p>
    <w:p>
      <w:pPr>
        <w:jc w:val="both"/>
        <w:ind w:left="2" w:right="20"/>
        <w:spacing w:after="0" w:line="255" w:lineRule="auto"/>
        <w:rPr>
          <w:sz w:val="20"/>
          <w:szCs w:val="20"/>
          <w:color w:val="auto"/>
        </w:rPr>
      </w:pPr>
      <w:r>
        <w:rPr>
          <w:rFonts w:ascii="Times New Roman" w:cs="Times New Roman" w:eastAsia="Times New Roman" w:hAnsi="Times New Roman"/>
          <w:sz w:val="18"/>
          <w:szCs w:val="18"/>
          <w:color w:val="auto"/>
        </w:rPr>
        <w:t>The Company also has an employment agreement with its former Vice President of Mortgage Operations and President of SecurityNational Mortgage, who retired from the Company on December 31, 2015. Under the terms of the employment agreement, this individual is entitled to receive retirement benefits from the Company for a period of ten years in an amount equal to 50% of his rate of compensation at the time of his retirement, which was $267,685 for the year ended December 31, 2015. If this individual dies prior to receiving all his retirement benefits under his employment agreement, the remaining benefits will be made to his heirs. The company has paid monthly installments that equal an annual payment of $133,843 to this individual each year since 2016. The liability accrued was nil and $133,843 as of December 31, 2025 and 2024, respectively and is included in other liabilities and accrued expenses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102</w:t>
      </w:r>
    </w:p>
    <w:p>
      <w:pPr>
        <w:sectPr>
          <w:pgSz w:w="12240" w:h="15840" w:orient="portrait"/>
          <w:cols w:equalWidth="0" w:num="1">
            <w:col w:w="11242"/>
          </w:cols>
          <w:pgMar w:left="498" w:top="687" w:right="500" w:bottom="0" w:gutter="0" w:footer="0" w:header="0"/>
        </w:sectPr>
      </w:pPr>
    </w:p>
    <w:bookmarkStart w:id="130" w:name="page131"/>
    <w:bookmarkEnd w:id="130"/>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Financial Information and Dividend Limitations</w:t>
      </w:r>
    </w:p>
    <w:p>
      <w:pPr>
        <w:spacing w:after="0" w:line="225" w:lineRule="exact"/>
        <w:rPr>
          <w:sz w:val="20"/>
          <w:szCs w:val="20"/>
          <w:color w:val="auto"/>
        </w:rPr>
      </w:pPr>
    </w:p>
    <w:p>
      <w:pPr>
        <w:jc w:val="both"/>
        <w:ind w:left="2"/>
        <w:spacing w:after="0" w:line="256" w:lineRule="auto"/>
        <w:rPr>
          <w:sz w:val="20"/>
          <w:szCs w:val="20"/>
          <w:color w:val="auto"/>
        </w:rPr>
      </w:pPr>
      <w:r>
        <w:rPr>
          <w:rFonts w:ascii="Times New Roman" w:cs="Times New Roman" w:eastAsia="Times New Roman" w:hAnsi="Times New Roman"/>
          <w:sz w:val="18"/>
          <w:szCs w:val="18"/>
          <w:color w:val="auto"/>
        </w:rPr>
        <w:t>The Company’s insurance subsidiaries are also required to prepare statutory-basis financial statements in conformity with accounting practices prescribed or permitted by the insurance department of the applicable state of domicile. The prescribed statutory accounting practices include the Accounting Practices and Procedures Manual of the NAIC, a variety of publications of the NAIC, as well as state laws, regulations, and general administrative rules. Statutory accounting practices differ from GAAP primarily since they require expensing policy acquisition and certain sales inducement costs as incurred, establishing life insurance reserves based on different actuarial assumptions, applying different valuing methods for certain investments and accounting for deferred taxes on a different basis.</w:t>
      </w:r>
    </w:p>
    <w:p>
      <w:pPr>
        <w:spacing w:after="0" w:line="187"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The statutory net income and capital and surplus of the Company’s insurance subsidiaries, determined in accordance with statutory accounting practices prescribed by insurance regulatory authorities are as follows:</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229"/>
        </w:trPr>
        <w:tc>
          <w:tcPr>
            <w:tcW w:w="4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Statutory Net Income</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Statutory Capital and Surplus</w:t>
            </w:r>
          </w:p>
        </w:tc>
      </w:tr>
      <w:tr>
        <w:trPr>
          <w:trHeight w:val="236"/>
        </w:trPr>
        <w:tc>
          <w:tcPr>
            <w:tcW w:w="4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8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Years Ended December 31,</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rPr>
              <w:t>December 31,</w:t>
            </w:r>
          </w:p>
        </w:tc>
      </w:tr>
      <w:tr>
        <w:trPr>
          <w:trHeight w:val="223"/>
        </w:trPr>
        <w:tc>
          <w:tcPr>
            <w:tcW w:w="4320" w:type="dxa"/>
            <w:vAlign w:val="bottom"/>
            <w:tcBorders>
              <w:bottom w:val="single" w:sz="8" w:color="DEDEDE"/>
            </w:tcBorders>
          </w:tcPr>
          <w:p>
            <w:pPr>
              <w:spacing w:after="0"/>
              <w:rPr>
                <w:sz w:val="19"/>
                <w:szCs w:val="19"/>
                <w:color w:val="auto"/>
              </w:rPr>
            </w:pPr>
          </w:p>
        </w:tc>
        <w:tc>
          <w:tcPr>
            <w:tcW w:w="860" w:type="dxa"/>
            <w:vAlign w:val="bottom"/>
            <w:tcBorders>
              <w:bottom w:val="single" w:sz="8" w:color="DEDEDE"/>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DEDEDE"/>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DEDEDE"/>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Borders>
              <w:top w:val="single" w:sz="8" w:color="auto"/>
              <w:bottom w:val="single" w:sz="8" w:color="DEDEDE"/>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Borders>
              <w:bottom w:val="single" w:sz="8" w:color="DEDEDE"/>
            </w:tcBorders>
          </w:tcPr>
          <w:p>
            <w:pPr>
              <w:spacing w:after="0"/>
              <w:rPr>
                <w:sz w:val="19"/>
                <w:szCs w:val="19"/>
                <w:color w:val="auto"/>
              </w:rPr>
            </w:pPr>
          </w:p>
        </w:tc>
      </w:tr>
      <w:tr>
        <w:trPr>
          <w:trHeight w:val="210"/>
        </w:trPr>
        <w:tc>
          <w:tcPr>
            <w:tcW w:w="43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Amounts by insurance subsidiary:</w:t>
            </w:r>
          </w:p>
        </w:tc>
        <w:tc>
          <w:tcPr>
            <w:tcW w:w="8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00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980" w:type="dxa"/>
            <w:vAlign w:val="bottom"/>
            <w:shd w:val="clear" w:color="auto" w:fill="DEDEDE"/>
          </w:tcPr>
          <w:p>
            <w:pPr>
              <w:spacing w:after="0"/>
              <w:rPr>
                <w:sz w:val="18"/>
                <w:szCs w:val="18"/>
                <w:color w:val="auto"/>
              </w:rPr>
            </w:pPr>
          </w:p>
        </w:tc>
        <w:tc>
          <w:tcPr>
            <w:tcW w:w="3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020" w:type="dxa"/>
            <w:vAlign w:val="bottom"/>
            <w:shd w:val="clear" w:color="auto" w:fill="DEDEDE"/>
          </w:tcPr>
          <w:p>
            <w:pPr>
              <w:spacing w:after="0"/>
              <w:rPr>
                <w:sz w:val="18"/>
                <w:szCs w:val="18"/>
                <w:color w:val="auto"/>
              </w:rPr>
            </w:pPr>
          </w:p>
        </w:tc>
        <w:tc>
          <w:tcPr>
            <w:tcW w:w="34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020" w:type="dxa"/>
            <w:vAlign w:val="bottom"/>
            <w:shd w:val="clear" w:color="auto" w:fill="DEDEDE"/>
          </w:tcPr>
          <w:p>
            <w:pPr>
              <w:spacing w:after="0"/>
              <w:rPr>
                <w:sz w:val="18"/>
                <w:szCs w:val="18"/>
                <w:color w:val="auto"/>
              </w:rPr>
            </w:pPr>
          </w:p>
        </w:tc>
        <w:tc>
          <w:tcPr>
            <w:tcW w:w="120" w:type="dxa"/>
            <w:vAlign w:val="bottom"/>
            <w:shd w:val="clear" w:color="auto" w:fill="DEDEDE"/>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Security National Life Insurance Company</w:t>
            </w:r>
          </w:p>
        </w:tc>
        <w:tc>
          <w:tcPr>
            <w:tcW w:w="112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18,573,017</w:t>
            </w:r>
          </w:p>
        </w:tc>
        <w:tc>
          <w:tcPr>
            <w:tcW w:w="6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9,618,883</w:t>
            </w:r>
          </w:p>
        </w:tc>
        <w:tc>
          <w:tcPr>
            <w:tcW w:w="5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104,233,477</w:t>
            </w:r>
          </w:p>
        </w:tc>
        <w:tc>
          <w:tcPr>
            <w:tcW w:w="5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87,559,495</w:t>
            </w:r>
          </w:p>
        </w:tc>
        <w:tc>
          <w:tcPr>
            <w:tcW w:w="120" w:type="dxa"/>
            <w:vAlign w:val="bottom"/>
          </w:tcPr>
          <w:p>
            <w:pPr>
              <w:spacing w:after="0"/>
              <w:rPr>
                <w:sz w:val="18"/>
                <w:szCs w:val="18"/>
                <w:color w:val="auto"/>
              </w:rPr>
            </w:pPr>
          </w:p>
        </w:tc>
      </w:tr>
      <w:tr>
        <w:trPr>
          <w:trHeight w:val="216"/>
        </w:trPr>
        <w:tc>
          <w:tcPr>
            <w:tcW w:w="43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Kilpatrick Life Insurance Company</w:t>
            </w:r>
          </w:p>
        </w:tc>
        <w:tc>
          <w:tcPr>
            <w:tcW w:w="8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2,179,362</w:t>
            </w:r>
          </w:p>
        </w:tc>
        <w:tc>
          <w:tcPr>
            <w:tcW w:w="34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2,749,370</w:t>
            </w:r>
          </w:p>
        </w:tc>
        <w:tc>
          <w:tcPr>
            <w:tcW w:w="3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22,340,067</w:t>
            </w:r>
          </w:p>
        </w:tc>
        <w:tc>
          <w:tcPr>
            <w:tcW w:w="34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21,419,520</w:t>
            </w:r>
          </w:p>
        </w:tc>
        <w:tc>
          <w:tcPr>
            <w:tcW w:w="120" w:type="dxa"/>
            <w:vAlign w:val="bottom"/>
            <w:shd w:val="clear" w:color="auto" w:fill="DEDEDE"/>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First Guaranty Insurance Company</w:t>
            </w: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1,446,771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1,336,977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10,394,211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9,140,283</w:t>
            </w:r>
          </w:p>
        </w:tc>
        <w:tc>
          <w:tcPr>
            <w:tcW w:w="120" w:type="dxa"/>
            <w:vAlign w:val="bottom"/>
          </w:tcPr>
          <w:p>
            <w:pPr>
              <w:spacing w:after="0"/>
              <w:rPr>
                <w:sz w:val="18"/>
                <w:szCs w:val="18"/>
                <w:color w:val="auto"/>
              </w:rPr>
            </w:pPr>
          </w:p>
        </w:tc>
      </w:tr>
      <w:tr>
        <w:trPr>
          <w:trHeight w:val="216"/>
        </w:trPr>
        <w:tc>
          <w:tcPr>
            <w:tcW w:w="43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Southern Security Life Insurance Company, Inc.</w:t>
            </w:r>
          </w:p>
        </w:tc>
        <w:tc>
          <w:tcPr>
            <w:tcW w:w="86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100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34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98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1,587,842</w:t>
            </w:r>
          </w:p>
        </w:tc>
        <w:tc>
          <w:tcPr>
            <w:tcW w:w="340" w:type="dxa"/>
            <w:vAlign w:val="bottom"/>
            <w:shd w:val="clear" w:color="auto" w:fill="DEDEDE"/>
          </w:tcPr>
          <w:p>
            <w:pPr>
              <w:spacing w:after="0"/>
              <w:rPr>
                <w:sz w:val="18"/>
                <w:szCs w:val="18"/>
                <w:color w:val="auto"/>
              </w:rPr>
            </w:pPr>
          </w:p>
        </w:tc>
        <w:tc>
          <w:tcPr>
            <w:tcW w:w="200" w:type="dxa"/>
            <w:vAlign w:val="bottom"/>
            <w:shd w:val="clear" w:color="auto" w:fill="DEDEDE"/>
          </w:tcPr>
          <w:p>
            <w:pPr>
              <w:spacing w:after="0"/>
              <w:rPr>
                <w:sz w:val="18"/>
                <w:szCs w:val="18"/>
                <w:color w:val="auto"/>
              </w:rPr>
            </w:pPr>
          </w:p>
        </w:tc>
        <w:tc>
          <w:tcPr>
            <w:tcW w:w="1020" w:type="dxa"/>
            <w:vAlign w:val="bottom"/>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1,584,583</w:t>
            </w:r>
          </w:p>
        </w:tc>
        <w:tc>
          <w:tcPr>
            <w:tcW w:w="120" w:type="dxa"/>
            <w:vAlign w:val="bottom"/>
            <w:shd w:val="clear" w:color="auto" w:fill="DEDEDE"/>
          </w:tcPr>
          <w:p>
            <w:pPr>
              <w:spacing w:after="0"/>
              <w:rPr>
                <w:sz w:val="18"/>
                <w:szCs w:val="18"/>
                <w:color w:val="auto"/>
              </w:rPr>
            </w:pPr>
          </w:p>
        </w:tc>
      </w:tr>
      <w:tr>
        <w:trPr>
          <w:trHeight w:val="230"/>
        </w:trPr>
        <w:tc>
          <w:tcPr>
            <w:tcW w:w="4320" w:type="dxa"/>
            <w:vAlign w:val="bottom"/>
            <w:tcBorders>
              <w:bottom w:val="single" w:sz="8" w:color="DEDEDE"/>
            </w:tcBorders>
          </w:tcPr>
          <w:p>
            <w:pPr>
              <w:spacing w:after="0"/>
              <w:rPr>
                <w:sz w:val="20"/>
                <w:szCs w:val="20"/>
                <w:color w:val="auto"/>
              </w:rPr>
            </w:pPr>
            <w:r>
              <w:rPr>
                <w:rFonts w:ascii="Times New Roman" w:cs="Times New Roman" w:eastAsia="Times New Roman" w:hAnsi="Times New Roman"/>
                <w:sz w:val="18"/>
                <w:szCs w:val="18"/>
                <w:color w:val="auto"/>
              </w:rPr>
              <w:t>Trans-Western Life Insurance Company</w:t>
            </w:r>
          </w:p>
        </w:tc>
        <w:tc>
          <w:tcPr>
            <w:tcW w:w="860" w:type="dxa"/>
            <w:vAlign w:val="bottom"/>
            <w:tcBorders>
              <w:bottom w:val="single" w:sz="8" w:color="DEDED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Borders>
              <w:bottom w:val="single" w:sz="8" w:color="DEDEDE"/>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Borders>
              <w:bottom w:val="single" w:sz="8" w:color="DEDED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512,615</w:t>
            </w:r>
          </w:p>
        </w:tc>
        <w:tc>
          <w:tcPr>
            <w:tcW w:w="340" w:type="dxa"/>
            <w:vAlign w:val="bottom"/>
            <w:tcBorders>
              <w:bottom w:val="single" w:sz="8" w:color="DEDEDE"/>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512,612</w:t>
            </w:r>
          </w:p>
        </w:tc>
        <w:tc>
          <w:tcPr>
            <w:tcW w:w="120" w:type="dxa"/>
            <w:vAlign w:val="bottom"/>
            <w:tcBorders>
              <w:bottom w:val="single" w:sz="8" w:color="DEDEDE"/>
            </w:tcBorders>
          </w:tcPr>
          <w:p>
            <w:pPr>
              <w:spacing w:after="0"/>
              <w:rPr>
                <w:sz w:val="19"/>
                <w:szCs w:val="19"/>
                <w:color w:val="auto"/>
              </w:rPr>
            </w:pPr>
          </w:p>
        </w:tc>
      </w:tr>
      <w:tr>
        <w:trPr>
          <w:trHeight w:val="223"/>
        </w:trPr>
        <w:tc>
          <w:tcPr>
            <w:tcW w:w="4320" w:type="dxa"/>
            <w:vAlign w:val="bottom"/>
            <w:tcBorders>
              <w:bottom w:val="single" w:sz="8" w:color="DEDEDE"/>
            </w:tcBorders>
            <w:shd w:val="clear" w:color="auto" w:fill="DEDEDE"/>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DEDEDE"/>
            </w:tcBorders>
            <w:shd w:val="clear" w:color="auto" w:fill="DEDEDE"/>
          </w:tcPr>
          <w:p>
            <w:pPr>
              <w:spacing w:after="0"/>
              <w:rPr>
                <w:sz w:val="19"/>
                <w:szCs w:val="19"/>
                <w:color w:val="auto"/>
              </w:rPr>
            </w:pPr>
          </w:p>
        </w:tc>
        <w:tc>
          <w:tcPr>
            <w:tcW w:w="260" w:type="dxa"/>
            <w:vAlign w:val="bottom"/>
            <w:tcBorders>
              <w:bottom w:val="single" w:sz="8" w:color="auto"/>
            </w:tcBorders>
            <w:shd w:val="clear" w:color="auto" w:fill="DEDEDE"/>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22,199,319</w:t>
            </w:r>
          </w:p>
        </w:tc>
        <w:tc>
          <w:tcPr>
            <w:tcW w:w="340" w:type="dxa"/>
            <w:vAlign w:val="bottom"/>
            <w:tcBorders>
              <w:bottom w:val="single" w:sz="8" w:color="DEDEDE"/>
            </w:tcBorders>
            <w:shd w:val="clear" w:color="auto" w:fill="DEDEDE"/>
          </w:tcPr>
          <w:p>
            <w:pPr>
              <w:spacing w:after="0"/>
              <w:rPr>
                <w:sz w:val="19"/>
                <w:szCs w:val="19"/>
                <w:color w:val="auto"/>
              </w:rPr>
            </w:pPr>
          </w:p>
        </w:tc>
        <w:tc>
          <w:tcPr>
            <w:tcW w:w="260" w:type="dxa"/>
            <w:vAlign w:val="bottom"/>
            <w:tcBorders>
              <w:bottom w:val="single" w:sz="8" w:color="auto"/>
            </w:tcBorders>
            <w:shd w:val="clear" w:color="auto" w:fill="DEDED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13,705,295</w:t>
            </w:r>
          </w:p>
        </w:tc>
        <w:tc>
          <w:tcPr>
            <w:tcW w:w="320" w:type="dxa"/>
            <w:vAlign w:val="bottom"/>
            <w:tcBorders>
              <w:bottom w:val="single" w:sz="8" w:color="DEDEDE"/>
            </w:tcBorders>
            <w:shd w:val="clear" w:color="auto" w:fill="DEDEDE"/>
          </w:tcPr>
          <w:p>
            <w:pPr>
              <w:spacing w:after="0"/>
              <w:rPr>
                <w:sz w:val="19"/>
                <w:szCs w:val="19"/>
                <w:color w:val="auto"/>
              </w:rPr>
            </w:pPr>
          </w:p>
        </w:tc>
        <w:tc>
          <w:tcPr>
            <w:tcW w:w="200" w:type="dxa"/>
            <w:vAlign w:val="bottom"/>
            <w:tcBorders>
              <w:bottom w:val="single" w:sz="8" w:color="auto"/>
            </w:tcBorders>
            <w:shd w:val="clear" w:color="auto" w:fill="DEDED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139,068,212</w:t>
            </w:r>
          </w:p>
        </w:tc>
        <w:tc>
          <w:tcPr>
            <w:tcW w:w="340" w:type="dxa"/>
            <w:vAlign w:val="bottom"/>
            <w:tcBorders>
              <w:bottom w:val="single" w:sz="8" w:color="DEDEDE"/>
            </w:tcBorders>
            <w:shd w:val="clear" w:color="auto" w:fill="DEDEDE"/>
          </w:tcPr>
          <w:p>
            <w:pPr>
              <w:spacing w:after="0"/>
              <w:rPr>
                <w:sz w:val="19"/>
                <w:szCs w:val="19"/>
                <w:color w:val="auto"/>
              </w:rPr>
            </w:pPr>
          </w:p>
        </w:tc>
        <w:tc>
          <w:tcPr>
            <w:tcW w:w="200" w:type="dxa"/>
            <w:vAlign w:val="bottom"/>
            <w:tcBorders>
              <w:bottom w:val="single" w:sz="8" w:color="auto"/>
            </w:tcBorders>
            <w:shd w:val="clear" w:color="auto" w:fill="DEDED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120,216,493</w:t>
            </w:r>
          </w:p>
        </w:tc>
        <w:tc>
          <w:tcPr>
            <w:tcW w:w="120" w:type="dxa"/>
            <w:vAlign w:val="bottom"/>
            <w:tcBorders>
              <w:bottom w:val="single" w:sz="8" w:color="DEDEDE"/>
            </w:tcBorders>
            <w:shd w:val="clear" w:color="auto" w:fill="DEDEDE"/>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ind w:left="2" w:right="20"/>
        <w:spacing w:after="0" w:line="255" w:lineRule="auto"/>
        <w:rPr>
          <w:sz w:val="20"/>
          <w:szCs w:val="20"/>
          <w:color w:val="auto"/>
        </w:rPr>
      </w:pPr>
      <w:r>
        <w:rPr>
          <w:rFonts w:ascii="Times New Roman" w:cs="Times New Roman" w:eastAsia="Times New Roman" w:hAnsi="Times New Roman"/>
          <w:sz w:val="18"/>
          <w:szCs w:val="18"/>
          <w:color w:val="auto"/>
        </w:rPr>
        <w:t>State Insurance Departments impose minimum risk-based capital (“RBC”) requirements that were developed by the NAIC on insurance enterprises. The formulas for determining the RBC specify various factors that are applied to financial balances or various levels of activity based on the perceived degree of risk. Regulatory compliance is determined by a ratio (the Ratio) of the enterprise’s regulatory total adjusted capital, as defined by the NAIC, to its authorized control level, as defined by the NAIC. Enterprises below specific trigger points or ratios are classified within certain levels, each of which requires specified corrective action. The life insurance subsidiaries each have a ratio that is greater than the first level of regulatory action as of December 31, 2025. The Company does not have any guarantees to maintain the capital and surplus of any affiliates except for the Company’s agreement to provide additional capital to Security National Life Insurance Company in the event risk-based capital drops below 350% of the authorized control level.</w:t>
      </w:r>
    </w:p>
    <w:p>
      <w:pPr>
        <w:spacing w:after="0" w:line="188" w:lineRule="exact"/>
        <w:rPr>
          <w:sz w:val="20"/>
          <w:szCs w:val="20"/>
          <w:color w:val="auto"/>
        </w:rPr>
      </w:pPr>
    </w:p>
    <w:p>
      <w:pPr>
        <w:jc w:val="both"/>
        <w:ind w:left="2" w:right="20"/>
        <w:spacing w:after="0" w:line="266" w:lineRule="auto"/>
        <w:rPr>
          <w:sz w:val="20"/>
          <w:szCs w:val="20"/>
          <w:color w:val="auto"/>
        </w:rPr>
      </w:pPr>
      <w:r>
        <w:rPr>
          <w:rFonts w:ascii="Times New Roman" w:cs="Times New Roman" w:eastAsia="Times New Roman" w:hAnsi="Times New Roman"/>
          <w:sz w:val="18"/>
          <w:szCs w:val="18"/>
          <w:color w:val="auto"/>
        </w:rPr>
        <w:t>Generally, the net assets of the life insurance subsidiaries available for transfer to the Company are limited to the amounts of the life insurance subsidiaries net assets, as determined in accordance with statutory accounting practices, that exceed minimum statutory capital requirements. Additional requirements must be met depending on the state, and payments of such amounts as dividends are subject to approval by regulatory authorities.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103</w:t>
      </w:r>
    </w:p>
    <w:p>
      <w:pPr>
        <w:sectPr>
          <w:pgSz w:w="12240" w:h="15840" w:orient="portrait"/>
          <w:cols w:equalWidth="0" w:num="1">
            <w:col w:w="11242"/>
          </w:cols>
          <w:pgMar w:left="498" w:top="687" w:right="500" w:bottom="0" w:gutter="0" w:footer="0" w:header="0"/>
        </w:sectPr>
      </w:pPr>
    </w:p>
    <w:bookmarkStart w:id="131" w:name="page132"/>
    <w:bookmarkEnd w:id="131"/>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Financial Information and Dividend Limitations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Under the Utah Insurance Code, Security National Life Insurance Company is permitted to pay stockholder dividends, or otherwise make distributions, to the Company subject to certain limitations. Security National Life Insurance Company must ensure that its surplus held for policyholders is reasonable in relation to its outstanding liabilities and adequate to its financial needs after payment of any such dividend or distribution. Furthermore, where any dividend or distribution, together with all other dividends and distributions made within the preceding 12 months, exceeds the lesser of (i) 10% of its surplus held for policyholders as of the next preceding December 31; or (ii) its net gain from operations, not including realized capital gains, for the 12-month period ending the next preceding December 31, such dividend or distribution constitutes “extraordinary” under Utah law and Security National Life Insurance Company would be required to file notice of its intention to declare such a dividend or make such a distribution with the Utah Commissioner and the Utah Commissioner must either approve the distribution or dividend or not disapprove the dividend or distribution within 30 days’ of the notice filing. Based on Security National Life Insurance Company’s surplus held for policyholders and net gain from operations as of December 31, 2025, the maximum aggregate amount of dividends and distributions that it could pay or make in 2025 and which would not constitute an “extraordinary” dividend or distribution under Utah law and would therefore not require notice and approval or lack of disproval from the Utah Commissioner, would be approximately $8,500,000.</w:t>
      </w:r>
    </w:p>
    <w:p>
      <w:pPr>
        <w:spacing w:after="0" w:line="191" w:lineRule="exact"/>
        <w:rPr>
          <w:sz w:val="20"/>
          <w:szCs w:val="20"/>
          <w:color w:val="auto"/>
        </w:rPr>
      </w:pPr>
    </w:p>
    <w:p>
      <w:pPr>
        <w:jc w:val="both"/>
        <w:ind w:left="2"/>
        <w:spacing w:after="0" w:line="253" w:lineRule="auto"/>
        <w:rPr>
          <w:sz w:val="20"/>
          <w:szCs w:val="20"/>
          <w:color w:val="auto"/>
        </w:rPr>
      </w:pPr>
      <w:r>
        <w:rPr>
          <w:rFonts w:ascii="Times New Roman" w:cs="Times New Roman" w:eastAsia="Times New Roman" w:hAnsi="Times New Roman"/>
          <w:sz w:val="18"/>
          <w:szCs w:val="18"/>
          <w:color w:val="auto"/>
        </w:rPr>
        <w:t>Under the Louisiana Insurance Code, First Guaranty Insurance Company and Kilpatrick Life Insurance Company are permitted to pay stockholder dividends, or otherwise make distributions, to the Company subject to certain limitations. First Guaranty Insurance Company and Kilpatrick Life Insurance Company must ensure that its surplus held for policyholders is reasonable in relation to its outstanding liabilities and adequate to its financial needs after payment of any such dividend or distribution. Furthermore, where any dividend or distribution, together with all other dividends and distributions made within the preceding 12 months, exceeds the lesser of (i) 10% of its surplus held for policyholders as of the next preceding December 31; or (ii) its net gain from operations, not including realized capital gains, for the 12-month period ending the next preceding December 31, such dividend or distribution constitutes “extraordinary” under Louisiana law and First Guaranty Insurance Company and Kilpatrick Life Insurance Company would be required to file notice of its intention to declare such a dividend or make such a distribution with the Louisiana Commissioner and the Louisiana Commissioner must either approve the distribution or dividend or not disapprove the dividend or distribution within 30 days’ of the notice filing. Based on First Guaranty Insurance Company’s and Kilpatrick Life Insurance Company’s surplus held for policyholders and net gain from operations as of December 31, 2025, the maximum aggregate amount of dividends and distributions that it could pay or make in 2025 and which would not constitute an “extraordinary” dividend or distribution under Louisiana law and would therefore not require notice and approval or lack of disproval from the Louisiana Commissioner, would be approximately $814,000 for First Guaranty Insurance Company and $2,062,000 for Kilpatrick Life Insurance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104</w:t>
      </w:r>
    </w:p>
    <w:p>
      <w:pPr>
        <w:sectPr>
          <w:pgSz w:w="12240" w:h="15840" w:orient="portrait"/>
          <w:cols w:equalWidth="0" w:num="1">
            <w:col w:w="11242"/>
          </w:cols>
          <w:pgMar w:left="498" w:top="687" w:right="500" w:bottom="0" w:gutter="0" w:footer="0" w:header="0"/>
        </w:sectPr>
      </w:pPr>
    </w:p>
    <w:bookmarkStart w:id="132" w:name="page133"/>
    <w:bookmarkEnd w:id="132"/>
    <w:p>
      <w:pPr>
        <w:jc w:val="center"/>
        <w:ind w:right="18"/>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25" w:lineRule="exact"/>
        <w:rPr>
          <w:sz w:val="20"/>
          <w:szCs w:val="20"/>
          <w:color w:val="auto"/>
        </w:rPr>
      </w:pPr>
    </w:p>
    <w:p>
      <w:pPr>
        <w:ind w:left="642" w:hanging="642"/>
        <w:spacing w:after="0"/>
        <w:tabs>
          <w:tab w:leader="none" w:pos="642"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 and Contingencies</w:t>
      </w:r>
    </w:p>
    <w:p>
      <w:pPr>
        <w:spacing w:after="0" w:line="222"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Mortgage Loan Loss Settlements</w:t>
      </w:r>
    </w:p>
    <w:p>
      <w:pPr>
        <w:spacing w:after="0" w:line="228" w:lineRule="exact"/>
        <w:rPr>
          <w:sz w:val="20"/>
          <w:szCs w:val="20"/>
          <w:color w:val="auto"/>
        </w:rPr>
      </w:pPr>
    </w:p>
    <w:p>
      <w:pPr>
        <w:jc w:val="both"/>
        <w:ind w:left="2" w:right="20"/>
        <w:spacing w:after="0" w:line="283" w:lineRule="auto"/>
        <w:rPr>
          <w:sz w:val="20"/>
          <w:szCs w:val="20"/>
          <w:color w:val="auto"/>
        </w:rPr>
      </w:pPr>
      <w:r>
        <w:rPr>
          <w:rFonts w:ascii="Times New Roman" w:cs="Times New Roman" w:eastAsia="Times New Roman" w:hAnsi="Times New Roman"/>
          <w:sz w:val="18"/>
          <w:szCs w:val="18"/>
          <w:color w:val="auto"/>
        </w:rPr>
        <w:t>Future loan losses can be extremely difficult to estimate. However, the Company believes that the Company’s reserve methodology and its current practice of property preservation allow it to estimate potential losses on loans sold. See Note 3 for additional information about the Company’s loan loss reserve.</w:t>
      </w:r>
    </w:p>
    <w:p>
      <w:pPr>
        <w:spacing w:after="0" w:line="15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Non-Cancelable Leases</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The Company leases office space and equipment under various non-cancelable agreements. See Note 15 regarding leases.</w:t>
      </w:r>
    </w:p>
    <w:p>
      <w:pPr>
        <w:spacing w:after="0" w:line="221"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Other Contingencies and Commitments</w:t>
      </w:r>
    </w:p>
    <w:p>
      <w:pPr>
        <w:spacing w:after="0" w:line="2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color w:val="auto"/>
        </w:rPr>
        <w:t>See Note 2 regarding the Company’s commitments to fund existing construction and land development mortgage loans held for investment.</w:t>
      </w:r>
    </w:p>
    <w:p>
      <w:pPr>
        <w:spacing w:after="0" w:line="225" w:lineRule="exact"/>
        <w:rPr>
          <w:sz w:val="20"/>
          <w:szCs w:val="20"/>
          <w:color w:val="auto"/>
        </w:rPr>
      </w:pPr>
    </w:p>
    <w:p>
      <w:pPr>
        <w:jc w:val="both"/>
        <w:ind w:left="2" w:right="20"/>
        <w:spacing w:after="0" w:line="255" w:lineRule="auto"/>
        <w:rPr>
          <w:sz w:val="20"/>
          <w:szCs w:val="20"/>
          <w:color w:val="auto"/>
        </w:rPr>
      </w:pPr>
      <w:r>
        <w:rPr>
          <w:rFonts w:ascii="Times New Roman" w:cs="Times New Roman" w:eastAsia="Times New Roman" w:hAnsi="Times New Roman"/>
          <w:sz w:val="18"/>
          <w:szCs w:val="18"/>
          <w:color w:val="auto"/>
        </w:rPr>
        <w:t>The Company belongs to a captive insurance group (“the captive group”) for certain casualty insurance, worker compensation and general liability programs. The captive group maintains insurance reserves relative to these programs. The level of exposure from catastrophic events is limited by the purchase of stop-loss and aggregate liability reinsurance coverage. When estimating the insurance liabilities and related reserves, the captive group considers several factors, which include historical claims experience, demographic factors, severity factors and valuations provided by independent third-party actuaries. If actual claims or adverse development of loss reserves occurs and exceed these estimates, additional reserves may be required from the Company and its subsidiaries.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188" w:lineRule="exact"/>
        <w:rPr>
          <w:sz w:val="20"/>
          <w:szCs w:val="20"/>
          <w:color w:val="auto"/>
        </w:rPr>
      </w:pPr>
    </w:p>
    <w:p>
      <w:pPr>
        <w:jc w:val="both"/>
        <w:ind w:left="2"/>
        <w:spacing w:after="0" w:line="258" w:lineRule="auto"/>
        <w:rPr>
          <w:sz w:val="20"/>
          <w:szCs w:val="20"/>
          <w:color w:val="auto"/>
        </w:rPr>
      </w:pPr>
      <w:r>
        <w:rPr>
          <w:rFonts w:ascii="Times New Roman" w:cs="Times New Roman" w:eastAsia="Times New Roman" w:hAnsi="Times New Roman"/>
          <w:sz w:val="18"/>
          <w:szCs w:val="18"/>
          <w:color w:val="auto"/>
        </w:rPr>
        <w:t>The Company is a defendant in various legal actions arising from the normal conduct of business. The Company believes that none of the actions, if adversely determined,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 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105</w:t>
      </w:r>
    </w:p>
    <w:p>
      <w:pPr>
        <w:sectPr>
          <w:pgSz w:w="12240" w:h="15840" w:orient="portrait"/>
          <w:cols w:equalWidth="0" w:num="1">
            <w:col w:w="11242"/>
          </w:cols>
          <w:pgMar w:left="498" w:top="687" w:right="500" w:bottom="0" w:gutter="0" w:footer="0" w:header="0"/>
        </w:sectPr>
      </w:pPr>
    </w:p>
    <w:bookmarkStart w:id="133" w:name="page134"/>
    <w:bookmarkEnd w:id="133"/>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the Registrant’s Common Stock, Related Stockholder Matters, and Issuer Purchases of Equity Securities</w:t>
      </w:r>
    </w:p>
    <w:p>
      <w:pPr>
        <w:spacing w:after="0" w:line="228" w:lineRule="exact"/>
        <w:rPr>
          <w:sz w:val="20"/>
          <w:szCs w:val="20"/>
          <w:color w:val="auto"/>
        </w:rPr>
      </w:pPr>
    </w:p>
    <w:p>
      <w:pPr>
        <w:jc w:val="both"/>
        <w:ind w:left="20" w:right="20"/>
        <w:spacing w:after="0" w:line="258" w:lineRule="auto"/>
        <w:rPr>
          <w:sz w:val="20"/>
          <w:szCs w:val="20"/>
          <w:color w:val="auto"/>
        </w:rPr>
      </w:pPr>
      <w:r>
        <w:rPr>
          <w:rFonts w:ascii="Times New Roman" w:cs="Times New Roman" w:eastAsia="Times New Roman" w:hAnsi="Times New Roman"/>
          <w:sz w:val="18"/>
          <w:szCs w:val="18"/>
          <w:color w:val="auto"/>
        </w:rPr>
        <w:t>The Company’s Class A Common Stock trades on The Nasdaq Global Select Market under the symbol “SNFCA.” As of March 12, 2026, the closing stock price of the Class A Common Stock was $8.67 per share. As of March 12, 2026, there were 1,521 registered stockholders of record of the Company’s Class A Common Stock and 43 registered stockholders of record of the Company’s Class C Common Stock. Because many of the Company’s shares of Class A Common Stock are held by brokers and other institutions on behalf of the stockholders, the Company is unable to estimate the total number of stockholders represented by these record holders.</w:t>
      </w:r>
    </w:p>
    <w:p>
      <w:pPr>
        <w:spacing w:after="0" w:line="183" w:lineRule="exact"/>
        <w:rPr>
          <w:sz w:val="20"/>
          <w:szCs w:val="20"/>
          <w:color w:val="auto"/>
        </w:rPr>
      </w:pPr>
    </w:p>
    <w:p>
      <w:pPr>
        <w:jc w:val="both"/>
        <w:ind w:left="20"/>
        <w:spacing w:after="0" w:line="283" w:lineRule="auto"/>
        <w:rPr>
          <w:sz w:val="20"/>
          <w:szCs w:val="20"/>
          <w:color w:val="auto"/>
        </w:rPr>
      </w:pPr>
      <w:r>
        <w:rPr>
          <w:rFonts w:ascii="Times New Roman" w:cs="Times New Roman" w:eastAsia="Times New Roman" w:hAnsi="Times New Roman"/>
          <w:sz w:val="18"/>
          <w:szCs w:val="18"/>
          <w:color w:val="auto"/>
        </w:rPr>
        <w:t>The following were the high and low market closing stock prices for the Class A Common Stock by quarter as reported by NASDAQ since January 1, 2024:</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4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color w:val="auto"/>
              </w:rPr>
              <w:t>Price Range (1)</w:t>
            </w:r>
          </w:p>
        </w:tc>
      </w:tr>
      <w:tr>
        <w:trPr>
          <w:trHeight w:val="223"/>
        </w:trPr>
        <w:tc>
          <w:tcPr>
            <w:tcW w:w="4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High</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Low</w:t>
            </w:r>
          </w:p>
        </w:tc>
        <w:tc>
          <w:tcPr>
            <w:tcW w:w="60" w:type="dxa"/>
            <w:vAlign w:val="bottom"/>
          </w:tcPr>
          <w:p>
            <w:pPr>
              <w:spacing w:after="0"/>
              <w:rPr>
                <w:sz w:val="19"/>
                <w:szCs w:val="19"/>
                <w:color w:val="auto"/>
              </w:rPr>
            </w:pPr>
          </w:p>
        </w:tc>
      </w:tr>
      <w:tr>
        <w:trPr>
          <w:trHeight w:val="223"/>
        </w:trPr>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Period (Calendar Year)</w:t>
            </w:r>
          </w:p>
        </w:tc>
        <w:tc>
          <w:tcPr>
            <w:tcW w:w="140" w:type="dxa"/>
            <w:vAlign w:val="bottom"/>
            <w:tcBorders>
              <w:bottom w:val="single" w:sz="8" w:color="DEDEDE"/>
            </w:tcBorders>
          </w:tcPr>
          <w:p>
            <w:pPr>
              <w:spacing w:after="0"/>
              <w:rPr>
                <w:sz w:val="19"/>
                <w:szCs w:val="19"/>
                <w:color w:val="auto"/>
              </w:rPr>
            </w:pPr>
          </w:p>
        </w:tc>
        <w:tc>
          <w:tcPr>
            <w:tcW w:w="240" w:type="dxa"/>
            <w:vAlign w:val="bottom"/>
            <w:tcBorders>
              <w:top w:val="single" w:sz="8" w:color="auto"/>
              <w:bottom w:val="single" w:sz="8" w:color="DEDEDE"/>
            </w:tcBorders>
          </w:tcPr>
          <w:p>
            <w:pPr>
              <w:spacing w:after="0"/>
              <w:rPr>
                <w:sz w:val="19"/>
                <w:szCs w:val="19"/>
                <w:color w:val="auto"/>
              </w:rPr>
            </w:pPr>
          </w:p>
        </w:tc>
        <w:tc>
          <w:tcPr>
            <w:tcW w:w="920" w:type="dxa"/>
            <w:vAlign w:val="bottom"/>
            <w:tcBorders>
              <w:top w:val="single" w:sz="8" w:color="auto"/>
              <w:bottom w:val="single" w:sz="8" w:color="DEDEDE"/>
            </w:tcBorders>
          </w:tcPr>
          <w:p>
            <w:pPr>
              <w:spacing w:after="0"/>
              <w:rPr>
                <w:sz w:val="19"/>
                <w:szCs w:val="19"/>
                <w:color w:val="auto"/>
              </w:rPr>
            </w:pPr>
          </w:p>
        </w:tc>
        <w:tc>
          <w:tcPr>
            <w:tcW w:w="180" w:type="dxa"/>
            <w:vAlign w:val="bottom"/>
            <w:tcBorders>
              <w:bottom w:val="single" w:sz="8" w:color="DEDEDE"/>
            </w:tcBorders>
          </w:tcPr>
          <w:p>
            <w:pPr>
              <w:spacing w:after="0"/>
              <w:rPr>
                <w:sz w:val="19"/>
                <w:szCs w:val="19"/>
                <w:color w:val="auto"/>
              </w:rPr>
            </w:pPr>
          </w:p>
        </w:tc>
        <w:tc>
          <w:tcPr>
            <w:tcW w:w="260" w:type="dxa"/>
            <w:vAlign w:val="bottom"/>
            <w:tcBorders>
              <w:top w:val="single" w:sz="8" w:color="auto"/>
              <w:bottom w:val="single" w:sz="8" w:color="DEDEDE"/>
            </w:tcBorders>
          </w:tcPr>
          <w:p>
            <w:pPr>
              <w:spacing w:after="0"/>
              <w:rPr>
                <w:sz w:val="19"/>
                <w:szCs w:val="19"/>
                <w:color w:val="auto"/>
              </w:rPr>
            </w:pPr>
          </w:p>
        </w:tc>
        <w:tc>
          <w:tcPr>
            <w:tcW w:w="900" w:type="dxa"/>
            <w:vAlign w:val="bottom"/>
            <w:tcBorders>
              <w:top w:val="single" w:sz="8" w:color="auto"/>
              <w:bottom w:val="single" w:sz="8" w:color="DEDEDE"/>
            </w:tcBorders>
          </w:tcPr>
          <w:p>
            <w:pPr>
              <w:spacing w:after="0"/>
              <w:rPr>
                <w:sz w:val="19"/>
                <w:szCs w:val="19"/>
                <w:color w:val="auto"/>
              </w:rPr>
            </w:pPr>
          </w:p>
        </w:tc>
        <w:tc>
          <w:tcPr>
            <w:tcW w:w="60" w:type="dxa"/>
            <w:vAlign w:val="bottom"/>
            <w:tcBorders>
              <w:bottom w:val="single" w:sz="8" w:color="DEDEDE"/>
            </w:tcBorders>
          </w:tcPr>
          <w:p>
            <w:pPr>
              <w:spacing w:after="0"/>
              <w:rPr>
                <w:sz w:val="19"/>
                <w:szCs w:val="19"/>
                <w:color w:val="auto"/>
              </w:rPr>
            </w:pPr>
          </w:p>
        </w:tc>
      </w:tr>
      <w:tr>
        <w:trPr>
          <w:trHeight w:val="210"/>
        </w:trPr>
        <w:tc>
          <w:tcPr>
            <w:tcW w:w="40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9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9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w:t>
            </w:r>
          </w:p>
        </w:tc>
      </w:tr>
      <w:tr>
        <w:trPr>
          <w:trHeight w:val="216"/>
        </w:trPr>
        <w:tc>
          <w:tcPr>
            <w:tcW w:w="404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38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7.62</w:t>
            </w:r>
          </w:p>
        </w:tc>
        <w:tc>
          <w:tcPr>
            <w:tcW w:w="260" w:type="dxa"/>
            <w:vAlign w:val="bottom"/>
            <w:shd w:val="clear" w:color="auto" w:fill="DEDED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404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38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12.78</w:t>
            </w:r>
          </w:p>
        </w:tc>
        <w:tc>
          <w:tcPr>
            <w:tcW w:w="260" w:type="dxa"/>
            <w:vAlign w:val="bottom"/>
            <w:shd w:val="clear" w:color="auto" w:fill="DEDED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8.69</w:t>
            </w:r>
          </w:p>
        </w:tc>
      </w:tr>
      <w:tr>
        <w:trPr>
          <w:trHeight w:val="216"/>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9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9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 Quarter</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12.82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10.77</w:t>
            </w:r>
          </w:p>
        </w:tc>
      </w:tr>
      <w:tr>
        <w:trPr>
          <w:trHeight w:val="216"/>
        </w:trPr>
        <w:tc>
          <w:tcPr>
            <w:tcW w:w="404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Second Quarter</w:t>
            </w:r>
          </w:p>
        </w:tc>
        <w:tc>
          <w:tcPr>
            <w:tcW w:w="38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10.81</w:t>
            </w:r>
          </w:p>
        </w:tc>
        <w:tc>
          <w:tcPr>
            <w:tcW w:w="260" w:type="dxa"/>
            <w:vAlign w:val="bottom"/>
            <w:shd w:val="clear" w:color="auto" w:fill="DEDED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8.53</w:t>
            </w: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Third Quarter</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8.35</w:t>
            </w:r>
          </w:p>
        </w:tc>
      </w:tr>
      <w:tr>
        <w:trPr>
          <w:trHeight w:val="216"/>
        </w:trPr>
        <w:tc>
          <w:tcPr>
            <w:tcW w:w="404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Fourth Quarter</w:t>
            </w:r>
          </w:p>
        </w:tc>
        <w:tc>
          <w:tcPr>
            <w:tcW w:w="380" w:type="dxa"/>
            <w:vAlign w:val="bottom"/>
            <w:gridSpan w:val="2"/>
            <w:shd w:val="clear" w:color="auto" w:fill="DEDEDE"/>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DEDEDE"/>
          </w:tcPr>
          <w:p>
            <w:pPr>
              <w:jc w:val="right"/>
              <w:ind w:right="180"/>
              <w:spacing w:after="0"/>
              <w:rPr>
                <w:sz w:val="20"/>
                <w:szCs w:val="20"/>
                <w:color w:val="auto"/>
              </w:rPr>
            </w:pPr>
            <w:r>
              <w:rPr>
                <w:rFonts w:ascii="Times New Roman" w:cs="Times New Roman" w:eastAsia="Times New Roman" w:hAnsi="Times New Roman"/>
                <w:sz w:val="18"/>
                <w:szCs w:val="18"/>
                <w:color w:val="auto"/>
              </w:rPr>
              <w:t>9.44</w:t>
            </w:r>
          </w:p>
        </w:tc>
        <w:tc>
          <w:tcPr>
            <w:tcW w:w="260" w:type="dxa"/>
            <w:vAlign w:val="bottom"/>
            <w:shd w:val="clear" w:color="auto" w:fill="DEDEDE"/>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DEDEDE"/>
          </w:tcPr>
          <w:p>
            <w:pPr>
              <w:jc w:val="right"/>
              <w:ind w:right="60"/>
              <w:spacing w:after="0"/>
              <w:rPr>
                <w:sz w:val="20"/>
                <w:szCs w:val="20"/>
                <w:color w:val="auto"/>
              </w:rPr>
            </w:pPr>
            <w:r>
              <w:rPr>
                <w:rFonts w:ascii="Times New Roman" w:cs="Times New Roman" w:eastAsia="Times New Roman" w:hAnsi="Times New Roman"/>
                <w:sz w:val="18"/>
                <w:szCs w:val="18"/>
                <w:color w:val="auto"/>
              </w:rPr>
              <w:t>7.76</w:t>
            </w:r>
          </w:p>
        </w:tc>
      </w:tr>
      <w:tr>
        <w:trPr>
          <w:trHeight w:val="216"/>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4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DEDEDE"/>
          </w:tcPr>
          <w:p>
            <w:pPr>
              <w:spacing w:after="0"/>
              <w:rPr>
                <w:sz w:val="18"/>
                <w:szCs w:val="18"/>
                <w:color w:val="auto"/>
              </w:rPr>
            </w:pPr>
          </w:p>
        </w:tc>
        <w:tc>
          <w:tcPr>
            <w:tcW w:w="240" w:type="dxa"/>
            <w:vAlign w:val="bottom"/>
            <w:shd w:val="clear" w:color="auto" w:fill="DEDEDE"/>
          </w:tcPr>
          <w:p>
            <w:pPr>
              <w:spacing w:after="0"/>
              <w:rPr>
                <w:sz w:val="18"/>
                <w:szCs w:val="18"/>
                <w:color w:val="auto"/>
              </w:rPr>
            </w:pPr>
          </w:p>
        </w:tc>
        <w:tc>
          <w:tcPr>
            <w:tcW w:w="920" w:type="dxa"/>
            <w:vAlign w:val="bottom"/>
            <w:shd w:val="clear" w:color="auto" w:fill="DEDEDE"/>
          </w:tcPr>
          <w:p>
            <w:pPr>
              <w:spacing w:after="0"/>
              <w:rPr>
                <w:sz w:val="18"/>
                <w:szCs w:val="18"/>
                <w:color w:val="auto"/>
              </w:rPr>
            </w:pPr>
          </w:p>
        </w:tc>
        <w:tc>
          <w:tcPr>
            <w:tcW w:w="180" w:type="dxa"/>
            <w:vAlign w:val="bottom"/>
            <w:shd w:val="clear" w:color="auto" w:fill="DEDEDE"/>
          </w:tcPr>
          <w:p>
            <w:pPr>
              <w:spacing w:after="0"/>
              <w:rPr>
                <w:sz w:val="18"/>
                <w:szCs w:val="18"/>
                <w:color w:val="auto"/>
              </w:rPr>
            </w:pPr>
          </w:p>
        </w:tc>
        <w:tc>
          <w:tcPr>
            <w:tcW w:w="260" w:type="dxa"/>
            <w:vAlign w:val="bottom"/>
            <w:shd w:val="clear" w:color="auto" w:fill="DEDEDE"/>
          </w:tcPr>
          <w:p>
            <w:pPr>
              <w:spacing w:after="0"/>
              <w:rPr>
                <w:sz w:val="18"/>
                <w:szCs w:val="18"/>
                <w:color w:val="auto"/>
              </w:rPr>
            </w:pPr>
          </w:p>
        </w:tc>
        <w:tc>
          <w:tcPr>
            <w:tcW w:w="900" w:type="dxa"/>
            <w:vAlign w:val="bottom"/>
            <w:shd w:val="clear" w:color="auto" w:fill="DEDEDE"/>
          </w:tcPr>
          <w:p>
            <w:pPr>
              <w:spacing w:after="0"/>
              <w:rPr>
                <w:sz w:val="18"/>
                <w:szCs w:val="18"/>
                <w:color w:val="auto"/>
              </w:rPr>
            </w:pPr>
          </w:p>
        </w:tc>
        <w:tc>
          <w:tcPr>
            <w:tcW w:w="60" w:type="dxa"/>
            <w:vAlign w:val="bottom"/>
            <w:shd w:val="clear" w:color="auto" w:fill="DEDEDE"/>
          </w:tcPr>
          <w:p>
            <w:pPr>
              <w:spacing w:after="0"/>
              <w:rPr>
                <w:sz w:val="18"/>
                <w:szCs w:val="18"/>
                <w:color w:val="auto"/>
              </w:rPr>
            </w:pPr>
          </w:p>
        </w:tc>
      </w:tr>
      <w:tr>
        <w:trPr>
          <w:trHeight w:val="235"/>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(through March 12, 2026)</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8.53</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11430</wp:posOffset>
                </wp:positionH>
                <wp:positionV relativeFrom="paragraph">
                  <wp:posOffset>128905</wp:posOffset>
                </wp:positionV>
                <wp:extent cx="178308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83080" cy="4763"/>
                        </a:xfrm>
                        <a:prstGeom prst="line">
                          <a:avLst/>
                        </a:prstGeom>
                        <a:solidFill>
                          <a:srgbClr val="FFFFFF"/>
                        </a:solidFill>
                        <a:ln w="8572">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9pt,10.15pt" to="141.3pt,10.15pt" o:allowincell="f" strokecolor="#000000" strokeweight="0.675pt"/>
            </w:pict>
          </mc:Fallback>
        </mc:AlternateConten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Stock prices have been adjusted retroactively for the effect of annual stock dividends.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Class C Common Stock is not registered or traded on a national exchange. See Note 18 of the Notes to Consolidated Financial Statements.</w:t>
      </w:r>
    </w:p>
    <w:p>
      <w:pPr>
        <w:spacing w:after="0" w:line="225"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The Company has never paid a cash dividend on its Class A or Class C Common Stock. The Company currently anticipates that all its earnings will be retained for use in the operation and expansion of its business and does not intend to pay any cash dividends on its Class A or Class C Common Stock in the foreseeable future. Any future determination as to cash dividends will depend upon the earnings and financial position of the Company and such other factors as its Board of Directors may deem appropriate. The Company paid a 5% stock dividend on Class A and Class C Common Stock each year from 1990 through 2019, a 7.5% stock dividend for the year 2020, and a 5.0% stock dividend for the years 2021 through 2025.</w:t>
      </w:r>
    </w:p>
    <w:p>
      <w:pPr>
        <w:spacing w:after="0" w:line="180"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The Company did not have any share repurchases during the three-month period ended December 31, 2025. The Company did not have a 10b5-1 share repurchase plan in effect during the three-month period ended December 31, 2025. On February 16, 2026, the Company executed a 10b5-1 agreement with a broker to repurchase shares of the Company’s Class A Common Stock. Under the terms of the agreement, the broker is permitted to repurchase up to $1,000,000 of the Company’s Class A Common Stock. Purchases may commence on March 16, 2026. The agreement is subject to the daily time, price, and volume conditions of Rule 10b-18. The agreement expires on December 31, 2026.</w:t>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(c) Total Number of</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 Maximum</w:t>
            </w:r>
          </w:p>
        </w:tc>
      </w:t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Class A Shares</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Number of Class A</w:t>
            </w:r>
          </w:p>
        </w:tc>
      </w:t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Purchased as Part</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Shares that May</w:t>
            </w:r>
          </w:p>
        </w:tc>
      </w:t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8"/>
              </w:rPr>
              <w:t>(a) Total Number of</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8"/>
              </w:rPr>
              <w:t>(b) Average Price</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of Publicly</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Yet Be Purchased</w:t>
            </w:r>
          </w:p>
        </w:tc>
      </w:tr>
      <w:tr>
        <w:trPr>
          <w:trHeight w:val="216"/>
        </w:trPr>
        <w:tc>
          <w:tcPr>
            <w:tcW w:w="4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Class A 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Paid per Class A</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Announced Plan or</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Under the Plan or</w:t>
            </w:r>
          </w:p>
        </w:tc>
      </w:tr>
      <w:tr>
        <w:trPr>
          <w:trHeight w:val="236"/>
        </w:trPr>
        <w:tc>
          <w:tcPr>
            <w:tcW w:w="4280" w:type="dxa"/>
            <w:vAlign w:val="bottom"/>
            <w:gridSpan w:val="2"/>
          </w:tcPr>
          <w:p>
            <w:pPr>
              <w:ind w:left="1780"/>
              <w:spacing w:after="0"/>
              <w:rPr>
                <w:sz w:val="20"/>
                <w:szCs w:val="20"/>
                <w:color w:val="auto"/>
              </w:rPr>
            </w:pPr>
            <w:r>
              <w:rPr>
                <w:rFonts w:ascii="Times New Roman" w:cs="Times New Roman" w:eastAsia="Times New Roman" w:hAnsi="Times New Roman"/>
                <w:sz w:val="18"/>
                <w:szCs w:val="18"/>
                <w:color w:val="auto"/>
              </w:rPr>
              <w:t>Period</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Purchased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7"/>
              </w:rPr>
              <w:t>Share</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Program</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Program</w:t>
            </w:r>
          </w:p>
        </w:tc>
      </w:tr>
      <w:tr>
        <w:trPr>
          <w:trHeight w:val="210"/>
        </w:trPr>
        <w:tc>
          <w:tcPr>
            <w:tcW w:w="4040" w:type="dxa"/>
            <w:vAlign w:val="bottom"/>
            <w:tcBorders>
              <w:top w:val="single" w:sz="8" w:color="auto"/>
            </w:tcBorders>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10/1/2025-10/31/2025</w:t>
            </w:r>
          </w:p>
        </w:tc>
        <w:tc>
          <w:tcPr>
            <w:tcW w:w="240" w:type="dxa"/>
            <w:vAlign w:val="bottom"/>
            <w:tcBorders>
              <w:top w:val="single" w:sz="8" w:color="DEDEDE"/>
            </w:tcBorders>
            <w:shd w:val="clear" w:color="auto" w:fill="DEDEDE"/>
          </w:tcPr>
          <w:p>
            <w:pPr>
              <w:spacing w:after="0"/>
              <w:rPr>
                <w:sz w:val="18"/>
                <w:szCs w:val="18"/>
                <w:color w:val="auto"/>
              </w:rPr>
            </w:pPr>
          </w:p>
        </w:tc>
        <w:tc>
          <w:tcPr>
            <w:tcW w:w="14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DEDEDE"/>
            </w:tcBorders>
            <w:shd w:val="clear" w:color="auto" w:fill="DEDEDE"/>
          </w:tcPr>
          <w:p>
            <w:pPr>
              <w:spacing w:after="0"/>
              <w:rPr>
                <w:sz w:val="18"/>
                <w:szCs w:val="18"/>
                <w:color w:val="auto"/>
              </w:rPr>
            </w:pPr>
          </w:p>
        </w:tc>
        <w:tc>
          <w:tcPr>
            <w:tcW w:w="180" w:type="dxa"/>
            <w:vAlign w:val="bottom"/>
            <w:tcBorders>
              <w:top w:val="single" w:sz="8" w:color="DEDEDE"/>
            </w:tcBorders>
            <w:shd w:val="clear" w:color="auto" w:fill="DEDEDE"/>
          </w:tcPr>
          <w:p>
            <w:pPr>
              <w:spacing w:after="0"/>
              <w:rPr>
                <w:sz w:val="18"/>
                <w:szCs w:val="18"/>
                <w:color w:val="auto"/>
              </w:rPr>
            </w:pPr>
          </w:p>
        </w:tc>
        <w:tc>
          <w:tcPr>
            <w:tcW w:w="10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DEDEDE"/>
            </w:tcBorders>
            <w:shd w:val="clear" w:color="auto" w:fill="DEDEDE"/>
          </w:tcPr>
          <w:p>
            <w:pPr>
              <w:spacing w:after="0"/>
              <w:rPr>
                <w:sz w:val="18"/>
                <w:szCs w:val="18"/>
                <w:color w:val="auto"/>
              </w:rPr>
            </w:pPr>
          </w:p>
        </w:tc>
        <w:tc>
          <w:tcPr>
            <w:tcW w:w="146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DEDEDE"/>
            </w:tcBorders>
            <w:shd w:val="clear" w:color="auto" w:fill="DEDEDE"/>
          </w:tcPr>
          <w:p>
            <w:pPr>
              <w:spacing w:after="0"/>
              <w:rPr>
                <w:sz w:val="18"/>
                <w:szCs w:val="18"/>
                <w:color w:val="auto"/>
              </w:rPr>
            </w:pPr>
          </w:p>
        </w:tc>
        <w:tc>
          <w:tcPr>
            <w:tcW w:w="1440" w:type="dxa"/>
            <w:vAlign w:val="bottom"/>
            <w:tcBorders>
              <w:top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94,565</w:t>
            </w:r>
          </w:p>
        </w:tc>
        <w:tc>
          <w:tcPr>
            <w:tcW w:w="120" w:type="dxa"/>
            <w:vAlign w:val="bottom"/>
            <w:tcBorders>
              <w:top w:val="single" w:sz="8" w:color="DEDEDE"/>
            </w:tcBorders>
            <w:shd w:val="clear" w:color="auto" w:fill="DEDEDE"/>
          </w:tcPr>
          <w:p>
            <w:pPr>
              <w:spacing w:after="0"/>
              <w:rPr>
                <w:sz w:val="18"/>
                <w:szCs w:val="18"/>
                <w:color w:val="auto"/>
              </w:rPr>
            </w:pP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11/1/2025-11/30/2025</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94,565</w:t>
            </w:r>
          </w:p>
        </w:tc>
        <w:tc>
          <w:tcPr>
            <w:tcW w:w="120" w:type="dxa"/>
            <w:vAlign w:val="bottom"/>
          </w:tcPr>
          <w:p>
            <w:pPr>
              <w:spacing w:after="0"/>
              <w:rPr>
                <w:sz w:val="18"/>
                <w:szCs w:val="18"/>
                <w:color w:val="auto"/>
              </w:rPr>
            </w:pPr>
          </w:p>
        </w:tc>
      </w:tr>
      <w:tr>
        <w:trPr>
          <w:trHeight w:val="229"/>
        </w:trPr>
        <w:tc>
          <w:tcPr>
            <w:tcW w:w="4040" w:type="dxa"/>
            <w:vAlign w:val="bottom"/>
            <w:shd w:val="clear" w:color="auto" w:fill="DEDEDE"/>
          </w:tcPr>
          <w:p>
            <w:pPr>
              <w:ind w:left="180"/>
              <w:spacing w:after="0"/>
              <w:rPr>
                <w:sz w:val="20"/>
                <w:szCs w:val="20"/>
                <w:color w:val="auto"/>
              </w:rPr>
            </w:pPr>
            <w:r>
              <w:rPr>
                <w:rFonts w:ascii="Times New Roman" w:cs="Times New Roman" w:eastAsia="Times New Roman" w:hAnsi="Times New Roman"/>
                <w:sz w:val="18"/>
                <w:szCs w:val="18"/>
                <w:color w:val="auto"/>
              </w:rPr>
              <w:t>12/1/2025-12/31/2025</w:t>
            </w:r>
          </w:p>
        </w:tc>
        <w:tc>
          <w:tcPr>
            <w:tcW w:w="240" w:type="dxa"/>
            <w:vAlign w:val="bottom"/>
            <w:shd w:val="clear" w:color="auto" w:fill="DEDEDE"/>
          </w:tcPr>
          <w:p>
            <w:pPr>
              <w:spacing w:after="0"/>
              <w:rPr>
                <w:sz w:val="19"/>
                <w:szCs w:val="19"/>
                <w:color w:val="auto"/>
              </w:rPr>
            </w:pPr>
          </w:p>
        </w:tc>
        <w:tc>
          <w:tcPr>
            <w:tcW w:w="14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DEDEDE"/>
          </w:tcPr>
          <w:p>
            <w:pPr>
              <w:spacing w:after="0"/>
              <w:rPr>
                <w:sz w:val="19"/>
                <w:szCs w:val="19"/>
                <w:color w:val="auto"/>
              </w:rPr>
            </w:pPr>
          </w:p>
        </w:tc>
        <w:tc>
          <w:tcPr>
            <w:tcW w:w="180" w:type="dxa"/>
            <w:vAlign w:val="bottom"/>
            <w:shd w:val="clear" w:color="auto" w:fill="DEDEDE"/>
          </w:tcPr>
          <w:p>
            <w:pPr>
              <w:spacing w:after="0"/>
              <w:rPr>
                <w:sz w:val="19"/>
                <w:szCs w:val="19"/>
                <w:color w:val="auto"/>
              </w:rPr>
            </w:pPr>
          </w:p>
        </w:tc>
        <w:tc>
          <w:tcPr>
            <w:tcW w:w="100" w:type="dxa"/>
            <w:vAlign w:val="bottom"/>
            <w:tcBorders>
              <w:bottom w:val="single" w:sz="8" w:color="auto"/>
            </w:tcBorders>
            <w:shd w:val="clear" w:color="auto" w:fill="DEDEDE"/>
          </w:tcPr>
          <w:p>
            <w:pPr>
              <w:spacing w:after="0"/>
              <w:rPr>
                <w:sz w:val="19"/>
                <w:szCs w:val="19"/>
                <w:color w:val="auto"/>
              </w:rPr>
            </w:pPr>
          </w:p>
        </w:tc>
        <w:tc>
          <w:tcPr>
            <w:tcW w:w="138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9"/>
                <w:szCs w:val="19"/>
                <w:color w:val="auto"/>
              </w:rPr>
            </w:pPr>
          </w:p>
        </w:tc>
        <w:tc>
          <w:tcPr>
            <w:tcW w:w="146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DEDEDE"/>
          </w:tcPr>
          <w:p>
            <w:pPr>
              <w:spacing w:after="0"/>
              <w:rPr>
                <w:sz w:val="19"/>
                <w:szCs w:val="19"/>
                <w:color w:val="auto"/>
              </w:rPr>
            </w:pPr>
          </w:p>
        </w:tc>
        <w:tc>
          <w:tcPr>
            <w:tcW w:w="1440" w:type="dxa"/>
            <w:vAlign w:val="bottom"/>
            <w:tcBorders>
              <w:bottom w:val="single" w:sz="8" w:color="auto"/>
            </w:tcBorders>
            <w:shd w:val="clear" w:color="auto" w:fill="DEDEDE"/>
          </w:tcPr>
          <w:p>
            <w:pPr>
              <w:jc w:val="right"/>
              <w:spacing w:after="0"/>
              <w:rPr>
                <w:sz w:val="20"/>
                <w:szCs w:val="20"/>
                <w:color w:val="auto"/>
              </w:rPr>
            </w:pPr>
            <w:r>
              <w:rPr>
                <w:rFonts w:ascii="Times New Roman" w:cs="Times New Roman" w:eastAsia="Times New Roman" w:hAnsi="Times New Roman"/>
                <w:sz w:val="18"/>
                <w:szCs w:val="18"/>
                <w:color w:val="auto"/>
              </w:rPr>
              <w:t>94,565</w:t>
            </w:r>
          </w:p>
        </w:tc>
        <w:tc>
          <w:tcPr>
            <w:tcW w:w="120" w:type="dxa"/>
            <w:vAlign w:val="bottom"/>
            <w:shd w:val="clear" w:color="auto" w:fill="DEDEDE"/>
          </w:tcPr>
          <w:p>
            <w:pPr>
              <w:spacing w:after="0"/>
              <w:rPr>
                <w:sz w:val="19"/>
                <w:szCs w:val="19"/>
                <w:color w:val="auto"/>
              </w:rPr>
            </w:pPr>
          </w:p>
        </w:tc>
      </w:tr>
      <w:tr>
        <w:trPr>
          <w:trHeight w:val="223"/>
        </w:trPr>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94,565</w:t>
            </w:r>
          </w:p>
        </w:tc>
        <w:tc>
          <w:tcPr>
            <w:tcW w:w="12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5" w:lineRule="exact"/>
        <w:rPr>
          <w:sz w:val="20"/>
          <w:szCs w:val="20"/>
          <w:color w:val="auto"/>
        </w:rPr>
      </w:pPr>
    </w:p>
    <w:p>
      <w:pPr>
        <w:ind w:left="20" w:right="480"/>
        <w:spacing w:after="0" w:line="283" w:lineRule="auto"/>
        <w:rPr>
          <w:sz w:val="20"/>
          <w:szCs w:val="20"/>
          <w:color w:val="auto"/>
        </w:rPr>
      </w:pPr>
      <w:r>
        <w:rPr>
          <w:rFonts w:ascii="Times New Roman" w:cs="Times New Roman" w:eastAsia="Times New Roman" w:hAnsi="Times New Roman"/>
          <w:sz w:val="18"/>
          <w:szCs w:val="18"/>
          <w:color w:val="auto"/>
        </w:rPr>
        <w:t>See Note 21 to Notes to the Consolidated Financial Statements for information about the Company’s equity compensation plans approved by security holders.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ectPr>
          <w:pgSz w:w="12240" w:h="15840" w:orient="portrait"/>
          <w:cols w:equalWidth="0" w:num="1">
            <w:col w:w="11260"/>
          </w:cols>
          <w:pgMar w:left="480" w:top="687" w:right="500" w:bottom="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color w:val="auto"/>
        </w:rPr>
        <w:t>SECURITY NATIONAL FINANCIAL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Years Ended December 31, 2025 and 2024</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200" w:lineRule="exact"/>
        <w:rPr>
          <w:sz w:val="20"/>
          <w:szCs w:val="20"/>
          <w:color w:val="auto"/>
        </w:rPr>
      </w:pPr>
    </w:p>
    <w:p>
      <w:pPr>
        <w:spacing w:after="0" w:line="2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of the Company’s Class A Common Stock with the cumulative total return on the Standard &amp; Poor’s 500 Stock Index and the Standard &amp; Poor’s Insurance Index for the period from December 31, 2021 through December 31, 2025. The graph assumes that the value of the investment in the Company’s Class A Common Stock and in each of the indexes was $100 as of December 31, 2021 and that all dividends were reinvested.</w:t>
      </w:r>
    </w:p>
    <w:p>
      <w:pPr>
        <w:spacing w:after="0" w:line="17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The comparisons in the graph below are based on historical data and are not intended to forecast the possible future performance of the Company’s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693420</wp:posOffset>
            </wp:positionH>
            <wp:positionV relativeFrom="paragraph">
              <wp:posOffset>113665</wp:posOffset>
            </wp:positionV>
            <wp:extent cx="5743575" cy="386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98">
                      <a:extLst>
                        <a:ext uri="{28A0092B-C50C-407E-A947-70E740481C1C}"/>
                      </a:extLst>
                    </a:blip>
                    <a:srcRect/>
                    <a:stretch>
                      <a:fillRect/>
                    </a:stretch>
                  </pic:blipFill>
                  <pic:spPr bwMode="auto">
                    <a:xfrm>
                      <a:off x="0" y="0"/>
                      <a:ext cx="5743575" cy="386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960" w:type="dxa"/>
        <w:tblCellMar>
          <w:top w:w="0" w:type="dxa"/>
          <w:left w:w="0" w:type="dxa"/>
          <w:bottom w:w="0" w:type="dxa"/>
          <w:right w:w="0" w:type="dxa"/>
        </w:tblCellMar>
      </w:tblPr>
      <w:tr>
        <w:trPr>
          <w:trHeight w:val="235"/>
        </w:trPr>
        <w:tc>
          <w:tcPr>
            <w:tcW w:w="20" w:type="dxa"/>
            <w:vAlign w:val="bottom"/>
          </w:tcPr>
          <w:p>
            <w:pPr>
              <w:spacing w:after="0"/>
              <w:rPr>
                <w:sz w:val="20"/>
                <w:szCs w:val="20"/>
                <w:color w:val="auto"/>
              </w:rPr>
            </w:pPr>
          </w:p>
        </w:tc>
        <w:tc>
          <w:tcPr>
            <w:tcW w:w="3320" w:type="dxa"/>
            <w:vAlign w:val="bottom"/>
            <w:tcBorders>
              <w:bottom w:val="single" w:sz="8" w:color="DEDEDE"/>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12/31/21</w:t>
            </w:r>
          </w:p>
        </w:tc>
        <w:tc>
          <w:tcPr>
            <w:tcW w:w="180" w:type="dxa"/>
            <w:vAlign w:val="bottom"/>
            <w:tcBorders>
              <w:bottom w:val="single" w:sz="8" w:color="DEDEDE"/>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12/31/22</w:t>
            </w:r>
          </w:p>
        </w:tc>
        <w:tc>
          <w:tcPr>
            <w:tcW w:w="180" w:type="dxa"/>
            <w:vAlign w:val="bottom"/>
            <w:tcBorders>
              <w:bottom w:val="single" w:sz="8" w:color="DEDEDE"/>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12/31/23</w:t>
            </w:r>
          </w:p>
        </w:tc>
        <w:tc>
          <w:tcPr>
            <w:tcW w:w="180" w:type="dxa"/>
            <w:vAlign w:val="bottom"/>
            <w:tcBorders>
              <w:bottom w:val="single" w:sz="8" w:color="DEDEDE"/>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12/31/24</w:t>
            </w:r>
          </w:p>
        </w:tc>
        <w:tc>
          <w:tcPr>
            <w:tcW w:w="180" w:type="dxa"/>
            <w:vAlign w:val="bottom"/>
            <w:tcBorders>
              <w:bottom w:val="single" w:sz="8" w:color="DEDEDE"/>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12/31/25</w:t>
            </w:r>
          </w:p>
        </w:tc>
      </w:tr>
      <w:tr>
        <w:trPr>
          <w:trHeight w:val="210"/>
        </w:trPr>
        <w:tc>
          <w:tcPr>
            <w:tcW w:w="20" w:type="dxa"/>
            <w:vAlign w:val="bottom"/>
          </w:tcPr>
          <w:p>
            <w:pPr>
              <w:spacing w:after="0"/>
              <w:rPr>
                <w:sz w:val="18"/>
                <w:szCs w:val="18"/>
                <w:color w:val="auto"/>
              </w:rPr>
            </w:pPr>
          </w:p>
        </w:tc>
        <w:tc>
          <w:tcPr>
            <w:tcW w:w="33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SNFC</w:t>
            </w:r>
          </w:p>
        </w:tc>
        <w:tc>
          <w:tcPr>
            <w:tcW w:w="100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DEDEDE"/>
          </w:tcPr>
          <w:p>
            <w:pPr>
              <w:spacing w:after="0"/>
              <w:rPr>
                <w:sz w:val="18"/>
                <w:szCs w:val="18"/>
                <w:color w:val="auto"/>
              </w:rPr>
            </w:pPr>
          </w:p>
        </w:tc>
        <w:tc>
          <w:tcPr>
            <w:tcW w:w="9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9"/>
              </w:rPr>
              <w:t>83</w:t>
            </w:r>
          </w:p>
        </w:tc>
        <w:tc>
          <w:tcPr>
            <w:tcW w:w="180" w:type="dxa"/>
            <w:vAlign w:val="bottom"/>
            <w:shd w:val="clear" w:color="auto" w:fill="DEDEDE"/>
          </w:tcPr>
          <w:p>
            <w:pPr>
              <w:spacing w:after="0"/>
              <w:rPr>
                <w:sz w:val="18"/>
                <w:szCs w:val="18"/>
                <w:color w:val="auto"/>
              </w:rPr>
            </w:pPr>
          </w:p>
        </w:tc>
        <w:tc>
          <w:tcPr>
            <w:tcW w:w="9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180" w:type="dxa"/>
            <w:vAlign w:val="bottom"/>
            <w:shd w:val="clear" w:color="auto" w:fill="DEDEDE"/>
          </w:tcPr>
          <w:p>
            <w:pPr>
              <w:spacing w:after="0"/>
              <w:rPr>
                <w:sz w:val="18"/>
                <w:szCs w:val="18"/>
                <w:color w:val="auto"/>
              </w:rPr>
            </w:pPr>
          </w:p>
        </w:tc>
        <w:tc>
          <w:tcPr>
            <w:tcW w:w="9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6"/>
              </w:rPr>
              <w:t>151</w:t>
            </w:r>
          </w:p>
        </w:tc>
        <w:tc>
          <w:tcPr>
            <w:tcW w:w="180" w:type="dxa"/>
            <w:vAlign w:val="bottom"/>
            <w:shd w:val="clear" w:color="auto" w:fill="DEDEDE"/>
          </w:tcPr>
          <w:p>
            <w:pPr>
              <w:spacing w:after="0"/>
              <w:rPr>
                <w:sz w:val="18"/>
                <w:szCs w:val="18"/>
                <w:color w:val="auto"/>
              </w:rPr>
            </w:pPr>
          </w:p>
        </w:tc>
        <w:tc>
          <w:tcPr>
            <w:tcW w:w="9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 &amp; P 500</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123</w:t>
            </w:r>
          </w:p>
        </w:tc>
        <w:tc>
          <w:tcPr>
            <w:tcW w:w="18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144</w:t>
            </w:r>
          </w:p>
        </w:tc>
      </w:tr>
      <w:tr>
        <w:trPr>
          <w:trHeight w:val="216"/>
        </w:trPr>
        <w:tc>
          <w:tcPr>
            <w:tcW w:w="20" w:type="dxa"/>
            <w:vAlign w:val="bottom"/>
          </w:tcPr>
          <w:p>
            <w:pPr>
              <w:spacing w:after="0"/>
              <w:rPr>
                <w:sz w:val="18"/>
                <w:szCs w:val="18"/>
                <w:color w:val="auto"/>
              </w:rPr>
            </w:pPr>
          </w:p>
        </w:tc>
        <w:tc>
          <w:tcPr>
            <w:tcW w:w="3320" w:type="dxa"/>
            <w:vAlign w:val="bottom"/>
            <w:shd w:val="clear" w:color="auto" w:fill="DEDEDE"/>
          </w:tcPr>
          <w:p>
            <w:pPr>
              <w:spacing w:after="0"/>
              <w:rPr>
                <w:sz w:val="20"/>
                <w:szCs w:val="20"/>
                <w:color w:val="auto"/>
              </w:rPr>
            </w:pPr>
            <w:r>
              <w:rPr>
                <w:rFonts w:ascii="Times New Roman" w:cs="Times New Roman" w:eastAsia="Times New Roman" w:hAnsi="Times New Roman"/>
                <w:sz w:val="18"/>
                <w:szCs w:val="18"/>
                <w:color w:val="auto"/>
              </w:rPr>
              <w:t>S &amp; P Insurance</w:t>
            </w:r>
          </w:p>
        </w:tc>
        <w:tc>
          <w:tcPr>
            <w:tcW w:w="100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DEDEDE"/>
          </w:tcPr>
          <w:p>
            <w:pPr>
              <w:spacing w:after="0"/>
              <w:rPr>
                <w:sz w:val="18"/>
                <w:szCs w:val="18"/>
                <w:color w:val="auto"/>
              </w:rPr>
            </w:pPr>
          </w:p>
        </w:tc>
        <w:tc>
          <w:tcPr>
            <w:tcW w:w="9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6"/>
              </w:rPr>
              <w:t>108</w:t>
            </w:r>
          </w:p>
        </w:tc>
        <w:tc>
          <w:tcPr>
            <w:tcW w:w="180" w:type="dxa"/>
            <w:vAlign w:val="bottom"/>
            <w:shd w:val="clear" w:color="auto" w:fill="DEDEDE"/>
          </w:tcPr>
          <w:p>
            <w:pPr>
              <w:spacing w:after="0"/>
              <w:rPr>
                <w:sz w:val="18"/>
                <w:szCs w:val="18"/>
                <w:color w:val="auto"/>
              </w:rPr>
            </w:pPr>
          </w:p>
        </w:tc>
        <w:tc>
          <w:tcPr>
            <w:tcW w:w="9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6"/>
              </w:rPr>
              <w:t>116</w:t>
            </w:r>
          </w:p>
        </w:tc>
        <w:tc>
          <w:tcPr>
            <w:tcW w:w="180" w:type="dxa"/>
            <w:vAlign w:val="bottom"/>
            <w:shd w:val="clear" w:color="auto" w:fill="DEDEDE"/>
          </w:tcPr>
          <w:p>
            <w:pPr>
              <w:spacing w:after="0"/>
              <w:rPr>
                <w:sz w:val="18"/>
                <w:szCs w:val="18"/>
                <w:color w:val="auto"/>
              </w:rPr>
            </w:pPr>
          </w:p>
        </w:tc>
        <w:tc>
          <w:tcPr>
            <w:tcW w:w="9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6"/>
              </w:rPr>
              <w:t>145</w:t>
            </w:r>
          </w:p>
        </w:tc>
        <w:tc>
          <w:tcPr>
            <w:tcW w:w="180" w:type="dxa"/>
            <w:vAlign w:val="bottom"/>
            <w:shd w:val="clear" w:color="auto" w:fill="DEDEDE"/>
          </w:tcPr>
          <w:p>
            <w:pPr>
              <w:spacing w:after="0"/>
              <w:rPr>
                <w:sz w:val="18"/>
                <w:szCs w:val="18"/>
                <w:color w:val="auto"/>
              </w:rPr>
            </w:pPr>
          </w:p>
        </w:tc>
        <w:tc>
          <w:tcPr>
            <w:tcW w:w="980" w:type="dxa"/>
            <w:vAlign w:val="bottom"/>
            <w:shd w:val="clear" w:color="auto" w:fill="DEDEDE"/>
          </w:tcPr>
          <w:p>
            <w:pPr>
              <w:jc w:val="center"/>
              <w:spacing w:after="0"/>
              <w:rPr>
                <w:sz w:val="20"/>
                <w:szCs w:val="20"/>
                <w:color w:val="auto"/>
              </w:rPr>
            </w:pPr>
            <w:r>
              <w:rPr>
                <w:rFonts w:ascii="Times New Roman" w:cs="Times New Roman" w:eastAsia="Times New Roman" w:hAnsi="Times New Roman"/>
                <w:sz w:val="18"/>
                <w:szCs w:val="18"/>
                <w:color w:val="auto"/>
                <w:w w:val="96"/>
              </w:rPr>
              <w:t>148</w:t>
            </w:r>
          </w:p>
        </w:tc>
      </w:tr>
    </w:tbl>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performance graph set forth above is required by the Securities and Exchange Commission and shall not be deemed to be incorporated by reference by any general statement incorporating by reference this Form 10-K into any filing under the Securities Act of 1933, as amended, or under the Securities Exchange Act of 1934, as amended, except to the extent that the Company specifically incorporates this information by reference, and shall not otherwise be deemed soliciting material or filed under such 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2240" w:h="15840" w:orient="portrait"/>
          <w:cols w:equalWidth="0" w:num="1">
            <w:col w:w="11220"/>
          </w:cols>
          <w:pgMar w:left="500" w:top="687" w:right="520" w:bottom="0" w:gutter="0" w:footer="0" w:header="0"/>
        </w:sectPr>
      </w:pPr>
    </w:p>
    <w:bookmarkStart w:id="135" w:name="page136"/>
    <w:bookmarkEnd w:id="1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2240" w:h="15840" w:orient="portrait"/>
          <w:cols w:equalWidth="0" w:num="1">
            <w:col w:w="9360"/>
          </w:cols>
          <w:pgMar w:left="1440" w:top="1440" w:right="1440" w:bottom="0" w:gutter="0" w:footer="0" w:header="0"/>
        </w:sectPr>
      </w:pPr>
    </w:p>
    <w:bookmarkStart w:id="136" w:name="page137"/>
    <w:bookmarkEnd w:id="1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2240" w:h="15840" w:orient="portrait"/>
          <w:cols w:equalWidth="0" w:num="1">
            <w:col w:w="9360"/>
          </w:cols>
          <w:pgMar w:left="1440" w:top="1440" w:right="1440" w:bottom="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99">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2260" w:right="2340"/>
        <w:spacing w:after="0" w:line="243" w:lineRule="auto"/>
        <w:rPr>
          <w:sz w:val="20"/>
          <w:szCs w:val="20"/>
          <w:color w:val="auto"/>
        </w:rPr>
      </w:pPr>
      <w:r>
        <w:rPr>
          <w:rFonts w:ascii="Arial" w:cs="Arial" w:eastAsia="Arial" w:hAnsi="Arial"/>
          <w:sz w:val="24"/>
          <w:szCs w:val="24"/>
          <w:color w:val="FFFFFF"/>
        </w:rPr>
        <w:t>Security National Financial Corporation 433 Ascension Way, 6th Floor Salt Lake City, UT 84123</w:t>
      </w:r>
    </w:p>
    <w:p>
      <w:pPr>
        <w:spacing w:after="0" w:line="81" w:lineRule="exact"/>
        <w:rPr>
          <w:sz w:val="20"/>
          <w:szCs w:val="20"/>
          <w:color w:val="auto"/>
        </w:rPr>
      </w:pPr>
    </w:p>
    <w:p>
      <w:pPr>
        <w:ind w:left="3040"/>
        <w:spacing w:after="0"/>
        <w:rPr>
          <w:sz w:val="20"/>
          <w:szCs w:val="20"/>
          <w:color w:val="auto"/>
        </w:rPr>
      </w:pPr>
      <w:r>
        <w:rPr>
          <w:rFonts w:ascii="Arial" w:cs="Arial" w:eastAsia="Arial" w:hAnsi="Arial"/>
          <w:sz w:val="24"/>
          <w:szCs w:val="24"/>
          <w:color w:val="FFFFFF"/>
        </w:rPr>
        <w:t>www.SecurityNational.com</w:t>
      </w:r>
    </w:p>
    <w:p>
      <w:pPr>
        <w:sectPr>
          <w:pgSz w:w="12240" w:h="15840" w:orient="portrait"/>
          <w:cols w:equalWidth="0" w:num="1">
            <w:col w:w="9360"/>
          </w:cols>
          <w:pgMar w:left="1440" w:top="1440" w:right="1440" w:bottom="446" w:gutter="0" w:footer="0" w:header="0"/>
        </w:sectPr>
      </w:pPr>
    </w:p>
    <w:p>
      <w:pPr>
        <w:spacing w:after="0" w:line="31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36"/>
          <w:szCs w:val="36"/>
          <w:b w:val="1"/>
          <w:bCs w:val="1"/>
          <w:i w:val="1"/>
          <w:iCs w:val="1"/>
          <w:color w:val="FFFFFF"/>
        </w:rPr>
        <w:t>Celebrating 60 Years</w:t>
      </w:r>
    </w:p>
    <w:sectPr>
      <w:pgSz w:w="12240" w:h="15840" w:orient="portrait"/>
      <w:cols w:equalWidth="0" w:num="1">
        <w:col w:w="9360"/>
      </w:cols>
      <w:pgMar w:left="1440" w:top="1440" w:right="1440" w:bottom="4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1"/>
      <w:numFmt w:val="decimal"/>
      <w:start w:val="85"/>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
      <w:numFmt w:val="bullet"/>
      <w:start w:val="1"/>
    </w:lvl>
  </w:abstractNum>
  <w:abstractNum w:abstractNumId="4">
    <w:nsid w:val="77AE35EB"/>
    <w:multiLevelType w:val="hybridMultilevel"/>
    <w:lvl w:ilvl="0">
      <w:lvlJc w:val="left"/>
      <w:lvlText w:val="&amp;"/>
      <w:numFmt w:val="bullet"/>
      <w:start w:val="1"/>
    </w:lvl>
  </w:abstractNum>
  <w:abstractNum w:abstractNumId="5">
    <w:nsid w:val="579BE4F1"/>
    <w:multiLevelType w:val="hybridMultilevel"/>
    <w:lvl w:ilvl="0">
      <w:lvlJc w:val="left"/>
      <w:lvlText w:val="•"/>
      <w:numFmt w:val="bullet"/>
      <w:start w:val="1"/>
    </w:lvl>
  </w:abstractNum>
  <w:abstractNum w:abstractNumId="6">
    <w:nsid w:val="310C50B3"/>
    <w:multiLevelType w:val="hybridMultilevel"/>
    <w:lvl w:ilvl="0">
      <w:lvlJc w:val="left"/>
      <w:lvlText w:val="(%1)"/>
      <w:numFmt w:val="decimal"/>
      <w:start w:val="2"/>
    </w:lvl>
  </w:abstractNum>
  <w:abstractNum w:abstractNumId="7">
    <w:nsid w:val="5FF87E05"/>
    <w:multiLevelType w:val="hybridMultilevel"/>
    <w:lvl w:ilvl="0">
      <w:lvlJc w:val="left"/>
      <w:lvlText w:val="•"/>
      <w:numFmt w:val="bullet"/>
      <w:start w:val="1"/>
    </w:lvl>
    <w:lvl w:ilvl="1">
      <w:lvlJc w:val="left"/>
      <w:lvlText w:val="-"/>
      <w:numFmt w:val="bullet"/>
      <w:start w:val="1"/>
    </w:lvl>
  </w:abstractNum>
  <w:abstractNum w:abstractNumId="8">
    <w:nsid w:val="2F305DEF"/>
    <w:multiLevelType w:val="hybridMultilevel"/>
    <w:lvl w:ilvl="0">
      <w:lvlJc w:val="left"/>
      <w:lvlText w:val="(%1)"/>
      <w:numFmt w:val="decimal"/>
      <w:start w:val="1"/>
    </w:lvl>
  </w:abstractNum>
  <w:abstractNum w:abstractNumId="9">
    <w:nsid w:val="25A70BF7"/>
    <w:multiLevelType w:val="hybridMultilevel"/>
    <w:lvl w:ilvl="0">
      <w:lvlJc w:val="left"/>
      <w:lvlText w:val="(%1)"/>
      <w:numFmt w:val="decimal"/>
      <w:start w:val="1"/>
    </w:lvl>
  </w:abstractNum>
  <w:abstractNum w:abstractNumId="10">
    <w:nsid w:val="1DBABF00"/>
    <w:multiLevelType w:val="hybridMultilevel"/>
    <w:lvl w:ilvl="0">
      <w:lvlJc w:val="left"/>
      <w:lvlText w:val="%1)"/>
      <w:numFmt w:val="decimal"/>
      <w:start w:val="1"/>
    </w:lvl>
  </w:abstractNum>
  <w:abstractNum w:abstractNumId="11">
    <w:nsid w:val="4AD084E9"/>
    <w:multiLevelType w:val="hybridMultilevel"/>
    <w:lvl w:ilvl="0">
      <w:lvlJc w:val="left"/>
      <w:lvlText w:val="%1)"/>
      <w:numFmt w:val="decimal"/>
      <w:start w:val="1"/>
    </w:lvl>
  </w:abstractNum>
  <w:abstractNum w:abstractNumId="12">
    <w:nsid w:val="1F48EAA1"/>
    <w:multiLevelType w:val="hybridMultilevel"/>
    <w:lvl w:ilvl="0">
      <w:lvlJc w:val="left"/>
      <w:lvlText w:val="%1)"/>
      <w:numFmt w:val="decimal"/>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
      <w:numFmt w:val="bullet"/>
      <w:start w:val="1"/>
    </w:lvl>
  </w:abstractNum>
  <w:abstractNum w:abstractNumId="15">
    <w:nsid w:val="100F8FCA"/>
    <w:multiLevelType w:val="hybridMultilevel"/>
    <w:lvl w:ilvl="0">
      <w:lvlJc w:val="left"/>
      <w:lvlText w:val="●"/>
      <w:numFmt w:val="bullet"/>
      <w:start w:val="1"/>
    </w:lvl>
  </w:abstractNum>
  <w:abstractNum w:abstractNumId="16">
    <w:nsid w:val="6590700B"/>
    <w:multiLevelType w:val="hybridMultilevel"/>
    <w:lvl w:ilvl="0">
      <w:lvlJc w:val="left"/>
      <w:lvlText w:val="%1)"/>
      <w:numFmt w:val="decimal"/>
      <w:start w:val="1"/>
    </w:lvl>
  </w:abstractNum>
  <w:abstractNum w:abstractNumId="17">
    <w:nsid w:val="15014ACB"/>
    <w:multiLevelType w:val="hybridMultilevel"/>
    <w:lvl w:ilvl="0">
      <w:lvlJc w:val="left"/>
      <w:lvlText w:val="%1)"/>
      <w:numFmt w:val="decimal"/>
      <w:start w:val="1"/>
    </w:lvl>
  </w:abstractNum>
  <w:abstractNum w:abstractNumId="18">
    <w:nsid w:val="5F5E7FD0"/>
    <w:multiLevelType w:val="hybridMultilevel"/>
    <w:lvl w:ilvl="0">
      <w:lvlJc w:val="left"/>
      <w:lvlText w:val="%1)"/>
      <w:numFmt w:val="decimal"/>
      <w:start w:val="1"/>
    </w:lvl>
  </w:abstractNum>
  <w:abstractNum w:abstractNumId="19">
    <w:nsid w:val="98A3148"/>
    <w:multiLevelType w:val="hybridMultilevel"/>
    <w:lvl w:ilvl="0">
      <w:lvlJc w:val="left"/>
      <w:lvlText w:val="%1)"/>
      <w:numFmt w:val="decimal"/>
      <w:start w:val="1"/>
    </w:lvl>
  </w:abstractNum>
  <w:abstractNum w:abstractNumId="20">
    <w:nsid w:val="799D0247"/>
    <w:multiLevelType w:val="hybridMultilevel"/>
    <w:lvl w:ilvl="0">
      <w:lvlJc w:val="left"/>
      <w:lvlText w:val="%1)"/>
      <w:numFmt w:val="decimal"/>
      <w:start w:val="1"/>
    </w:lvl>
  </w:abstractNum>
  <w:abstractNum w:abstractNumId="21">
    <w:nsid w:val="6B94764"/>
    <w:multiLevelType w:val="hybridMultilevel"/>
    <w:lvl w:ilvl="0">
      <w:lvlJc w:val="left"/>
      <w:lvlText w:val="%1)"/>
      <w:numFmt w:val="decimal"/>
      <w:start w:val="1"/>
    </w:lvl>
  </w:abstractNum>
  <w:abstractNum w:abstractNumId="22">
    <w:nsid w:val="42C296BD"/>
    <w:multiLevelType w:val="hybridMultilevel"/>
    <w:lvl w:ilvl="0">
      <w:lvlJc w:val="left"/>
      <w:lvlText w:val="%1)"/>
      <w:numFmt w:val="decimal"/>
      <w:start w:val="1"/>
    </w:lvl>
  </w:abstractNum>
  <w:abstractNum w:abstractNumId="23">
    <w:nsid w:val="168E121F"/>
    <w:multiLevelType w:val="hybridMultilevel"/>
    <w:lvl w:ilvl="0">
      <w:lvlJc w:val="left"/>
      <w:lvlText w:val="%1)"/>
      <w:numFmt w:val="decimal"/>
      <w:start w:val="1"/>
    </w:lvl>
  </w:abstractNum>
  <w:abstractNum w:abstractNumId="24">
    <w:nsid w:val="1EBA5D23"/>
    <w:multiLevelType w:val="hybridMultilevel"/>
    <w:lvl w:ilvl="0">
      <w:lvlJc w:val="left"/>
      <w:lvlText w:val="%1)"/>
      <w:numFmt w:val="decimal"/>
      <w:start w:val="1"/>
    </w:lvl>
  </w:abstractNum>
  <w:abstractNum w:abstractNumId="25">
    <w:nsid w:val="661E3F1E"/>
    <w:multiLevelType w:val="hybridMultilevel"/>
    <w:lvl w:ilvl="0">
      <w:lvlJc w:val="left"/>
      <w:lvlText w:val="%1)"/>
      <w:numFmt w:val="decimal"/>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1)"/>
      <w:numFmt w:val="decimal"/>
      <w:start w:val="1"/>
    </w:lvl>
  </w:abstractNum>
  <w:abstractNum w:abstractNumId="28">
    <w:nsid w:val="7BD3EE7B"/>
    <w:multiLevelType w:val="hybridMultilevel"/>
    <w:lvl w:ilvl="0">
      <w:lvlJc w:val="left"/>
      <w:lvlText w:val="%1)"/>
      <w:numFmt w:val="decimal"/>
      <w:start w:val="1"/>
    </w:lvl>
  </w:abstractNum>
  <w:abstractNum w:abstractNumId="29">
    <w:nsid w:val="51D9C564"/>
    <w:multiLevelType w:val="hybridMultilevel"/>
    <w:lvl w:ilvl="0">
      <w:lvlJc w:val="left"/>
      <w:lvlText w:val="%1)"/>
      <w:numFmt w:val="decimal"/>
      <w:start w:val="2"/>
    </w:lvl>
  </w:abstractNum>
  <w:abstractNum w:abstractNumId="30">
    <w:nsid w:val="613EFDC5"/>
    <w:multiLevelType w:val="hybridMultilevel"/>
    <w:lvl w:ilvl="0">
      <w:lvlJc w:val="left"/>
      <w:lvlText w:val="(%1)"/>
      <w:numFmt w:val="decimal"/>
      <w:start w:val="1"/>
    </w:lvl>
  </w:abstractNum>
  <w:abstractNum w:abstractNumId="31">
    <w:nsid w:val="BF72B14"/>
    <w:multiLevelType w:val="hybridMultilevel"/>
    <w:lvl w:ilvl="0">
      <w:lvlJc w:val="left"/>
      <w:lvlText w:val="%1)"/>
      <w:numFmt w:val="decimal"/>
      <w:start w:val="2"/>
    </w:lvl>
  </w:abstractNum>
  <w:abstractNum w:abstractNumId="32">
    <w:nsid w:val="11447B73"/>
    <w:multiLevelType w:val="hybridMultilevel"/>
    <w:lvl w:ilvl="0">
      <w:lvlJc w:val="left"/>
      <w:lvlText w:val="(%1)"/>
      <w:numFmt w:val="decimal"/>
      <w:start w:val="1"/>
    </w:lvl>
  </w:abstractNum>
  <w:abstractNum w:abstractNumId="33">
    <w:nsid w:val="42963E5A"/>
    <w:multiLevelType w:val="hybridMultilevel"/>
    <w:lvl w:ilvl="0">
      <w:lvlJc w:val="left"/>
      <w:lvlText w:val="%1)"/>
      <w:numFmt w:val="decimal"/>
      <w:start w:val="2"/>
    </w:lvl>
  </w:abstractNum>
  <w:abstractNum w:abstractNumId="34">
    <w:nsid w:val="A0382C5"/>
    <w:multiLevelType w:val="hybridMultilevel"/>
    <w:lvl w:ilvl="0">
      <w:lvlJc w:val="left"/>
      <w:lvlText w:val="%1)"/>
      <w:numFmt w:val="decimal"/>
      <w:start w:val="2"/>
    </w:lvl>
  </w:abstractNum>
  <w:abstractNum w:abstractNumId="35">
    <w:nsid w:val="8F2B15E"/>
    <w:multiLevelType w:val="hybridMultilevel"/>
    <w:lvl w:ilvl="0">
      <w:lvlJc w:val="left"/>
      <w:lvlText w:val="%1)"/>
      <w:numFmt w:val="decimal"/>
      <w:start w:val="2"/>
    </w:lvl>
  </w:abstractNum>
  <w:abstractNum w:abstractNumId="36">
    <w:nsid w:val="1A32234B"/>
    <w:multiLevelType w:val="hybridMultilevel"/>
    <w:lvl w:ilvl="0">
      <w:lvlJc w:val="left"/>
      <w:lvlText w:val="%1)"/>
      <w:numFmt w:val="decimal"/>
      <w:start w:val="2"/>
    </w:lvl>
  </w:abstractNum>
  <w:abstractNum w:abstractNumId="37">
    <w:nsid w:val="3B0FD379"/>
    <w:multiLevelType w:val="hybridMultilevel"/>
    <w:lvl w:ilvl="0">
      <w:lvlJc w:val="left"/>
      <w:lvlText w:val="%1)"/>
      <w:numFmt w:val="decimal"/>
      <w:start w:val="2"/>
    </w:lvl>
  </w:abstractNum>
  <w:abstractNum w:abstractNumId="38">
    <w:nsid w:val="68EB2F63"/>
    <w:multiLevelType w:val="hybridMultilevel"/>
    <w:lvl w:ilvl="0">
      <w:lvlJc w:val="left"/>
      <w:lvlText w:val="%1)"/>
      <w:numFmt w:val="decimal"/>
      <w:start w:val="2"/>
    </w:lvl>
  </w:abstractNum>
  <w:abstractNum w:abstractNumId="39">
    <w:nsid w:val="4962813B"/>
    <w:multiLevelType w:val="hybridMultilevel"/>
    <w:lvl w:ilvl="0">
      <w:lvlJc w:val="left"/>
      <w:lvlText w:val="(%1)"/>
      <w:numFmt w:val="decimal"/>
      <w:start w:val="1"/>
    </w:lvl>
  </w:abstractNum>
  <w:abstractNum w:abstractNumId="40">
    <w:nsid w:val="60B6DF70"/>
    <w:multiLevelType w:val="hybridMultilevel"/>
    <w:lvl w:ilvl="0">
      <w:lvlJc w:val="left"/>
      <w:lvlText w:val="(%1)"/>
      <w:numFmt w:val="decimal"/>
      <w:start w:val="1"/>
    </w:lvl>
  </w:abstractNum>
  <w:abstractNum w:abstractNumId="41">
    <w:nsid w:val="6A5EE64"/>
    <w:multiLevelType w:val="hybridMultilevel"/>
    <w:lvl w:ilvl="0">
      <w:lvlJc w:val="left"/>
      <w:lvlText w:val="%1)"/>
      <w:numFmt w:val="decimal"/>
      <w:start w:val="2"/>
    </w:lvl>
  </w:abstractNum>
  <w:abstractNum w:abstractNumId="42">
    <w:nsid w:val="14330624"/>
    <w:multiLevelType w:val="hybridMultilevel"/>
    <w:lvl w:ilvl="0">
      <w:lvlJc w:val="left"/>
      <w:lvlText w:val="%1)"/>
      <w:numFmt w:val="decimal"/>
      <w:start w:val="2"/>
    </w:lvl>
  </w:abstractNum>
  <w:abstractNum w:abstractNumId="43">
    <w:nsid w:val="7FFFCA11"/>
    <w:multiLevelType w:val="hybridMultilevel"/>
    <w:lvl w:ilvl="0">
      <w:lvlJc w:val="left"/>
      <w:lvlText w:val="%1)"/>
      <w:numFmt w:val="decimal"/>
      <w:start w:val="2"/>
    </w:lvl>
  </w:abstractNum>
  <w:abstractNum w:abstractNumId="44">
    <w:nsid w:val="1A27709E"/>
    <w:multiLevelType w:val="hybridMultilevel"/>
    <w:lvl w:ilvl="0">
      <w:lvlJc w:val="left"/>
      <w:lvlText w:val="%1)"/>
      <w:numFmt w:val="decimal"/>
      <w:start w:val="2"/>
    </w:lvl>
  </w:abstractNum>
  <w:abstractNum w:abstractNumId="45">
    <w:nsid w:val="71EA1109"/>
    <w:multiLevelType w:val="hybridMultilevel"/>
    <w:lvl w:ilvl="0">
      <w:lvlJc w:val="left"/>
      <w:lvlText w:val="%1)"/>
      <w:numFmt w:val="decimal"/>
      <w:start w:val="2"/>
    </w:lvl>
  </w:abstractNum>
  <w:abstractNum w:abstractNumId="46">
    <w:nsid w:val="100F59DC"/>
    <w:multiLevelType w:val="hybridMultilevel"/>
    <w:lvl w:ilvl="0">
      <w:lvlJc w:val="left"/>
      <w:lvlText w:val="%1)"/>
      <w:numFmt w:val="decimal"/>
      <w:start w:val="2"/>
    </w:lvl>
  </w:abstractNum>
  <w:abstractNum w:abstractNumId="47">
    <w:nsid w:val="7FB7E0AA"/>
    <w:multiLevelType w:val="hybridMultilevel"/>
    <w:lvl w:ilvl="0">
      <w:lvlJc w:val="left"/>
      <w:lvlText w:val="%1)"/>
      <w:numFmt w:val="decimal"/>
      <w:start w:val="2"/>
    </w:lvl>
  </w:abstractNum>
  <w:abstractNum w:abstractNumId="48">
    <w:nsid w:val="6EB5BD4"/>
    <w:multiLevelType w:val="hybridMultilevel"/>
    <w:lvl w:ilvl="0">
      <w:lvlJc w:val="left"/>
      <w:lvlText w:val="%1)"/>
      <w:numFmt w:val="decimal"/>
      <w:start w:val="2"/>
    </w:lvl>
  </w:abstractNum>
  <w:abstractNum w:abstractNumId="49">
    <w:nsid w:val="6F6DD9AC"/>
    <w:multiLevelType w:val="hybridMultilevel"/>
    <w:lvl w:ilvl="0">
      <w:lvlJc w:val="left"/>
      <w:lvlText w:val="%1)"/>
      <w:numFmt w:val="decimal"/>
      <w:start w:val="2"/>
    </w:lvl>
  </w:abstractNum>
  <w:abstractNum w:abstractNumId="50">
    <w:nsid w:val="94211F2"/>
    <w:multiLevelType w:val="hybridMultilevel"/>
    <w:lvl w:ilvl="0">
      <w:lvlJc w:val="left"/>
      <w:lvlText w:val="%1)"/>
      <w:numFmt w:val="decimal"/>
      <w:start w:val="2"/>
    </w:lvl>
  </w:abstractNum>
  <w:abstractNum w:abstractNumId="51">
    <w:nsid w:val="885E1B"/>
    <w:multiLevelType w:val="hybridMultilevel"/>
    <w:lvl w:ilvl="0">
      <w:lvlJc w:val="left"/>
      <w:lvlText w:val="%1)"/>
      <w:numFmt w:val="decimal"/>
      <w:start w:val="2"/>
    </w:lvl>
  </w:abstractNum>
  <w:abstractNum w:abstractNumId="52">
    <w:nsid w:val="76272110"/>
    <w:multiLevelType w:val="hybridMultilevel"/>
    <w:lvl w:ilvl="0">
      <w:lvlJc w:val="left"/>
      <w:lvlText w:val="%1)"/>
      <w:numFmt w:val="decimal"/>
      <w:start w:val="3"/>
    </w:lvl>
  </w:abstractNum>
  <w:abstractNum w:abstractNumId="53">
    <w:nsid w:val="4C04A8AF"/>
    <w:multiLevelType w:val="hybridMultilevel"/>
    <w:lvl w:ilvl="0">
      <w:lvlJc w:val="left"/>
      <w:lvlText w:val="%1)"/>
      <w:numFmt w:val="decimal"/>
      <w:start w:val="3"/>
    </w:lvl>
  </w:abstractNum>
  <w:abstractNum w:abstractNumId="54">
    <w:nsid w:val="1716703B"/>
    <w:multiLevelType w:val="hybridMultilevel"/>
    <w:lvl w:ilvl="0">
      <w:lvlJc w:val="left"/>
      <w:lvlText w:val="(%1)"/>
      <w:numFmt w:val="decimal"/>
      <w:start w:val="1"/>
    </w:lvl>
  </w:abstractNum>
  <w:abstractNum w:abstractNumId="55">
    <w:nsid w:val="14E17E33"/>
    <w:multiLevelType w:val="hybridMultilevel"/>
    <w:lvl w:ilvl="0">
      <w:lvlJc w:val="left"/>
      <w:lvlText w:val="%1)"/>
      <w:numFmt w:val="decimal"/>
      <w:start w:val="4"/>
    </w:lvl>
  </w:abstractNum>
  <w:abstractNum w:abstractNumId="56">
    <w:nsid w:val="3222E7CD"/>
    <w:multiLevelType w:val="hybridMultilevel"/>
    <w:lvl w:ilvl="0">
      <w:lvlJc w:val="left"/>
      <w:lvlText w:val="%1)"/>
      <w:numFmt w:val="decimal"/>
      <w:start w:val="4"/>
    </w:lvl>
  </w:abstractNum>
  <w:abstractNum w:abstractNumId="57">
    <w:nsid w:val="74DE0EE3"/>
    <w:multiLevelType w:val="hybridMultilevel"/>
    <w:lvl w:ilvl="0">
      <w:lvlJc w:val="left"/>
      <w:lvlText w:val="%1)"/>
      <w:numFmt w:val="decimal"/>
      <w:start w:val="4"/>
    </w:lvl>
  </w:abstractNum>
  <w:abstractNum w:abstractNumId="58">
    <w:nsid w:val="68EBC550"/>
    <w:multiLevelType w:val="hybridMultilevel"/>
    <w:lvl w:ilvl="0">
      <w:lvlJc w:val="left"/>
      <w:lvlText w:val="%1)"/>
      <w:numFmt w:val="decimal"/>
      <w:start w:val="4"/>
    </w:lvl>
  </w:abstractNum>
  <w:abstractNum w:abstractNumId="59">
    <w:nsid w:val="2DF6D648"/>
    <w:multiLevelType w:val="hybridMultilevel"/>
    <w:lvl w:ilvl="0">
      <w:lvlJc w:val="left"/>
      <w:lvlText w:val="%1)"/>
      <w:numFmt w:val="decimal"/>
      <w:start w:val="5"/>
    </w:lvl>
  </w:abstractNum>
  <w:abstractNum w:abstractNumId="60">
    <w:nsid w:val="46B7D447"/>
    <w:multiLevelType w:val="hybridMultilevel"/>
    <w:lvl w:ilvl="0">
      <w:lvlJc w:val="left"/>
      <w:lvlText w:val="%1)"/>
      <w:numFmt w:val="decimal"/>
      <w:start w:val="5"/>
    </w:lvl>
  </w:abstractNum>
  <w:abstractNum w:abstractNumId="61">
    <w:nsid w:val="4A2AC315"/>
    <w:multiLevelType w:val="hybridMultilevel"/>
    <w:lvl w:ilvl="0">
      <w:lvlJc w:val="left"/>
      <w:lvlText w:val="%1)"/>
      <w:numFmt w:val="decimal"/>
      <w:start w:val="5"/>
    </w:lvl>
  </w:abstractNum>
  <w:abstractNum w:abstractNumId="62">
    <w:nsid w:val="39EE015C"/>
    <w:multiLevelType w:val="hybridMultilevel"/>
    <w:lvl w:ilvl="0">
      <w:lvlJc w:val="left"/>
      <w:lvlText w:val="%1)"/>
      <w:numFmt w:val="decimal"/>
      <w:start w:val="6"/>
    </w:lvl>
  </w:abstractNum>
  <w:abstractNum w:abstractNumId="63">
    <w:nsid w:val="57FC4FBB"/>
    <w:multiLevelType w:val="hybridMultilevel"/>
    <w:lvl w:ilvl="0">
      <w:lvlJc w:val="left"/>
      <w:lvlText w:val="%1)"/>
      <w:numFmt w:val="decimal"/>
      <w:start w:val="6"/>
    </w:lvl>
  </w:abstractNum>
  <w:abstractNum w:abstractNumId="64">
    <w:nsid w:val="CC1016F"/>
    <w:multiLevelType w:val="hybridMultilevel"/>
    <w:lvl w:ilvl="0">
      <w:lvlJc w:val="left"/>
      <w:lvlText w:val="%1)"/>
      <w:numFmt w:val="decimal"/>
      <w:start w:val="6"/>
    </w:lvl>
  </w:abstractNum>
  <w:abstractNum w:abstractNumId="65">
    <w:nsid w:val="43F18422"/>
    <w:multiLevelType w:val="hybridMultilevel"/>
    <w:lvl w:ilvl="0">
      <w:lvlJc w:val="left"/>
      <w:lvlText w:val="%1)"/>
      <w:numFmt w:val="decimal"/>
      <w:start w:val="7"/>
    </w:lvl>
  </w:abstractNum>
  <w:abstractNum w:abstractNumId="66">
    <w:nsid w:val="60EF0119"/>
    <w:multiLevelType w:val="hybridMultilevel"/>
    <w:lvl w:ilvl="0">
      <w:lvlJc w:val="left"/>
      <w:lvlText w:val="%1)"/>
      <w:numFmt w:val="decimal"/>
      <w:start w:val="7"/>
    </w:lvl>
  </w:abstractNum>
  <w:abstractNum w:abstractNumId="67">
    <w:nsid w:val="26F324BA"/>
    <w:multiLevelType w:val="hybridMultilevel"/>
    <w:lvl w:ilvl="0">
      <w:lvlJc w:val="left"/>
      <w:lvlText w:val="%1)"/>
      <w:numFmt w:val="decimal"/>
      <w:start w:val="9"/>
    </w:lvl>
  </w:abstractNum>
  <w:abstractNum w:abstractNumId="68">
    <w:nsid w:val="7F01579B"/>
    <w:multiLevelType w:val="hybridMultilevel"/>
    <w:lvl w:ilvl="0">
      <w:lvlJc w:val="left"/>
      <w:lvlText w:val="%1)"/>
      <w:numFmt w:val="decimal"/>
      <w:start w:val="9"/>
    </w:lvl>
  </w:abstractNum>
  <w:abstractNum w:abstractNumId="69">
    <w:nsid w:val="49DA307D"/>
    <w:multiLevelType w:val="hybridMultilevel"/>
    <w:lvl w:ilvl="0">
      <w:lvlJc w:val="left"/>
      <w:lvlText w:val="%1)"/>
      <w:numFmt w:val="decimal"/>
      <w:start w:val="9"/>
    </w:lvl>
  </w:abstractNum>
  <w:abstractNum w:abstractNumId="70">
    <w:nsid w:val="7055A5F5"/>
    <w:multiLevelType w:val="hybridMultilevel"/>
    <w:lvl w:ilvl="0">
      <w:lvlJc w:val="left"/>
      <w:lvlText w:val="%1)"/>
      <w:numFmt w:val="decimal"/>
      <w:start w:val="10"/>
    </w:lvl>
  </w:abstractNum>
  <w:abstractNum w:abstractNumId="71">
    <w:nsid w:val="5FB8370B"/>
    <w:multiLevelType w:val="hybridMultilevel"/>
    <w:lvl w:ilvl="0">
      <w:lvlJc w:val="left"/>
      <w:lvlText w:val="%1)"/>
      <w:numFmt w:val="decimal"/>
      <w:start w:val="10"/>
    </w:lvl>
  </w:abstractNum>
  <w:abstractNum w:abstractNumId="72">
    <w:nsid w:val="50801EE1"/>
    <w:multiLevelType w:val="hybridMultilevel"/>
    <w:lvl w:ilvl="0">
      <w:lvlJc w:val="left"/>
      <w:lvlText w:val="%1)"/>
      <w:numFmt w:val="decimal"/>
      <w:start w:val="11"/>
    </w:lvl>
  </w:abstractNum>
  <w:abstractNum w:abstractNumId="73">
    <w:nsid w:val="488AC1A"/>
    <w:multiLevelType w:val="hybridMultilevel"/>
    <w:lvl w:ilvl="0">
      <w:lvlJc w:val="left"/>
      <w:lvlText w:val="%1)"/>
      <w:numFmt w:val="decimal"/>
      <w:start w:val="12"/>
    </w:lvl>
  </w:abstractNum>
  <w:abstractNum w:abstractNumId="74">
    <w:nsid w:val="5FB8011C"/>
    <w:multiLevelType w:val="hybridMultilevel"/>
    <w:lvl w:ilvl="0">
      <w:lvlJc w:val="left"/>
      <w:lvlText w:val="%1)"/>
      <w:numFmt w:val="decimal"/>
      <w:start w:val="12"/>
    </w:lvl>
  </w:abstractNum>
  <w:abstractNum w:abstractNumId="75">
    <w:nsid w:val="6AA78F7F"/>
    <w:multiLevelType w:val="hybridMultilevel"/>
    <w:lvl w:ilvl="0">
      <w:lvlJc w:val="left"/>
      <w:lvlText w:val="(%1)"/>
      <w:numFmt w:val="decimal"/>
      <w:start w:val="1"/>
    </w:lvl>
  </w:abstractNum>
  <w:abstractNum w:abstractNumId="76">
    <w:nsid w:val="7672BD23"/>
    <w:multiLevelType w:val="hybridMultilevel"/>
    <w:lvl w:ilvl="0">
      <w:lvlJc w:val="left"/>
      <w:lvlText w:val="%1)"/>
      <w:numFmt w:val="decimal"/>
      <w:start w:val="12"/>
    </w:lvl>
  </w:abstractNum>
  <w:abstractNum w:abstractNumId="77">
    <w:nsid w:val="6FC75AF8"/>
    <w:multiLevelType w:val="hybridMultilevel"/>
    <w:lvl w:ilvl="0">
      <w:lvlJc w:val="left"/>
      <w:lvlText w:val="%1)"/>
      <w:numFmt w:val="decimal"/>
      <w:start w:val="12"/>
    </w:lvl>
  </w:abstractNum>
  <w:abstractNum w:abstractNumId="78">
    <w:nsid w:val="6A5F7029"/>
    <w:multiLevelType w:val="hybridMultilevel"/>
    <w:lvl w:ilvl="0">
      <w:lvlJc w:val="left"/>
      <w:lvlText w:val="(%1)"/>
      <w:numFmt w:val="decimal"/>
      <w:start w:val="1"/>
    </w:lvl>
  </w:abstractNum>
  <w:abstractNum w:abstractNumId="79">
    <w:nsid w:val="7D5E18F8"/>
    <w:multiLevelType w:val="hybridMultilevel"/>
    <w:lvl w:ilvl="0">
      <w:lvlJc w:val="left"/>
      <w:lvlText w:val="(%1)"/>
      <w:numFmt w:val="decimal"/>
      <w:start w:val="1"/>
    </w:lvl>
  </w:abstractNum>
  <w:abstractNum w:abstractNumId="80">
    <w:nsid w:val="5F3534A4"/>
    <w:multiLevelType w:val="hybridMultilevel"/>
    <w:lvl w:ilvl="0">
      <w:lvlJc w:val="left"/>
      <w:lvlText w:val="%1)"/>
      <w:numFmt w:val="decimal"/>
      <w:start w:val="13"/>
    </w:lvl>
  </w:abstractNum>
  <w:abstractNum w:abstractNumId="81">
    <w:nsid w:val="73A1821B"/>
    <w:multiLevelType w:val="hybridMultilevel"/>
    <w:lvl w:ilvl="0">
      <w:lvlJc w:val="left"/>
      <w:lvlText w:val="(%1)"/>
      <w:numFmt w:val="decimal"/>
      <w:start w:val="1"/>
    </w:lvl>
  </w:abstractNum>
  <w:abstractNum w:abstractNumId="82">
    <w:nsid w:val="7DE67713"/>
    <w:multiLevelType w:val="hybridMultilevel"/>
    <w:lvl w:ilvl="0">
      <w:lvlJc w:val="left"/>
      <w:lvlText w:val="%1)"/>
      <w:numFmt w:val="decimal"/>
      <w:start w:val="13"/>
    </w:lvl>
  </w:abstractNum>
  <w:abstractNum w:abstractNumId="83">
    <w:nsid w:val="555C55B5"/>
    <w:multiLevelType w:val="hybridMultilevel"/>
    <w:lvl w:ilvl="0">
      <w:lvlJc w:val="left"/>
      <w:lvlText w:val="%1)"/>
      <w:numFmt w:val="decimal"/>
      <w:start w:val="13"/>
    </w:lvl>
  </w:abstractNum>
  <w:abstractNum w:abstractNumId="84">
    <w:nsid w:val="3FA62ACA"/>
    <w:multiLevelType w:val="hybridMultilevel"/>
    <w:lvl w:ilvl="0">
      <w:lvlJc w:val="left"/>
      <w:lvlText w:val="%1)"/>
      <w:numFmt w:val="decimal"/>
      <w:start w:val="14"/>
    </w:lvl>
  </w:abstractNum>
  <w:abstractNum w:abstractNumId="85">
    <w:nsid w:val="14FCE74E"/>
    <w:multiLevelType w:val="hybridMultilevel"/>
    <w:lvl w:ilvl="0">
      <w:lvlJc w:val="left"/>
      <w:lvlText w:val="%1)"/>
      <w:numFmt w:val="decimal"/>
      <w:start w:val="15"/>
    </w:lvl>
  </w:abstractNum>
  <w:abstractNum w:abstractNumId="86">
    <w:nsid w:val="6A3DD3E8"/>
    <w:multiLevelType w:val="hybridMultilevel"/>
    <w:lvl w:ilvl="0">
      <w:lvlJc w:val="left"/>
      <w:lvlText w:val="%1)"/>
      <w:numFmt w:val="decimal"/>
      <w:start w:val="15"/>
    </w:lvl>
  </w:abstractNum>
  <w:abstractNum w:abstractNumId="87">
    <w:nsid w:val="71C91298"/>
    <w:multiLevelType w:val="hybridMultilevel"/>
    <w:lvl w:ilvl="0">
      <w:lvlJc w:val="left"/>
      <w:lvlText w:val="%1)"/>
      <w:numFmt w:val="decimal"/>
      <w:start w:val="16"/>
    </w:lvl>
  </w:abstractNum>
  <w:abstractNum w:abstractNumId="88">
    <w:nsid w:val="9DAF632"/>
    <w:multiLevelType w:val="hybridMultilevel"/>
    <w:lvl w:ilvl="0">
      <w:lvlJc w:val="left"/>
      <w:lvlText w:val="(%1)"/>
      <w:numFmt w:val="decimal"/>
      <w:start w:val="1"/>
    </w:lvl>
  </w:abstractNum>
  <w:abstractNum w:abstractNumId="89">
    <w:nsid w:val="53299938"/>
    <w:multiLevelType w:val="hybridMultilevel"/>
    <w:lvl w:ilvl="0">
      <w:lvlJc w:val="left"/>
      <w:lvlText w:val="%1)"/>
      <w:numFmt w:val="decimal"/>
      <w:start w:val="16"/>
    </w:lvl>
  </w:abstractNum>
  <w:abstractNum w:abstractNumId="90">
    <w:nsid w:val="1FBFE8E0"/>
    <w:multiLevelType w:val="hybridMultilevel"/>
    <w:lvl w:ilvl="0">
      <w:lvlJc w:val="left"/>
      <w:lvlText w:val="%1)"/>
      <w:numFmt w:val="decimal"/>
      <w:start w:val="17"/>
    </w:lvl>
  </w:abstractNum>
  <w:abstractNum w:abstractNumId="91">
    <w:nsid w:val="5092CA79"/>
    <w:multiLevelType w:val="hybridMultilevel"/>
    <w:lvl w:ilvl="0">
      <w:lvlJc w:val="left"/>
      <w:lvlText w:val="%1)"/>
      <w:numFmt w:val="decimal"/>
      <w:start w:val="18"/>
    </w:lvl>
  </w:abstractNum>
  <w:abstractNum w:abstractNumId="92">
    <w:nsid w:val="1D545C4D"/>
    <w:multiLevelType w:val="hybridMultilevel"/>
    <w:lvl w:ilvl="0">
      <w:lvlJc w:val="left"/>
      <w:lvlText w:val="%1)"/>
      <w:numFmt w:val="decimal"/>
      <w:start w:val="18"/>
    </w:lvl>
  </w:abstractNum>
  <w:abstractNum w:abstractNumId="93">
    <w:nsid w:val="59ADEA3D"/>
    <w:multiLevelType w:val="hybridMultilevel"/>
    <w:lvl w:ilvl="0">
      <w:lvlJc w:val="left"/>
      <w:lvlText w:val="%1)"/>
      <w:numFmt w:val="decimal"/>
      <w:start w:val="18"/>
    </w:lvl>
  </w:abstractNum>
  <w:abstractNum w:abstractNumId="94">
    <w:nsid w:val="288F1A34"/>
    <w:multiLevelType w:val="hybridMultilevel"/>
    <w:lvl w:ilvl="0">
      <w:lvlJc w:val="left"/>
      <w:lvlText w:val="%1)"/>
      <w:numFmt w:val="decimal"/>
      <w:start w:val="20"/>
    </w:lvl>
  </w:abstractNum>
  <w:abstractNum w:abstractNumId="95">
    <w:nsid w:val="2A155DBC"/>
    <w:multiLevelType w:val="hybridMultilevel"/>
    <w:lvl w:ilvl="0">
      <w:lvlJc w:val="left"/>
      <w:lvlText w:val="(%1)"/>
      <w:numFmt w:val="decimal"/>
      <w:start w:val="1"/>
    </w:lvl>
  </w:abstractNum>
  <w:abstractNum w:abstractNumId="96">
    <w:nsid w:val="1D9F6E5F"/>
    <w:multiLevelType w:val="hybridMultilevel"/>
    <w:lvl w:ilvl="0">
      <w:lvlJc w:val="left"/>
      <w:lvlText w:val="(%1)"/>
      <w:numFmt w:val="decimal"/>
      <w:start w:val="3"/>
    </w:lvl>
  </w:abstractNum>
  <w:abstractNum w:abstractNumId="97">
    <w:nsid w:val="97E1B4E"/>
    <w:multiLevelType w:val="hybridMultilevel"/>
    <w:lvl w:ilvl="0">
      <w:lvlJc w:val="left"/>
      <w:lvlText w:val="(%1)"/>
      <w:numFmt w:val="decimal"/>
      <w:start w:val="1"/>
    </w:lvl>
  </w:abstractNum>
  <w:abstractNum w:abstractNumId="98">
    <w:nsid w:val="51088277"/>
    <w:multiLevelType w:val="hybridMultilevel"/>
    <w:lvl w:ilvl="0">
      <w:lvlJc w:val="left"/>
      <w:lvlText w:val="(%1)"/>
      <w:numFmt w:val="decimal"/>
      <w:start w:val="3"/>
    </w:lvl>
  </w:abstractNum>
  <w:abstractNum w:abstractNumId="99">
    <w:nsid w:val="1CA0C5FA"/>
    <w:multiLevelType w:val="hybridMultilevel"/>
    <w:lvl w:ilvl="0">
      <w:lvlJc w:val="left"/>
      <w:lvlText w:val="%1)"/>
      <w:numFmt w:val="decimal"/>
      <w:start w:val="21"/>
    </w:lvl>
  </w:abstractNum>
  <w:abstractNum w:abstractNumId="100">
    <w:nsid w:val="53584BCB"/>
    <w:multiLevelType w:val="hybridMultilevel"/>
    <w:lvl w:ilvl="0">
      <w:lvlJc w:val="left"/>
      <w:lvlText w:val="%1)"/>
      <w:numFmt w:val="lowerLetter"/>
      <w:start w:val="1"/>
    </w:lvl>
  </w:abstractNum>
  <w:abstractNum w:abstractNumId="101">
    <w:nsid w:val="415E286C"/>
    <w:multiLevelType w:val="hybridMultilevel"/>
    <w:lvl w:ilvl="0">
      <w:lvlJc w:val="left"/>
      <w:lvlText w:val="%1)"/>
      <w:numFmt w:val="decimal"/>
      <w:start w:val="21"/>
    </w:lvl>
  </w:abstractNum>
  <w:abstractNum w:abstractNumId="102">
    <w:nsid w:val="7C58FD05"/>
    <w:multiLevelType w:val="hybridMultilevel"/>
    <w:lvl w:ilvl="0">
      <w:lvlJc w:val="left"/>
      <w:lvlText w:val="%1)"/>
      <w:numFmt w:val="decimal"/>
      <w:start w:val="21"/>
    </w:lvl>
  </w:abstractNum>
  <w:abstractNum w:abstractNumId="103">
    <w:nsid w:val="23D86AAC"/>
    <w:multiLevelType w:val="hybridMultilevel"/>
    <w:lvl w:ilvl="0">
      <w:lvlJc w:val="left"/>
      <w:lvlText w:val="(%1)"/>
      <w:numFmt w:val="decimal"/>
      <w:start w:val="1"/>
    </w:lvl>
  </w:abstractNum>
  <w:abstractNum w:abstractNumId="104">
    <w:nsid w:val="45E6D486"/>
    <w:multiLevelType w:val="hybridMultilevel"/>
    <w:lvl w:ilvl="0">
      <w:lvlJc w:val="left"/>
      <w:lvlText w:val="%1)"/>
      <w:numFmt w:val="decimal"/>
      <w:start w:val="21"/>
    </w:lvl>
  </w:abstractNum>
  <w:abstractNum w:abstractNumId="105">
    <w:nsid w:val="5C10FE21"/>
    <w:multiLevelType w:val="hybridMultilevel"/>
    <w:lvl w:ilvl="0">
      <w:lvlJc w:val="left"/>
      <w:lvlText w:val="(%1)"/>
      <w:numFmt w:val="decimal"/>
      <w:start w:val="1"/>
    </w:lvl>
  </w:abstractNum>
  <w:abstractNum w:abstractNumId="106">
    <w:nsid w:val="E7FFA2B"/>
    <w:multiLevelType w:val="hybridMultilevel"/>
    <w:lvl w:ilvl="0">
      <w:lvlJc w:val="left"/>
      <w:lvlText w:val="%1)"/>
      <w:numFmt w:val="decimal"/>
      <w:start w:val="21"/>
    </w:lvl>
  </w:abstractNum>
  <w:abstractNum w:abstractNumId="107">
    <w:nsid w:val="3C5991AA"/>
    <w:multiLevelType w:val="hybridMultilevel"/>
    <w:lvl w:ilvl="0">
      <w:lvlJc w:val="left"/>
      <w:lvlText w:val="(%1)"/>
      <w:numFmt w:val="decimal"/>
      <w:start w:val="1"/>
    </w:lvl>
  </w:abstractNum>
  <w:abstractNum w:abstractNumId="108">
    <w:nsid w:val="4BD8591A"/>
    <w:multiLevelType w:val="hybridMultilevel"/>
    <w:lvl w:ilvl="0">
      <w:lvlJc w:val="left"/>
      <w:lvlText w:val="(%1)"/>
      <w:numFmt w:val="decimal"/>
      <w:start w:val="1"/>
    </w:lvl>
  </w:abstractNum>
  <w:abstractNum w:abstractNumId="109">
    <w:nsid w:val="78DF6A55"/>
    <w:multiLevelType w:val="hybridMultilevel"/>
    <w:lvl w:ilvl="0">
      <w:lvlJc w:val="left"/>
      <w:lvlText w:val="%1)"/>
      <w:numFmt w:val="decimal"/>
      <w:start w:val="21"/>
    </w:lvl>
  </w:abstractNum>
  <w:abstractNum w:abstractNumId="110">
    <w:nsid w:val="39B7AAA2"/>
    <w:multiLevelType w:val="hybridMultilevel"/>
    <w:lvl w:ilvl="0">
      <w:lvlJc w:val="left"/>
      <w:lvlText w:val="(%1)"/>
      <w:numFmt w:val="decimal"/>
      <w:start w:val="1"/>
    </w:lvl>
  </w:abstractNum>
  <w:abstractNum w:abstractNumId="111">
    <w:nsid w:val="2B0D8DBE"/>
    <w:multiLevelType w:val="hybridMultilevel"/>
    <w:lvl w:ilvl="0">
      <w:lvlJc w:val="left"/>
      <w:lvlText w:val="%1)"/>
      <w:numFmt w:val="decimal"/>
      <w:start w:val="21"/>
    </w:lvl>
  </w:abstractNum>
  <w:abstractNum w:abstractNumId="112">
    <w:nsid w:val="6C80EC70"/>
    <w:multiLevelType w:val="hybridMultilevel"/>
    <w:lvl w:ilvl="0">
      <w:lvlJc w:val="left"/>
      <w:lvlText w:val="(%1)"/>
      <w:numFmt w:val="decimal"/>
      <w:start w:val="1"/>
    </w:lvl>
  </w:abstractNum>
  <w:abstractNum w:abstractNumId="113">
    <w:nsid w:val="379E21B5"/>
    <w:multiLevelType w:val="hybridMultilevel"/>
    <w:lvl w:ilvl="0">
      <w:lvlJc w:val="left"/>
      <w:lvlText w:val="%1)"/>
      <w:numFmt w:val="decimal"/>
      <w:start w:val="22"/>
    </w:lvl>
  </w:abstractNum>
  <w:abstractNum w:abstractNumId="114">
    <w:nsid w:val="69E373"/>
    <w:multiLevelType w:val="hybridMultilevel"/>
    <w:lvl w:ilvl="0">
      <w:lvlJc w:val="left"/>
      <w:lvlText w:val="%1)"/>
      <w:numFmt w:val="decimal"/>
      <w:start w:val="22"/>
    </w:lvl>
  </w:abstractNum>
  <w:abstractNum w:abstractNumId="115">
    <w:nsid w:val="2C27173B"/>
    <w:multiLevelType w:val="hybridMultilevel"/>
    <w:lvl w:ilvl="0">
      <w:lvlJc w:val="left"/>
      <w:lvlText w:val="(%1)"/>
      <w:numFmt w:val="decimal"/>
      <w:start w:val="1"/>
    </w:lvl>
  </w:abstractNum>
  <w:abstractNum w:abstractNumId="116">
    <w:nsid w:val="4C9B0904"/>
    <w:multiLevelType w:val="hybridMultilevel"/>
    <w:lvl w:ilvl="0">
      <w:lvlJc w:val="left"/>
      <w:lvlText w:val="%1)"/>
      <w:numFmt w:val="decimal"/>
      <w:start w:val="22"/>
    </w:lvl>
  </w:abstractNum>
  <w:abstractNum w:abstractNumId="117">
    <w:nsid w:val="6AA7B75C"/>
    <w:multiLevelType w:val="hybridMultilevel"/>
    <w:lvl w:ilvl="0">
      <w:lvlJc w:val="left"/>
      <w:lvlText w:val="%1)"/>
      <w:numFmt w:val="decimal"/>
      <w:start w:val="22"/>
    </w:lvl>
  </w:abstractNum>
  <w:abstractNum w:abstractNumId="118">
    <w:nsid w:val="1DF029D3"/>
    <w:multiLevelType w:val="hybridMultilevel"/>
    <w:lvl w:ilvl="0">
      <w:lvlJc w:val="left"/>
      <w:lvlText w:val="%1)"/>
      <w:numFmt w:val="decimal"/>
      <w:start w:val="23"/>
    </w:lvl>
  </w:abstractNum>
  <w:abstractNum w:abstractNumId="119">
    <w:nsid w:val="5675FF36"/>
    <w:multiLevelType w:val="hybridMultilevel"/>
    <w:lvl w:ilvl="0">
      <w:lvlJc w:val="left"/>
      <w:lvlText w:val="%1)"/>
      <w:numFmt w:val="decimal"/>
      <w:start w:val="23"/>
    </w:lvl>
  </w:abstractNum>
  <w:abstractNum w:abstractNumId="120">
    <w:nsid w:val="3DD15094"/>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2026-04-28T05:57:26Z</dcterms:created>
  <dcterms:modified xsi:type="dcterms:W3CDTF">2026-04-28T05:57:26Z</dcterms:modified>
</cp:coreProperties>
</file>